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93B87">
      <w:pPr>
        <w:rPr>
          <w:rFonts w:hint="eastAsia" w:ascii="仿宋_GB2312" w:hAnsi="仿宋_GB2312" w:eastAsia="仿宋_GB2312" w:cs="仿宋_GB2312"/>
          <w:color w:val="auto"/>
          <w:sz w:val="36"/>
          <w:szCs w:val="36"/>
        </w:rPr>
      </w:pPr>
      <w:bookmarkStart w:id="0" w:name="_Hlk57883707"/>
      <w:bookmarkStart w:id="217" w:name="_GoBack"/>
      <w:bookmarkEnd w:id="217"/>
      <w:r>
        <w:rPr>
          <w:rFonts w:hint="eastAsia" w:ascii="仿宋_GB2312" w:hAnsi="仿宋_GB2312" w:eastAsia="仿宋_GB2312" w:cs="仿宋_GB2312"/>
          <w:color w:val="auto"/>
          <w:sz w:val="36"/>
          <w:szCs w:val="36"/>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824990" cy="688340"/>
            <wp:effectExtent l="0" t="0" r="3810" b="16510"/>
            <wp:wrapNone/>
            <wp:docPr id="16" name="图片 2" descr="a6682e7abc17325faaccc73f1409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a6682e7abc17325faaccc73f1409f07"/>
                    <pic:cNvPicPr>
                      <a:picLocks noChangeAspect="1"/>
                    </pic:cNvPicPr>
                  </pic:nvPicPr>
                  <pic:blipFill>
                    <a:blip r:embed="rId24"/>
                    <a:srcRect l="13191" t="38695" r="16418" b="24263"/>
                    <a:stretch>
                      <a:fillRect/>
                    </a:stretch>
                  </pic:blipFill>
                  <pic:spPr>
                    <a:xfrm>
                      <a:off x="0" y="0"/>
                      <a:ext cx="1824990" cy="688340"/>
                    </a:xfrm>
                    <a:prstGeom prst="rect">
                      <a:avLst/>
                    </a:prstGeom>
                    <a:noFill/>
                    <a:ln>
                      <a:noFill/>
                    </a:ln>
                  </pic:spPr>
                </pic:pic>
              </a:graphicData>
            </a:graphic>
          </wp:anchor>
        </w:drawing>
      </w:r>
    </w:p>
    <w:p w14:paraId="736D6037">
      <w:pPr>
        <w:rPr>
          <w:rFonts w:hint="eastAsia" w:ascii="仿宋_GB2312" w:hAnsi="仿宋_GB2312" w:eastAsia="仿宋_GB2312" w:cs="仿宋_GB2312"/>
          <w:color w:val="auto"/>
          <w:sz w:val="36"/>
          <w:szCs w:val="36"/>
        </w:rPr>
      </w:pPr>
    </w:p>
    <w:p w14:paraId="46110455">
      <w:pPr>
        <w:rPr>
          <w:rFonts w:hint="eastAsia" w:ascii="仿宋_GB2312" w:hAnsi="仿宋_GB2312" w:eastAsia="仿宋_GB2312" w:cs="仿宋_GB2312"/>
          <w:color w:val="auto"/>
          <w:sz w:val="36"/>
          <w:szCs w:val="36"/>
        </w:rPr>
      </w:pPr>
    </w:p>
    <w:p w14:paraId="15E00F84">
      <w:pPr>
        <w:rPr>
          <w:rFonts w:hint="eastAsia" w:ascii="仿宋_GB2312" w:hAnsi="仿宋_GB2312" w:eastAsia="仿宋_GB2312" w:cs="仿宋_GB2312"/>
          <w:color w:val="auto"/>
          <w:sz w:val="36"/>
          <w:szCs w:val="36"/>
        </w:rPr>
      </w:pPr>
    </w:p>
    <w:bookmarkEnd w:id="0"/>
    <w:p w14:paraId="4FBFFE3D">
      <w:pPr>
        <w:adjustRightInd w:val="0"/>
        <w:snapToGrid w:val="0"/>
        <w:jc w:val="center"/>
        <w:outlineLvl w:val="0"/>
        <w:rPr>
          <w:rFonts w:ascii="方正小标宋_GBK" w:eastAsia="方正小标宋_GBK"/>
          <w:bCs/>
          <w:color w:val="auto"/>
          <w:sz w:val="72"/>
          <w:szCs w:val="72"/>
        </w:rPr>
      </w:pPr>
      <w:bookmarkStart w:id="1" w:name="_Toc1915"/>
      <w:bookmarkStart w:id="2" w:name="_Toc8868"/>
      <w:bookmarkStart w:id="3" w:name="_Toc14870"/>
      <w:bookmarkStart w:id="4" w:name="_Toc19773"/>
      <w:r>
        <w:rPr>
          <w:rFonts w:hint="eastAsia" w:ascii="方正小标宋_GBK" w:eastAsia="方正小标宋_GBK"/>
          <w:bCs/>
          <w:color w:val="auto"/>
          <w:sz w:val="72"/>
          <w:szCs w:val="72"/>
        </w:rPr>
        <w:t>建设项目环境影响报告表</w:t>
      </w:r>
      <w:bookmarkEnd w:id="1"/>
      <w:bookmarkEnd w:id="2"/>
      <w:bookmarkEnd w:id="3"/>
      <w:bookmarkEnd w:id="4"/>
    </w:p>
    <w:p w14:paraId="13894859">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（生态影响类）</w:t>
      </w:r>
    </w:p>
    <w:p w14:paraId="14A93E2D">
      <w:pPr>
        <w:adjustRightInd w:val="0"/>
        <w:snapToGrid w:val="0"/>
        <w:spacing w:line="288" w:lineRule="auto"/>
        <w:jc w:val="center"/>
        <w:rPr>
          <w:rFonts w:hint="eastAsia" w:ascii="华文仿宋" w:hAnsi="华文仿宋" w:eastAsia="华文仿宋" w:cs="华文仿宋"/>
          <w:color w:val="auto"/>
          <w:kern w:val="44"/>
          <w:sz w:val="44"/>
          <w:szCs w:val="44"/>
        </w:rPr>
      </w:pPr>
      <w:bookmarkStart w:id="5" w:name="_Hlk57883728"/>
    </w:p>
    <w:p w14:paraId="3BC2EE88">
      <w:pPr>
        <w:jc w:val="center"/>
        <w:rPr>
          <w:rFonts w:eastAsia="仿宋"/>
          <w:color w:val="auto"/>
          <w:sz w:val="52"/>
          <w:szCs w:val="52"/>
        </w:rPr>
      </w:pPr>
    </w:p>
    <w:p w14:paraId="4045BB5C">
      <w:pPr>
        <w:ind w:firstLine="1040"/>
        <w:rPr>
          <w:rFonts w:eastAsia="仿宋"/>
          <w:color w:val="auto"/>
          <w:sz w:val="44"/>
          <w:szCs w:val="44"/>
        </w:rPr>
      </w:pPr>
    </w:p>
    <w:p w14:paraId="4E319E19">
      <w:pPr>
        <w:ind w:firstLine="1040"/>
        <w:rPr>
          <w:rFonts w:eastAsia="仿宋"/>
          <w:color w:val="auto"/>
          <w:sz w:val="44"/>
          <w:szCs w:val="44"/>
        </w:rPr>
      </w:pPr>
    </w:p>
    <w:p w14:paraId="608B1194">
      <w:pPr>
        <w:rPr>
          <w:rFonts w:eastAsia="仿宋"/>
          <w:color w:val="auto"/>
          <w:sz w:val="44"/>
          <w:szCs w:val="44"/>
        </w:rPr>
      </w:pPr>
    </w:p>
    <w:bookmarkEnd w:id="5"/>
    <w:tbl>
      <w:tblPr>
        <w:tblStyle w:val="27"/>
        <w:tblW w:w="8370"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5400"/>
      </w:tblGrid>
      <w:tr w14:paraId="4450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0" w:type="dxa"/>
            <w:tcBorders>
              <w:top w:val="nil"/>
              <w:left w:val="nil"/>
              <w:bottom w:val="nil"/>
              <w:right w:val="nil"/>
            </w:tcBorders>
          </w:tcPr>
          <w:p w14:paraId="522E3534">
            <w:pPr>
              <w:rPr>
                <w:color w:val="auto"/>
                <w:sz w:val="36"/>
                <w:szCs w:val="36"/>
              </w:rPr>
            </w:pPr>
            <w:r>
              <w:rPr>
                <w:color w:val="auto"/>
                <w:sz w:val="36"/>
                <w:szCs w:val="36"/>
              </w:rPr>
              <w:t>项目名称</w:t>
            </w:r>
            <w:r>
              <w:rPr>
                <w:rFonts w:hint="eastAsia"/>
                <w:color w:val="auto"/>
                <w:sz w:val="36"/>
                <w:szCs w:val="36"/>
              </w:rPr>
              <w:t>：</w:t>
            </w:r>
          </w:p>
        </w:tc>
        <w:tc>
          <w:tcPr>
            <w:tcW w:w="5400" w:type="dxa"/>
            <w:tcBorders>
              <w:top w:val="nil"/>
              <w:left w:val="nil"/>
              <w:bottom w:val="nil"/>
              <w:right w:val="nil"/>
            </w:tcBorders>
          </w:tcPr>
          <w:p w14:paraId="51BBEEF2">
            <w:pPr>
              <w:jc w:val="center"/>
              <w:rPr>
                <w:color w:val="auto"/>
                <w:sz w:val="36"/>
                <w:szCs w:val="36"/>
                <w:u w:val="single"/>
              </w:rPr>
            </w:pPr>
            <w:bookmarkStart w:id="6" w:name="OLE_LINK1"/>
            <w:r>
              <w:rPr>
                <w:rFonts w:hint="eastAsia"/>
                <w:color w:val="auto"/>
                <w:sz w:val="36"/>
                <w:szCs w:val="36"/>
                <w:u w:val="single"/>
              </w:rPr>
              <w:t>君山区方台湖设施渔业水基</w:t>
            </w:r>
          </w:p>
          <w:p w14:paraId="31CA98B3">
            <w:pPr>
              <w:jc w:val="center"/>
              <w:rPr>
                <w:color w:val="auto"/>
                <w:sz w:val="36"/>
                <w:szCs w:val="36"/>
              </w:rPr>
            </w:pPr>
            <w:r>
              <w:rPr>
                <w:rFonts w:hint="eastAsia"/>
                <w:color w:val="auto"/>
                <w:sz w:val="36"/>
                <w:szCs w:val="36"/>
                <w:u w:val="single"/>
              </w:rPr>
              <w:t>项目（一期）</w:t>
            </w:r>
            <w:bookmarkEnd w:id="6"/>
          </w:p>
        </w:tc>
      </w:tr>
      <w:tr w14:paraId="6E41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0" w:type="dxa"/>
            <w:tcBorders>
              <w:top w:val="nil"/>
              <w:left w:val="nil"/>
              <w:bottom w:val="nil"/>
              <w:right w:val="nil"/>
            </w:tcBorders>
          </w:tcPr>
          <w:p w14:paraId="6D1E5931">
            <w:pPr>
              <w:rPr>
                <w:color w:val="auto"/>
                <w:sz w:val="36"/>
                <w:szCs w:val="36"/>
              </w:rPr>
            </w:pPr>
            <w:r>
              <w:rPr>
                <w:color w:val="auto"/>
                <w:sz w:val="36"/>
                <w:szCs w:val="36"/>
              </w:rPr>
              <w:t>建设单位（盖章）：</w:t>
            </w:r>
          </w:p>
        </w:tc>
        <w:tc>
          <w:tcPr>
            <w:tcW w:w="5400" w:type="dxa"/>
            <w:tcBorders>
              <w:top w:val="nil"/>
              <w:left w:val="nil"/>
              <w:bottom w:val="nil"/>
              <w:right w:val="nil"/>
            </w:tcBorders>
          </w:tcPr>
          <w:p w14:paraId="405093C1">
            <w:pPr>
              <w:adjustRightInd w:val="0"/>
              <w:snapToGrid w:val="0"/>
              <w:spacing w:line="288" w:lineRule="auto"/>
              <w:jc w:val="center"/>
              <w:rPr>
                <w:color w:val="auto"/>
                <w:sz w:val="36"/>
                <w:szCs w:val="36"/>
                <w:u w:val="single"/>
              </w:rPr>
            </w:pPr>
            <w:r>
              <w:rPr>
                <w:rFonts w:hint="eastAsia"/>
                <w:color w:val="auto"/>
                <w:sz w:val="36"/>
                <w:szCs w:val="36"/>
                <w:u w:val="single"/>
              </w:rPr>
              <w:t>湖南君山生态渔业集团有限公司</w:t>
            </w:r>
          </w:p>
        </w:tc>
      </w:tr>
      <w:tr w14:paraId="1D4F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0" w:type="dxa"/>
            <w:tcBorders>
              <w:top w:val="nil"/>
              <w:left w:val="nil"/>
              <w:bottom w:val="nil"/>
              <w:right w:val="nil"/>
            </w:tcBorders>
          </w:tcPr>
          <w:p w14:paraId="52F97A3F">
            <w:pPr>
              <w:rPr>
                <w:color w:val="auto"/>
                <w:sz w:val="36"/>
                <w:szCs w:val="36"/>
              </w:rPr>
            </w:pPr>
            <w:r>
              <w:rPr>
                <w:color w:val="auto"/>
                <w:sz w:val="36"/>
                <w:szCs w:val="36"/>
              </w:rPr>
              <w:t>编制日期：</w:t>
            </w:r>
          </w:p>
        </w:tc>
        <w:tc>
          <w:tcPr>
            <w:tcW w:w="5400" w:type="dxa"/>
            <w:tcBorders>
              <w:top w:val="nil"/>
              <w:left w:val="nil"/>
              <w:bottom w:val="nil"/>
              <w:right w:val="nil"/>
            </w:tcBorders>
          </w:tcPr>
          <w:p w14:paraId="47D3A438">
            <w:pPr>
              <w:jc w:val="center"/>
              <w:rPr>
                <w:color w:val="auto"/>
                <w:sz w:val="36"/>
                <w:szCs w:val="36"/>
                <w:u w:val="single"/>
              </w:rPr>
            </w:pPr>
            <w:r>
              <w:rPr>
                <w:color w:val="auto"/>
                <w:sz w:val="36"/>
                <w:szCs w:val="36"/>
                <w:u w:val="single"/>
              </w:rPr>
              <w:t>202</w:t>
            </w:r>
            <w:r>
              <w:rPr>
                <w:rFonts w:hint="eastAsia"/>
                <w:color w:val="auto"/>
                <w:sz w:val="36"/>
                <w:szCs w:val="36"/>
                <w:u w:val="single"/>
              </w:rPr>
              <w:t>5</w:t>
            </w:r>
            <w:r>
              <w:rPr>
                <w:color w:val="auto"/>
                <w:sz w:val="36"/>
                <w:szCs w:val="36"/>
                <w:u w:val="single"/>
              </w:rPr>
              <w:t>年</w:t>
            </w:r>
            <w:r>
              <w:rPr>
                <w:rFonts w:hint="eastAsia"/>
                <w:color w:val="auto"/>
                <w:sz w:val="36"/>
                <w:szCs w:val="36"/>
                <w:u w:val="single"/>
              </w:rPr>
              <w:t>11</w:t>
            </w:r>
            <w:r>
              <w:rPr>
                <w:color w:val="auto"/>
                <w:sz w:val="36"/>
                <w:szCs w:val="36"/>
                <w:u w:val="single"/>
              </w:rPr>
              <w:t>月</w:t>
            </w:r>
          </w:p>
        </w:tc>
      </w:tr>
    </w:tbl>
    <w:p w14:paraId="19F749FB">
      <w:pPr>
        <w:adjustRightInd w:val="0"/>
        <w:snapToGrid w:val="0"/>
        <w:spacing w:line="288" w:lineRule="auto"/>
        <w:ind w:firstLine="1040"/>
        <w:rPr>
          <w:rFonts w:ascii="仿宋_GB2312" w:eastAsia="仿宋_GB2312"/>
          <w:color w:val="auto"/>
          <w:sz w:val="36"/>
          <w:szCs w:val="36"/>
        </w:rPr>
      </w:pPr>
    </w:p>
    <w:p w14:paraId="3EDDEF83">
      <w:pPr>
        <w:adjustRightInd w:val="0"/>
        <w:snapToGrid w:val="0"/>
        <w:spacing w:line="288" w:lineRule="auto"/>
        <w:ind w:firstLine="1040"/>
        <w:rPr>
          <w:rFonts w:ascii="仿宋_GB2312" w:eastAsia="仿宋_GB2312"/>
          <w:color w:val="auto"/>
          <w:sz w:val="36"/>
          <w:szCs w:val="36"/>
        </w:rPr>
      </w:pPr>
    </w:p>
    <w:p w14:paraId="633A3972">
      <w:pPr>
        <w:adjustRightInd w:val="0"/>
        <w:snapToGrid w:val="0"/>
        <w:spacing w:line="288" w:lineRule="auto"/>
        <w:ind w:firstLine="1040"/>
        <w:rPr>
          <w:rFonts w:ascii="仿宋_GB2312" w:eastAsia="仿宋_GB2312"/>
          <w:color w:val="auto"/>
          <w:sz w:val="36"/>
          <w:szCs w:val="36"/>
        </w:rPr>
      </w:pPr>
    </w:p>
    <w:p w14:paraId="4BBAC7D8">
      <w:pPr>
        <w:adjustRightInd w:val="0"/>
        <w:snapToGrid w:val="0"/>
        <w:spacing w:line="288" w:lineRule="auto"/>
        <w:ind w:firstLine="1040"/>
        <w:rPr>
          <w:rFonts w:ascii="仿宋_GB2312" w:eastAsia="仿宋_GB2312"/>
          <w:color w:val="auto"/>
          <w:sz w:val="36"/>
          <w:szCs w:val="36"/>
        </w:rPr>
      </w:pPr>
    </w:p>
    <w:p w14:paraId="579185DB">
      <w:pPr>
        <w:adjustRightInd w:val="0"/>
        <w:snapToGrid w:val="0"/>
        <w:spacing w:line="288" w:lineRule="auto"/>
        <w:ind w:firstLine="1040"/>
        <w:rPr>
          <w:rFonts w:ascii="仿宋_GB2312" w:eastAsia="仿宋_GB2312"/>
          <w:color w:val="auto"/>
          <w:sz w:val="36"/>
          <w:szCs w:val="36"/>
        </w:rPr>
      </w:pPr>
    </w:p>
    <w:p w14:paraId="04C8FAFA">
      <w:pPr>
        <w:adjustRightInd w:val="0"/>
        <w:snapToGrid w:val="0"/>
        <w:spacing w:line="288" w:lineRule="auto"/>
        <w:ind w:firstLine="1040"/>
        <w:rPr>
          <w:rFonts w:ascii="仿宋_GB2312" w:eastAsia="仿宋_GB2312"/>
          <w:color w:val="auto"/>
          <w:sz w:val="36"/>
          <w:szCs w:val="36"/>
        </w:rPr>
      </w:pPr>
    </w:p>
    <w:p w14:paraId="2D51092F">
      <w:pPr>
        <w:adjustRightInd w:val="0"/>
        <w:snapToGrid w:val="0"/>
        <w:spacing w:line="288" w:lineRule="auto"/>
        <w:ind w:firstLine="1040"/>
        <w:rPr>
          <w:rFonts w:ascii="仿宋_GB2312" w:eastAsia="仿宋_GB2312"/>
          <w:color w:val="auto"/>
          <w:sz w:val="36"/>
          <w:szCs w:val="36"/>
        </w:rPr>
      </w:pPr>
    </w:p>
    <w:p w14:paraId="18DA2B0A">
      <w:pPr>
        <w:adjustRightInd w:val="0"/>
        <w:snapToGrid w:val="0"/>
        <w:spacing w:line="288" w:lineRule="auto"/>
        <w:jc w:val="center"/>
        <w:rPr>
          <w:rFonts w:ascii="仿宋_GB2312" w:eastAsia="仿宋_GB2312"/>
          <w:color w:val="auto"/>
          <w:sz w:val="36"/>
          <w:szCs w:val="36"/>
        </w:rPr>
      </w:pPr>
      <w:r>
        <w:rPr>
          <w:rFonts w:hint="eastAsia" w:ascii="楷体_GB2312" w:eastAsia="楷体_GB2312"/>
          <w:color w:val="auto"/>
          <w:sz w:val="36"/>
          <w:szCs w:val="36"/>
        </w:rPr>
        <w:t>中华人民共和国生态环境部制</w:t>
      </w:r>
    </w:p>
    <w:p w14:paraId="04B1E5BE">
      <w:pPr>
        <w:pStyle w:val="9"/>
        <w:jc w:val="left"/>
        <w:rPr>
          <w:rFonts w:hint="eastAsia" w:ascii="宋体" w:hAnsi="宋体" w:cs="宋体"/>
          <w:color w:val="auto"/>
          <w:sz w:val="28"/>
          <w:szCs w:val="28"/>
        </w:rPr>
        <w:sectPr>
          <w:footerReference r:id="rId3" w:type="default"/>
          <w:pgSz w:w="11906" w:h="16838"/>
          <w:pgMar w:top="1701" w:right="1531" w:bottom="1701" w:left="1531" w:header="851" w:footer="1077" w:gutter="0"/>
          <w:pgNumType w:start="1"/>
          <w:cols w:space="720" w:num="1"/>
          <w:docGrid w:linePitch="312" w:charSpace="0"/>
        </w:sectPr>
      </w:pPr>
    </w:p>
    <w:p w14:paraId="37C76BF6">
      <w:pPr>
        <w:jc w:val="center"/>
        <w:rPr>
          <w:color w:val="auto"/>
        </w:rPr>
        <w:sectPr>
          <w:footerReference r:id="rId4" w:type="default"/>
          <w:pgSz w:w="11906" w:h="16838"/>
          <w:pgMar w:top="1440" w:right="1440" w:bottom="1440" w:left="1440" w:header="851" w:footer="1077" w:gutter="0"/>
          <w:pgNumType w:start="1"/>
          <w:cols w:space="720" w:num="1"/>
          <w:docGrid w:linePitch="312" w:charSpace="0"/>
        </w:sectPr>
      </w:pPr>
      <w:r>
        <w:rPr>
          <w:color w:val="auto"/>
          <w:sz w:val="30"/>
        </w:rPr>
        <w:drawing>
          <wp:inline distT="0" distB="0" distL="114300" distR="114300">
            <wp:extent cx="5728335" cy="8105775"/>
            <wp:effectExtent l="9525" t="9525" r="15240" b="19050"/>
            <wp:docPr id="25" name="图片 25" descr="Page00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age0001_01"/>
                    <pic:cNvPicPr>
                      <a:picLocks noChangeAspect="1"/>
                    </pic:cNvPicPr>
                  </pic:nvPicPr>
                  <pic:blipFill>
                    <a:blip r:embed="rId25"/>
                    <a:stretch>
                      <a:fillRect/>
                    </a:stretch>
                  </pic:blipFill>
                  <pic:spPr>
                    <a:xfrm>
                      <a:off x="0" y="0"/>
                      <a:ext cx="5728335" cy="8105775"/>
                    </a:xfrm>
                    <a:prstGeom prst="rect">
                      <a:avLst/>
                    </a:prstGeom>
                    <a:ln>
                      <a:solidFill>
                        <a:schemeClr val="tx1"/>
                      </a:solidFill>
                    </a:ln>
                  </pic:spPr>
                </pic:pic>
              </a:graphicData>
            </a:graphic>
          </wp:inline>
        </w:drawing>
      </w:r>
      <w:r>
        <w:rPr>
          <w:color w:val="auto"/>
          <w:sz w:val="30"/>
        </w:rPr>
        <mc:AlternateContent>
          <mc:Choice Requires="wps">
            <w:drawing>
              <wp:anchor distT="0" distB="0" distL="114300" distR="114300" simplePos="0" relativeHeight="251673600" behindDoc="0" locked="0" layoutInCell="1" allowOverlap="1">
                <wp:simplePos x="0" y="0"/>
                <wp:positionH relativeFrom="column">
                  <wp:posOffset>3943985</wp:posOffset>
                </wp:positionH>
                <wp:positionV relativeFrom="paragraph">
                  <wp:posOffset>635</wp:posOffset>
                </wp:positionV>
                <wp:extent cx="1800225" cy="409575"/>
                <wp:effectExtent l="4445" t="4445" r="5080" b="5080"/>
                <wp:wrapNone/>
                <wp:docPr id="1" name="文本框 1"/>
                <wp:cNvGraphicFramePr/>
                <a:graphic xmlns:a="http://schemas.openxmlformats.org/drawingml/2006/main">
                  <a:graphicData uri="http://schemas.microsoft.com/office/word/2010/wordprocessingShape">
                    <wps:wsp>
                      <wps:cNvSpPr txBox="1"/>
                      <wps:spPr>
                        <a:xfrm>
                          <a:off x="0" y="0"/>
                          <a:ext cx="1800225"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DF9E1">
                            <w:r>
                              <w:rPr>
                                <w:rFonts w:hint="eastAsia" w:ascii="仿宋_GB2312" w:eastAsia="仿宋_GB2312"/>
                                <w:sz w:val="36"/>
                                <w:szCs w:val="36"/>
                              </w:rPr>
                              <w:t>编制情况承诺书</w:t>
                            </w:r>
                          </w:p>
                        </w:txbxContent>
                      </wps:txbx>
                      <wps:bodyPr upright="1"/>
                    </wps:wsp>
                  </a:graphicData>
                </a:graphic>
              </wp:anchor>
            </w:drawing>
          </mc:Choice>
          <mc:Fallback>
            <w:pict>
              <v:shape id="_x0000_s1026" o:spid="_x0000_s1026" o:spt="202" type="#_x0000_t202" style="position:absolute;left:0pt;margin-left:310.55pt;margin-top:0.05pt;height:32.25pt;width:141.75pt;z-index:251673600;mso-width-relative:page;mso-height-relative:page;" fillcolor="#FFFFFF" filled="t" stroked="t" coordsize="21600,21600" o:gfxdata="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7BOzVAAAABwEAAA8AAAAAAAAAAQAgAAAAIgAAAGRy&#10;cy9kb3ducmV2LnhtbFBLAQIUABQAAAAIAIdO4kDivTuACAIAADYEAAAOAAAAAAAAAAEAIAAAACQB&#10;AABkcnMvZTJvRG9jLnhtbFBLBQYAAAAABgAGAFkBAACeBQAAAAA=&#10;">
                <v:fill on="t" focussize="0,0"/>
                <v:stroke color="#000000" joinstyle="miter"/>
                <v:imagedata o:title=""/>
                <o:lock v:ext="edit" aspectratio="f"/>
                <v:textbox>
                  <w:txbxContent>
                    <w:p w14:paraId="152DF9E1">
                      <w:r>
                        <w:rPr>
                          <w:rFonts w:hint="eastAsia" w:ascii="仿宋_GB2312" w:eastAsia="仿宋_GB2312"/>
                          <w:sz w:val="36"/>
                          <w:szCs w:val="36"/>
                        </w:rPr>
                        <w:t>编制情况承诺书</w:t>
                      </w:r>
                    </w:p>
                  </w:txbxContent>
                </v:textbox>
              </v:shape>
            </w:pict>
          </mc:Fallback>
        </mc:AlternateContent>
      </w:r>
      <w:r>
        <w:rPr>
          <w:color w:val="auto"/>
          <w:sz w:val="30"/>
        </w:rPr>
        <w:drawing>
          <wp:inline distT="0" distB="0" distL="114300" distR="114300">
            <wp:extent cx="5728335" cy="8105775"/>
            <wp:effectExtent l="9525" t="9525" r="15240" b="19050"/>
            <wp:docPr id="30" name="图片 30" descr="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_00"/>
                    <pic:cNvPicPr>
                      <a:picLocks noChangeAspect="1"/>
                    </pic:cNvPicPr>
                  </pic:nvPicPr>
                  <pic:blipFill>
                    <a:blip r:embed="rId26"/>
                    <a:stretch>
                      <a:fillRect/>
                    </a:stretch>
                  </pic:blipFill>
                  <pic:spPr>
                    <a:xfrm>
                      <a:off x="0" y="0"/>
                      <a:ext cx="5728335" cy="8105775"/>
                    </a:xfrm>
                    <a:prstGeom prst="rect">
                      <a:avLst/>
                    </a:prstGeom>
                    <a:ln>
                      <a:solidFill>
                        <a:schemeClr val="tx1"/>
                      </a:solidFill>
                    </a:ln>
                  </pic:spPr>
                </pic:pic>
              </a:graphicData>
            </a:graphic>
          </wp:inline>
        </w:drawing>
      </w:r>
      <w:r>
        <w:rPr>
          <w:color w:val="auto"/>
          <w:sz w:val="30"/>
        </w:rPr>
        <mc:AlternateContent>
          <mc:Choice Requires="wps">
            <w:drawing>
              <wp:anchor distT="0" distB="0" distL="114300" distR="114300" simplePos="0" relativeHeight="251674624" behindDoc="0" locked="0" layoutInCell="1" allowOverlap="1">
                <wp:simplePos x="0" y="0"/>
                <wp:positionH relativeFrom="column">
                  <wp:posOffset>3943985</wp:posOffset>
                </wp:positionH>
                <wp:positionV relativeFrom="paragraph">
                  <wp:posOffset>635</wp:posOffset>
                </wp:positionV>
                <wp:extent cx="1800225" cy="409575"/>
                <wp:effectExtent l="4445" t="4445" r="5080" b="5080"/>
                <wp:wrapNone/>
                <wp:docPr id="15" name="文本框 15"/>
                <wp:cNvGraphicFramePr/>
                <a:graphic xmlns:a="http://schemas.openxmlformats.org/drawingml/2006/main">
                  <a:graphicData uri="http://schemas.microsoft.com/office/word/2010/wordprocessingShape">
                    <wps:wsp>
                      <wps:cNvSpPr txBox="1"/>
                      <wps:spPr>
                        <a:xfrm>
                          <a:off x="0" y="0"/>
                          <a:ext cx="1800225"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86878">
                            <w:r>
                              <w:rPr>
                                <w:rFonts w:hint="eastAsia" w:ascii="仿宋_GB2312" w:eastAsia="仿宋_GB2312"/>
                                <w:sz w:val="36"/>
                                <w:szCs w:val="36"/>
                              </w:rPr>
                              <w:t>编制人员承诺书</w:t>
                            </w:r>
                          </w:p>
                        </w:txbxContent>
                      </wps:txbx>
                      <wps:bodyPr upright="1"/>
                    </wps:wsp>
                  </a:graphicData>
                </a:graphic>
              </wp:anchor>
            </w:drawing>
          </mc:Choice>
          <mc:Fallback>
            <w:pict>
              <v:shape id="_x0000_s1026" o:spid="_x0000_s1026" o:spt="202" type="#_x0000_t202" style="position:absolute;left:0pt;margin-left:310.55pt;margin-top:0.05pt;height:32.25pt;width:141.75pt;z-index:251674624;mso-width-relative:page;mso-height-relative:page;" fillcolor="#FFFFFF" filled="t" stroked="t" coordsize="21600,21600" o:gfxdata="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L7BOzVAAAABwEAAA8AAAAAAAAAAQAgAAAAIgAA&#10;AGRycy9kb3ducmV2LnhtbFBLAQIUABQAAAAIAIdO4kAe1BdoCwIAADgEAAAOAAAAAAAAAAEAIAAA&#10;ACQBAABkcnMvZTJvRG9jLnhtbFBLBQYAAAAABgAGAFkBAAChBQAAAAA=&#10;">
                <v:fill on="t" focussize="0,0"/>
                <v:stroke color="#000000" joinstyle="miter"/>
                <v:imagedata o:title=""/>
                <o:lock v:ext="edit" aspectratio="f"/>
                <v:textbox>
                  <w:txbxContent>
                    <w:p w14:paraId="3B286878">
                      <w:r>
                        <w:rPr>
                          <w:rFonts w:hint="eastAsia" w:ascii="仿宋_GB2312" w:eastAsia="仿宋_GB2312"/>
                          <w:sz w:val="36"/>
                          <w:szCs w:val="36"/>
                        </w:rPr>
                        <w:t>编制人员承诺书</w:t>
                      </w:r>
                    </w:p>
                  </w:txbxContent>
                </v:textbox>
              </v:shape>
            </w:pict>
          </mc:Fallback>
        </mc:AlternateContent>
      </w:r>
      <w:r>
        <w:rPr>
          <w:rFonts w:hint="eastAsia"/>
          <w:color w:val="auto"/>
        </w:rPr>
        <w:drawing>
          <wp:inline distT="0" distB="0" distL="114300" distR="114300">
            <wp:extent cx="5728335" cy="8105775"/>
            <wp:effectExtent l="9525" t="9525" r="15240" b="19050"/>
            <wp:docPr id="9" name="图片 9" descr="DOC052725-052720252032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52725-05272025203231_00"/>
                    <pic:cNvPicPr>
                      <a:picLocks noChangeAspect="1"/>
                    </pic:cNvPicPr>
                  </pic:nvPicPr>
                  <pic:blipFill>
                    <a:blip r:embed="rId27"/>
                    <a:stretch>
                      <a:fillRect/>
                    </a:stretch>
                  </pic:blipFill>
                  <pic:spPr>
                    <a:xfrm>
                      <a:off x="0" y="0"/>
                      <a:ext cx="5728335" cy="8105775"/>
                    </a:xfrm>
                    <a:prstGeom prst="rect">
                      <a:avLst/>
                    </a:prstGeom>
                    <a:ln>
                      <a:solidFill>
                        <a:schemeClr val="tx1"/>
                      </a:solidFill>
                    </a:ln>
                  </pic:spPr>
                </pic:pic>
              </a:graphicData>
            </a:graphic>
          </wp:inline>
        </w:drawing>
      </w:r>
    </w:p>
    <w:p w14:paraId="78859035">
      <w:pPr>
        <w:pStyle w:val="9"/>
        <w:jc w:val="center"/>
        <w:rPr>
          <w:color w:val="auto"/>
        </w:rPr>
        <w:sectPr>
          <w:footerReference r:id="rId5" w:type="default"/>
          <w:pgSz w:w="16838" w:h="11906" w:orient="landscape"/>
          <w:pgMar w:top="1440" w:right="1440" w:bottom="1440" w:left="1440" w:header="851" w:footer="1077" w:gutter="0"/>
          <w:pgNumType w:start="1"/>
          <w:cols w:space="720" w:num="1"/>
          <w:docGrid w:linePitch="312" w:charSpace="0"/>
        </w:sectPr>
      </w:pPr>
      <w:r>
        <w:rPr>
          <w:color w:val="auto"/>
          <w:sz w:val="30"/>
        </w:rPr>
        <mc:AlternateContent>
          <mc:Choice Requires="wps">
            <w:drawing>
              <wp:anchor distT="0" distB="0" distL="114300" distR="114300" simplePos="0" relativeHeight="251668480" behindDoc="0" locked="0" layoutInCell="1" allowOverlap="1">
                <wp:simplePos x="0" y="0"/>
                <wp:positionH relativeFrom="column">
                  <wp:posOffset>6512560</wp:posOffset>
                </wp:positionH>
                <wp:positionV relativeFrom="paragraph">
                  <wp:posOffset>41275</wp:posOffset>
                </wp:positionV>
                <wp:extent cx="2226945" cy="410210"/>
                <wp:effectExtent l="5080" t="4445" r="15875" b="23495"/>
                <wp:wrapNone/>
                <wp:docPr id="18" name="文本框 18"/>
                <wp:cNvGraphicFramePr/>
                <a:graphic xmlns:a="http://schemas.openxmlformats.org/drawingml/2006/main">
                  <a:graphicData uri="http://schemas.microsoft.com/office/word/2010/wordprocessingShape">
                    <wps:wsp>
                      <wps:cNvSpPr txBox="1"/>
                      <wps:spPr>
                        <a:xfrm>
                          <a:off x="0" y="0"/>
                          <a:ext cx="2226945" cy="410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37821C">
                            <w:pPr>
                              <w:adjustRightInd w:val="0"/>
                              <w:snapToGrid w:val="0"/>
                              <w:jc w:val="center"/>
                              <w:rPr>
                                <w:rFonts w:ascii="仿宋_GB2312" w:eastAsia="仿宋_GB2312"/>
                                <w:sz w:val="36"/>
                                <w:szCs w:val="36"/>
                              </w:rPr>
                            </w:pPr>
                            <w:r>
                              <w:rPr>
                                <w:rFonts w:hint="eastAsia" w:ascii="仿宋_GB2312" w:eastAsia="仿宋_GB2312"/>
                                <w:sz w:val="36"/>
                                <w:szCs w:val="36"/>
                              </w:rPr>
                              <w:t>建设单位营业执照</w:t>
                            </w:r>
                          </w:p>
                          <w:p w14:paraId="1D876569">
                            <w:pPr>
                              <w:jc w:val="center"/>
                            </w:pPr>
                          </w:p>
                        </w:txbxContent>
                      </wps:txbx>
                      <wps:bodyPr upright="1"/>
                    </wps:wsp>
                  </a:graphicData>
                </a:graphic>
              </wp:anchor>
            </w:drawing>
          </mc:Choice>
          <mc:Fallback>
            <w:pict>
              <v:shape id="_x0000_s1026" o:spid="_x0000_s1026" o:spt="202" type="#_x0000_t202" style="position:absolute;left:0pt;margin-left:512.8pt;margin-top:3.25pt;height:32.3pt;width:175.35pt;z-index:251668480;mso-width-relative:page;mso-height-relative:page;" fillcolor="#FFFFFF" filled="t" stroked="t" coordsize="21600,21600" o:gfxdata="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biz4tkAAAAKAQAADwAAAAAAAAABACAA&#10;AAAiAAAAZHJzL2Rvd25yZXYueG1sUEsBAhQAFAAAAAgAh07iQIn4QtEMAgAAOAQAAA4AAAAAAAAA&#10;AQAgAAAAKAEAAGRycy9lMm9Eb2MueG1sUEsFBgAAAAAGAAYAWQEAAKYFAAAAAA==&#10;">
                <v:fill on="t" focussize="0,0"/>
                <v:stroke color="#000000" joinstyle="miter"/>
                <v:imagedata o:title=""/>
                <o:lock v:ext="edit" aspectratio="f"/>
                <v:textbox>
                  <w:txbxContent>
                    <w:p w14:paraId="6537821C">
                      <w:pPr>
                        <w:adjustRightInd w:val="0"/>
                        <w:snapToGrid w:val="0"/>
                        <w:jc w:val="center"/>
                        <w:rPr>
                          <w:rFonts w:ascii="仿宋_GB2312" w:eastAsia="仿宋_GB2312"/>
                          <w:sz w:val="36"/>
                          <w:szCs w:val="36"/>
                        </w:rPr>
                      </w:pPr>
                      <w:r>
                        <w:rPr>
                          <w:rFonts w:hint="eastAsia" w:ascii="仿宋_GB2312" w:eastAsia="仿宋_GB2312"/>
                          <w:sz w:val="36"/>
                          <w:szCs w:val="36"/>
                        </w:rPr>
                        <w:t>建设单位营业执照</w:t>
                      </w:r>
                    </w:p>
                    <w:p w14:paraId="1D876569">
                      <w:pPr>
                        <w:jc w:val="center"/>
                      </w:pPr>
                    </w:p>
                  </w:txbxContent>
                </v:textbox>
              </v:shape>
            </w:pict>
          </mc:Fallback>
        </mc:AlternateContent>
      </w:r>
      <w:r>
        <w:rPr>
          <w:rFonts w:hint="eastAsia" w:eastAsiaTheme="minorEastAsia"/>
          <w:color w:val="auto"/>
        </w:rPr>
        <w:drawing>
          <wp:inline distT="0" distB="0" distL="114300" distR="114300">
            <wp:extent cx="8733790" cy="5685790"/>
            <wp:effectExtent l="9525" t="9525" r="19685" b="19685"/>
            <wp:docPr id="8" name="图片 8" descr="04 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营业执照_00"/>
                    <pic:cNvPicPr>
                      <a:picLocks noChangeAspect="1"/>
                    </pic:cNvPicPr>
                  </pic:nvPicPr>
                  <pic:blipFill>
                    <a:blip r:embed="rId28"/>
                    <a:stretch>
                      <a:fillRect/>
                    </a:stretch>
                  </pic:blipFill>
                  <pic:spPr>
                    <a:xfrm>
                      <a:off x="0" y="0"/>
                      <a:ext cx="8733790" cy="5685790"/>
                    </a:xfrm>
                    <a:prstGeom prst="rect">
                      <a:avLst/>
                    </a:prstGeom>
                    <a:ln>
                      <a:solidFill>
                        <a:schemeClr val="tx1"/>
                      </a:solidFill>
                    </a:ln>
                  </pic:spPr>
                </pic:pic>
              </a:graphicData>
            </a:graphic>
          </wp:inline>
        </w:drawing>
      </w:r>
      <w:r>
        <w:rPr>
          <w:color w:val="auto"/>
          <w:sz w:val="30"/>
        </w:rPr>
        <mc:AlternateContent>
          <mc:Choice Requires="wps">
            <w:drawing>
              <wp:anchor distT="0" distB="0" distL="114300" distR="114300" simplePos="0" relativeHeight="251666432" behindDoc="0" locked="0" layoutInCell="1" allowOverlap="1">
                <wp:simplePos x="0" y="0"/>
                <wp:positionH relativeFrom="column">
                  <wp:posOffset>6501130</wp:posOffset>
                </wp:positionH>
                <wp:positionV relativeFrom="paragraph">
                  <wp:posOffset>19685</wp:posOffset>
                </wp:positionV>
                <wp:extent cx="2226945" cy="410210"/>
                <wp:effectExtent l="5080" t="4445" r="15875" b="23495"/>
                <wp:wrapNone/>
                <wp:docPr id="11" name="文本框 11"/>
                <wp:cNvGraphicFramePr/>
                <a:graphic xmlns:a="http://schemas.openxmlformats.org/drawingml/2006/main">
                  <a:graphicData uri="http://schemas.microsoft.com/office/word/2010/wordprocessingShape">
                    <wps:wsp>
                      <wps:cNvSpPr txBox="1"/>
                      <wps:spPr>
                        <a:xfrm>
                          <a:off x="0" y="0"/>
                          <a:ext cx="2226945" cy="410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370C6B">
                            <w:pPr>
                              <w:adjustRightInd w:val="0"/>
                              <w:snapToGrid w:val="0"/>
                              <w:jc w:val="center"/>
                              <w:rPr>
                                <w:rFonts w:ascii="仿宋_GB2312" w:eastAsia="仿宋_GB2312"/>
                                <w:sz w:val="36"/>
                                <w:szCs w:val="36"/>
                              </w:rPr>
                            </w:pPr>
                            <w:r>
                              <w:rPr>
                                <w:rFonts w:hint="eastAsia" w:ascii="仿宋_GB2312" w:eastAsia="仿宋_GB2312"/>
                                <w:sz w:val="36"/>
                                <w:szCs w:val="36"/>
                              </w:rPr>
                              <w:t>编制单位营业执照</w:t>
                            </w:r>
                          </w:p>
                          <w:p w14:paraId="56E4369E">
                            <w:pPr>
                              <w:jc w:val="center"/>
                            </w:pPr>
                          </w:p>
                        </w:txbxContent>
                      </wps:txbx>
                      <wps:bodyPr upright="1"/>
                    </wps:wsp>
                  </a:graphicData>
                </a:graphic>
              </wp:anchor>
            </w:drawing>
          </mc:Choice>
          <mc:Fallback>
            <w:pict>
              <v:shape id="_x0000_s1026" o:spid="_x0000_s1026" o:spt="202" type="#_x0000_t202" style="position:absolute;left:0pt;margin-left:511.9pt;margin-top:1.55pt;height:32.3pt;width:175.35pt;z-index:251666432;mso-width-relative:page;mso-height-relative:page;" fillcolor="#FFFFFF" filled="t" stroked="t" coordsize="21600,21600" o:gfxdata="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31mWrZAAAACgEAAA8AAAAAAAAAAQAg&#10;AAAAIgAAAGRycy9kb3ducmV2LnhtbFBLAQIUABQAAAAIAIdO4kBcuWEXDQIAADgEAAAOAAAAAAAA&#10;AAEAIAAAACgBAABkcnMvZTJvRG9jLnhtbFBLBQYAAAAABgAGAFkBAACnBQAAAAA=&#10;">
                <v:fill on="t" focussize="0,0"/>
                <v:stroke color="#000000" joinstyle="miter"/>
                <v:imagedata o:title=""/>
                <o:lock v:ext="edit" aspectratio="f"/>
                <v:textbox>
                  <w:txbxContent>
                    <w:p w14:paraId="2C370C6B">
                      <w:pPr>
                        <w:adjustRightInd w:val="0"/>
                        <w:snapToGrid w:val="0"/>
                        <w:jc w:val="center"/>
                        <w:rPr>
                          <w:rFonts w:ascii="仿宋_GB2312" w:eastAsia="仿宋_GB2312"/>
                          <w:sz w:val="36"/>
                          <w:szCs w:val="36"/>
                        </w:rPr>
                      </w:pPr>
                      <w:r>
                        <w:rPr>
                          <w:rFonts w:hint="eastAsia" w:ascii="仿宋_GB2312" w:eastAsia="仿宋_GB2312"/>
                          <w:sz w:val="36"/>
                          <w:szCs w:val="36"/>
                        </w:rPr>
                        <w:t>编制单位营业执照</w:t>
                      </w:r>
                    </w:p>
                    <w:p w14:paraId="56E4369E">
                      <w:pPr>
                        <w:jc w:val="center"/>
                      </w:pPr>
                    </w:p>
                  </w:txbxContent>
                </v:textbox>
              </v:shape>
            </w:pict>
          </mc:Fallback>
        </mc:AlternateContent>
      </w:r>
      <w:r>
        <w:rPr>
          <w:rFonts w:hint="eastAsia"/>
          <w:color w:val="auto"/>
          <w:sz w:val="28"/>
          <w:szCs w:val="36"/>
        </w:rPr>
        <w:drawing>
          <wp:inline distT="0" distB="0" distL="114300" distR="114300">
            <wp:extent cx="8673465" cy="5400675"/>
            <wp:effectExtent l="9525" t="9525" r="22860" b="19050"/>
            <wp:docPr id="31" name="图片 1" descr="abade8b6c86f783a0d3362fd8b8e00e"/>
            <wp:cNvGraphicFramePr/>
            <a:graphic xmlns:a="http://schemas.openxmlformats.org/drawingml/2006/main">
              <a:graphicData uri="http://schemas.openxmlformats.org/drawingml/2006/picture">
                <pic:pic xmlns:pic="http://schemas.openxmlformats.org/drawingml/2006/picture">
                  <pic:nvPicPr>
                    <pic:cNvPr id="31" name="图片 1" descr="abade8b6c86f783a0d3362fd8b8e00e"/>
                    <pic:cNvPicPr/>
                  </pic:nvPicPr>
                  <pic:blipFill>
                    <a:blip r:embed="rId29"/>
                    <a:srcRect t="5644" b="1805"/>
                    <a:stretch>
                      <a:fillRect/>
                    </a:stretch>
                  </pic:blipFill>
                  <pic:spPr>
                    <a:xfrm>
                      <a:off x="0" y="0"/>
                      <a:ext cx="8673465" cy="5400675"/>
                    </a:xfrm>
                    <a:prstGeom prst="rect">
                      <a:avLst/>
                    </a:prstGeom>
                    <a:noFill/>
                    <a:ln>
                      <a:solidFill>
                        <a:schemeClr val="tx1"/>
                      </a:solidFill>
                    </a:ln>
                  </pic:spPr>
                </pic:pic>
              </a:graphicData>
            </a:graphic>
          </wp:inline>
        </w:drawing>
      </w:r>
    </w:p>
    <w:p w14:paraId="36FA4B46">
      <w:pPr>
        <w:jc w:val="center"/>
        <w:rPr>
          <w:color w:val="auto"/>
        </w:rPr>
        <w:sectPr>
          <w:footerReference r:id="rId6" w:type="default"/>
          <w:pgSz w:w="16838" w:h="11906" w:orient="landscape"/>
          <w:pgMar w:top="1440" w:right="1440" w:bottom="1440" w:left="1440" w:header="851" w:footer="1077" w:gutter="0"/>
          <w:pgNumType w:start="1"/>
          <w:cols w:space="720" w:num="1"/>
          <w:docGrid w:linePitch="312" w:charSpace="0"/>
        </w:sectPr>
      </w:pPr>
      <w:r>
        <w:rPr>
          <w:color w:val="auto"/>
          <w:sz w:val="30"/>
        </w:rPr>
        <mc:AlternateContent>
          <mc:Choice Requires="wps">
            <w:drawing>
              <wp:anchor distT="0" distB="0" distL="114300" distR="114300" simplePos="0" relativeHeight="251669504" behindDoc="0" locked="0" layoutInCell="1" allowOverlap="1">
                <wp:simplePos x="0" y="0"/>
                <wp:positionH relativeFrom="column">
                  <wp:posOffset>5151120</wp:posOffset>
                </wp:positionH>
                <wp:positionV relativeFrom="paragraph">
                  <wp:posOffset>26670</wp:posOffset>
                </wp:positionV>
                <wp:extent cx="3569970" cy="410210"/>
                <wp:effectExtent l="4445" t="4445" r="6985" b="23495"/>
                <wp:wrapNone/>
                <wp:docPr id="21" name="文本框 21"/>
                <wp:cNvGraphicFramePr/>
                <a:graphic xmlns:a="http://schemas.openxmlformats.org/drawingml/2006/main">
                  <a:graphicData uri="http://schemas.microsoft.com/office/word/2010/wordprocessingShape">
                    <wps:wsp>
                      <wps:cNvSpPr txBox="1"/>
                      <wps:spPr>
                        <a:xfrm>
                          <a:off x="0" y="0"/>
                          <a:ext cx="3569970" cy="410210"/>
                        </a:xfrm>
                        <a:prstGeom prst="rect">
                          <a:avLst/>
                        </a:prstGeom>
                        <a:noFill/>
                        <a:ln w="9525" cap="flat" cmpd="sng">
                          <a:solidFill>
                            <a:srgbClr val="000000"/>
                          </a:solidFill>
                          <a:prstDash val="solid"/>
                          <a:miter/>
                          <a:headEnd type="none" w="med" len="med"/>
                          <a:tailEnd type="none" w="med" len="med"/>
                        </a:ln>
                      </wps:spPr>
                      <wps:txbx>
                        <w:txbxContent>
                          <w:p w14:paraId="636B7B94">
                            <w:pPr>
                              <w:jc w:val="center"/>
                              <w:rPr>
                                <w:rFonts w:ascii="仿宋_GB2312" w:eastAsia="仿宋_GB2312"/>
                                <w:sz w:val="36"/>
                                <w:szCs w:val="36"/>
                              </w:rPr>
                            </w:pPr>
                            <w:r>
                              <w:rPr>
                                <w:rFonts w:hint="eastAsia" w:ascii="仿宋_GB2312" w:eastAsia="仿宋_GB2312"/>
                                <w:sz w:val="36"/>
                                <w:szCs w:val="36"/>
                              </w:rPr>
                              <w:t>编制单位环境信用平台信息截图</w:t>
                            </w:r>
                          </w:p>
                          <w:p w14:paraId="2D70CF42">
                            <w:pPr>
                              <w:jc w:val="center"/>
                              <w:rPr>
                                <w:rFonts w:ascii="仿宋_GB2312" w:eastAsia="仿宋_GB2312"/>
                                <w:sz w:val="36"/>
                                <w:szCs w:val="36"/>
                              </w:rPr>
                            </w:pPr>
                            <w:r>
                              <w:rPr>
                                <w:rFonts w:hint="eastAsia" w:ascii="仿宋_GB2312" w:eastAsia="仿宋_GB2312"/>
                                <w:sz w:val="36"/>
                                <w:szCs w:val="36"/>
                              </w:rPr>
                              <w:t>书</w:t>
                            </w:r>
                          </w:p>
                          <w:p w14:paraId="5BCBDF6E">
                            <w:pPr>
                              <w:jc w:val="center"/>
                            </w:pPr>
                          </w:p>
                        </w:txbxContent>
                      </wps:txbx>
                      <wps:bodyPr upright="1"/>
                    </wps:wsp>
                  </a:graphicData>
                </a:graphic>
              </wp:anchor>
            </w:drawing>
          </mc:Choice>
          <mc:Fallback>
            <w:pict>
              <v:shape id="_x0000_s1026" o:spid="_x0000_s1026" o:spt="202" type="#_x0000_t202" style="position:absolute;left:0pt;margin-left:405.6pt;margin-top:2.1pt;height:32.3pt;width:281.1pt;z-index:251669504;mso-width-relative:page;mso-height-relative:page;" filled="f" stroked="t" coordsize="21600,21600" o:gfxdata="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YhrHdcAAAAJAQAADwAAAAAAAAABACAAAAAiAAAA&#10;ZHJzL2Rvd25yZXYueG1sUEsBAhQAFAAAAAgAh07iQAdF+KAIAgAADwQAAA4AAAAAAAAAAQAgAAAA&#10;JgEAAGRycy9lMm9Eb2MueG1sUEsFBgAAAAAGAAYAWQEAAKAFAAAAAA==&#10;">
                <v:fill on="f" focussize="0,0"/>
                <v:stroke color="#000000" joinstyle="miter"/>
                <v:imagedata o:title=""/>
                <o:lock v:ext="edit" aspectratio="f"/>
                <v:textbox>
                  <w:txbxContent>
                    <w:p w14:paraId="636B7B94">
                      <w:pPr>
                        <w:jc w:val="center"/>
                        <w:rPr>
                          <w:rFonts w:ascii="仿宋_GB2312" w:eastAsia="仿宋_GB2312"/>
                          <w:sz w:val="36"/>
                          <w:szCs w:val="36"/>
                        </w:rPr>
                      </w:pPr>
                      <w:r>
                        <w:rPr>
                          <w:rFonts w:hint="eastAsia" w:ascii="仿宋_GB2312" w:eastAsia="仿宋_GB2312"/>
                          <w:sz w:val="36"/>
                          <w:szCs w:val="36"/>
                        </w:rPr>
                        <w:t>编制单位环境信用平台信息截图</w:t>
                      </w:r>
                    </w:p>
                    <w:p w14:paraId="2D70CF42">
                      <w:pPr>
                        <w:jc w:val="center"/>
                        <w:rPr>
                          <w:rFonts w:ascii="仿宋_GB2312" w:eastAsia="仿宋_GB2312"/>
                          <w:sz w:val="36"/>
                          <w:szCs w:val="36"/>
                        </w:rPr>
                      </w:pPr>
                      <w:r>
                        <w:rPr>
                          <w:rFonts w:hint="eastAsia" w:ascii="仿宋_GB2312" w:eastAsia="仿宋_GB2312"/>
                          <w:sz w:val="36"/>
                          <w:szCs w:val="36"/>
                        </w:rPr>
                        <w:t>书</w:t>
                      </w:r>
                    </w:p>
                    <w:p w14:paraId="5BCBDF6E">
                      <w:pPr>
                        <w:jc w:val="center"/>
                      </w:pPr>
                    </w:p>
                  </w:txbxContent>
                </v:textbox>
              </v:shape>
            </w:pict>
          </mc:Fallback>
        </mc:AlternateContent>
      </w:r>
      <w:r>
        <w:rPr>
          <w:color w:val="auto"/>
          <w:sz w:val="30"/>
        </w:rPr>
        <w:drawing>
          <wp:inline distT="0" distB="0" distL="114300" distR="114300">
            <wp:extent cx="8615680" cy="5728335"/>
            <wp:effectExtent l="9525" t="9525" r="23495" b="15240"/>
            <wp:docPr id="2" name="图片 2" descr="f3b860a103b94d5103a159383c6b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b860a103b94d5103a159383c6b41e"/>
                    <pic:cNvPicPr>
                      <a:picLocks noChangeAspect="1"/>
                    </pic:cNvPicPr>
                  </pic:nvPicPr>
                  <pic:blipFill>
                    <a:blip r:embed="rId30"/>
                    <a:stretch>
                      <a:fillRect/>
                    </a:stretch>
                  </pic:blipFill>
                  <pic:spPr>
                    <a:xfrm>
                      <a:off x="0" y="0"/>
                      <a:ext cx="8615680" cy="5728335"/>
                    </a:xfrm>
                    <a:prstGeom prst="rect">
                      <a:avLst/>
                    </a:prstGeom>
                    <a:ln>
                      <a:solidFill>
                        <a:schemeClr val="tx1"/>
                      </a:solidFill>
                    </a:ln>
                  </pic:spPr>
                </pic:pic>
              </a:graphicData>
            </a:graphic>
          </wp:inline>
        </w:drawing>
      </w:r>
    </w:p>
    <w:p w14:paraId="3B268662">
      <w:pPr>
        <w:widowControl/>
        <w:spacing w:before="100" w:beforeAutospacing="1" w:after="100" w:afterAutospacing="1"/>
        <w:jc w:val="center"/>
        <w:rPr>
          <w:rFonts w:hint="eastAsia" w:ascii="黑体" w:hAnsi="黑体" w:eastAsia="黑体"/>
          <w:b/>
          <w:bCs/>
          <w:snapToGrid w:val="0"/>
          <w:color w:val="auto"/>
          <w:kern w:val="0"/>
          <w:sz w:val="30"/>
          <w:szCs w:val="30"/>
        </w:rPr>
        <w:sectPr>
          <w:headerReference r:id="rId7" w:type="default"/>
          <w:footerReference r:id="rId8" w:type="default"/>
          <w:footerReference r:id="rId9" w:type="even"/>
          <w:pgSz w:w="16838" w:h="11906" w:orient="landscape"/>
          <w:pgMar w:top="1531" w:right="1701" w:bottom="1531" w:left="1701" w:header="851" w:footer="1077" w:gutter="0"/>
          <w:pgNumType w:start="21"/>
          <w:cols w:space="720" w:num="1"/>
          <w:docGrid w:linePitch="312" w:charSpace="0"/>
        </w:sectPr>
      </w:pPr>
      <w:bookmarkStart w:id="7" w:name="_Toc1128"/>
      <w:bookmarkStart w:id="8" w:name="_Toc32303"/>
      <w:bookmarkStart w:id="9" w:name="_Toc28925"/>
      <w:bookmarkStart w:id="10" w:name="_Toc3779"/>
      <w:r>
        <w:rPr>
          <w:color w:val="auto"/>
          <w:sz w:val="30"/>
        </w:rPr>
        <mc:AlternateContent>
          <mc:Choice Requires="wps">
            <w:drawing>
              <wp:anchor distT="0" distB="0" distL="114300" distR="114300" simplePos="0" relativeHeight="251670528" behindDoc="0" locked="0" layoutInCell="1" allowOverlap="1">
                <wp:simplePos x="0" y="0"/>
                <wp:positionH relativeFrom="column">
                  <wp:posOffset>4903470</wp:posOffset>
                </wp:positionH>
                <wp:positionV relativeFrom="paragraph">
                  <wp:posOffset>193040</wp:posOffset>
                </wp:positionV>
                <wp:extent cx="3569970" cy="410210"/>
                <wp:effectExtent l="4445" t="4445" r="6985" b="23495"/>
                <wp:wrapNone/>
                <wp:docPr id="23" name="文本框 23"/>
                <wp:cNvGraphicFramePr/>
                <a:graphic xmlns:a="http://schemas.openxmlformats.org/drawingml/2006/main">
                  <a:graphicData uri="http://schemas.microsoft.com/office/word/2010/wordprocessingShape">
                    <wps:wsp>
                      <wps:cNvSpPr txBox="1"/>
                      <wps:spPr>
                        <a:xfrm>
                          <a:off x="0" y="0"/>
                          <a:ext cx="3569970" cy="410210"/>
                        </a:xfrm>
                        <a:prstGeom prst="rect">
                          <a:avLst/>
                        </a:prstGeom>
                        <a:noFill/>
                        <a:ln w="9525" cap="flat" cmpd="sng">
                          <a:solidFill>
                            <a:srgbClr val="000000"/>
                          </a:solidFill>
                          <a:prstDash val="solid"/>
                          <a:miter/>
                          <a:headEnd type="none" w="med" len="med"/>
                          <a:tailEnd type="none" w="med" len="med"/>
                        </a:ln>
                      </wps:spPr>
                      <wps:txbx>
                        <w:txbxContent>
                          <w:p w14:paraId="4ADDF756">
                            <w:pPr>
                              <w:jc w:val="center"/>
                              <w:rPr>
                                <w:rFonts w:ascii="仿宋_GB2312" w:eastAsia="仿宋_GB2312"/>
                                <w:sz w:val="36"/>
                                <w:szCs w:val="36"/>
                              </w:rPr>
                            </w:pPr>
                            <w:r>
                              <w:rPr>
                                <w:rFonts w:hint="eastAsia" w:ascii="仿宋_GB2312" w:eastAsia="仿宋_GB2312"/>
                                <w:sz w:val="36"/>
                                <w:szCs w:val="36"/>
                              </w:rPr>
                              <w:t>编制单位编制人员环境信用平台信息截图书</w:t>
                            </w:r>
                          </w:p>
                          <w:p w14:paraId="406688A4">
                            <w:pPr>
                              <w:jc w:val="center"/>
                            </w:pPr>
                          </w:p>
                        </w:txbxContent>
                      </wps:txbx>
                      <wps:bodyPr upright="1"/>
                    </wps:wsp>
                  </a:graphicData>
                </a:graphic>
              </wp:anchor>
            </w:drawing>
          </mc:Choice>
          <mc:Fallback>
            <w:pict>
              <v:shape id="_x0000_s1026" o:spid="_x0000_s1026" o:spt="202" type="#_x0000_t202" style="position:absolute;left:0pt;margin-left:386.1pt;margin-top:15.2pt;height:32.3pt;width:281.1pt;z-index:251670528;mso-width-relative:page;mso-height-relative:page;" filled="f" stroked="t" coordsize="21600,21600" o:gfxdata="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WeTdcAAAAKAQAADwAAAAAAAAABACAAAAAiAAAA&#10;ZHJzL2Rvd25yZXYueG1sUEsBAhQAFAAAAAgAh07iQPIdtYIIAgAADwQAAA4AAAAAAAAAAQAgAAAA&#10;JgEAAGRycy9lMm9Eb2MueG1sUEsFBgAAAAAGAAYAWQEAAKAFAAAAAA==&#10;">
                <v:fill on="f" focussize="0,0"/>
                <v:stroke color="#000000" joinstyle="miter"/>
                <v:imagedata o:title=""/>
                <o:lock v:ext="edit" aspectratio="f"/>
                <v:textbox>
                  <w:txbxContent>
                    <w:p w14:paraId="4ADDF756">
                      <w:pPr>
                        <w:jc w:val="center"/>
                        <w:rPr>
                          <w:rFonts w:ascii="仿宋_GB2312" w:eastAsia="仿宋_GB2312"/>
                          <w:sz w:val="36"/>
                          <w:szCs w:val="36"/>
                        </w:rPr>
                      </w:pPr>
                      <w:r>
                        <w:rPr>
                          <w:rFonts w:hint="eastAsia" w:ascii="仿宋_GB2312" w:eastAsia="仿宋_GB2312"/>
                          <w:sz w:val="36"/>
                          <w:szCs w:val="36"/>
                        </w:rPr>
                        <w:t>编制单位编制人员环境信用平台信息截图书</w:t>
                      </w:r>
                    </w:p>
                    <w:p w14:paraId="406688A4">
                      <w:pPr>
                        <w:jc w:val="center"/>
                      </w:pPr>
                    </w:p>
                  </w:txbxContent>
                </v:textbox>
              </v:shape>
            </w:pict>
          </mc:Fallback>
        </mc:AlternateContent>
      </w:r>
      <w:r>
        <w:rPr>
          <w:color w:val="auto"/>
        </w:rPr>
        <w:drawing>
          <wp:inline distT="0" distB="0" distL="114300" distR="114300">
            <wp:extent cx="8460740" cy="5219065"/>
            <wp:effectExtent l="9525" t="9525" r="2603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1"/>
                    <a:stretch>
                      <a:fillRect/>
                    </a:stretch>
                  </pic:blipFill>
                  <pic:spPr>
                    <a:xfrm>
                      <a:off x="0" y="0"/>
                      <a:ext cx="8460740" cy="5219065"/>
                    </a:xfrm>
                    <a:prstGeom prst="rect">
                      <a:avLst/>
                    </a:prstGeom>
                    <a:noFill/>
                    <a:ln>
                      <a:solidFill>
                        <a:schemeClr val="tx1"/>
                      </a:solidFill>
                    </a:ln>
                  </pic:spPr>
                </pic:pic>
              </a:graphicData>
            </a:graphic>
          </wp:inline>
        </w:drawing>
      </w:r>
      <w:r>
        <w:rPr>
          <w:color w:val="auto"/>
        </w:rPr>
        <w:drawing>
          <wp:inline distT="0" distB="0" distL="114300" distR="114300">
            <wp:extent cx="8432800" cy="5226685"/>
            <wp:effectExtent l="9525" t="9525" r="15875" b="215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2"/>
                    <a:stretch>
                      <a:fillRect/>
                    </a:stretch>
                  </pic:blipFill>
                  <pic:spPr>
                    <a:xfrm>
                      <a:off x="0" y="0"/>
                      <a:ext cx="8432800" cy="5226685"/>
                    </a:xfrm>
                    <a:prstGeom prst="rect">
                      <a:avLst/>
                    </a:prstGeom>
                    <a:noFill/>
                    <a:ln>
                      <a:solidFill>
                        <a:schemeClr val="tx1"/>
                      </a:solidFill>
                    </a:ln>
                  </pic:spPr>
                </pic:pic>
              </a:graphicData>
            </a:graphic>
          </wp:inline>
        </w:drawing>
      </w:r>
      <w:bookmarkEnd w:id="7"/>
      <w:bookmarkEnd w:id="8"/>
      <w:bookmarkEnd w:id="9"/>
      <w:bookmarkEnd w:id="10"/>
    </w:p>
    <w:p w14:paraId="4FFE4228">
      <w:pPr>
        <w:widowControl/>
        <w:spacing w:before="100" w:beforeAutospacing="1" w:after="100" w:afterAutospacing="1"/>
        <w:jc w:val="center"/>
        <w:rPr>
          <w:color w:val="auto"/>
          <w:sz w:val="30"/>
        </w:rPr>
        <w:sectPr>
          <w:pgSz w:w="16838" w:h="11906" w:orient="landscape"/>
          <w:pgMar w:top="1531" w:right="1701" w:bottom="1531" w:left="1701" w:header="851" w:footer="1077" w:gutter="0"/>
          <w:pgNumType w:start="21"/>
          <w:cols w:space="720" w:num="1"/>
          <w:docGrid w:linePitch="312" w:charSpace="0"/>
        </w:sectPr>
      </w:pPr>
      <w:r>
        <w:rPr>
          <w:color w:val="auto"/>
          <w:sz w:val="30"/>
        </w:rPr>
        <mc:AlternateContent>
          <mc:Choice Requires="wps">
            <w:drawing>
              <wp:anchor distT="0" distB="0" distL="114300" distR="114300" simplePos="0" relativeHeight="251672576" behindDoc="0" locked="0" layoutInCell="1" allowOverlap="1">
                <wp:simplePos x="0" y="0"/>
                <wp:positionH relativeFrom="column">
                  <wp:posOffset>6260465</wp:posOffset>
                </wp:positionH>
                <wp:positionV relativeFrom="paragraph">
                  <wp:posOffset>11430</wp:posOffset>
                </wp:positionV>
                <wp:extent cx="2226945" cy="410210"/>
                <wp:effectExtent l="5080" t="4445" r="15875" b="23495"/>
                <wp:wrapNone/>
                <wp:docPr id="13" name="文本框 13"/>
                <wp:cNvGraphicFramePr/>
                <a:graphic xmlns:a="http://schemas.openxmlformats.org/drawingml/2006/main">
                  <a:graphicData uri="http://schemas.microsoft.com/office/word/2010/wordprocessingShape">
                    <wps:wsp>
                      <wps:cNvSpPr txBox="1"/>
                      <wps:spPr>
                        <a:xfrm>
                          <a:off x="0" y="0"/>
                          <a:ext cx="2226945" cy="410210"/>
                        </a:xfrm>
                        <a:prstGeom prst="rect">
                          <a:avLst/>
                        </a:prstGeom>
                        <a:noFill/>
                        <a:ln w="9525" cap="flat" cmpd="sng">
                          <a:solidFill>
                            <a:srgbClr val="000000"/>
                          </a:solidFill>
                          <a:prstDash val="solid"/>
                          <a:miter/>
                          <a:headEnd type="none" w="med" len="med"/>
                          <a:tailEnd type="none" w="med" len="med"/>
                        </a:ln>
                      </wps:spPr>
                      <wps:txbx>
                        <w:txbxContent>
                          <w:p w14:paraId="4064C033">
                            <w:pPr>
                              <w:jc w:val="center"/>
                              <w:rPr>
                                <w:rFonts w:ascii="仿宋_GB2312" w:eastAsia="仿宋_GB2312"/>
                                <w:sz w:val="36"/>
                                <w:szCs w:val="36"/>
                              </w:rPr>
                            </w:pPr>
                            <w:r>
                              <w:rPr>
                                <w:rFonts w:hint="eastAsia" w:ascii="仿宋_GB2312" w:eastAsia="仿宋_GB2312"/>
                                <w:sz w:val="36"/>
                                <w:szCs w:val="36"/>
                              </w:rPr>
                              <w:t>编制主持人资格证书</w:t>
                            </w:r>
                          </w:p>
                          <w:p w14:paraId="742E38D2">
                            <w:pPr>
                              <w:jc w:val="center"/>
                            </w:pPr>
                          </w:p>
                        </w:txbxContent>
                      </wps:txbx>
                      <wps:bodyPr upright="1"/>
                    </wps:wsp>
                  </a:graphicData>
                </a:graphic>
              </wp:anchor>
            </w:drawing>
          </mc:Choice>
          <mc:Fallback>
            <w:pict>
              <v:shape id="_x0000_s1026" o:spid="_x0000_s1026" o:spt="202" type="#_x0000_t202" style="position:absolute;left:0pt;margin-left:492.95pt;margin-top:0.9pt;height:32.3pt;width:175.35pt;z-index:251672576;mso-width-relative:page;mso-height-relative:page;" filled="f" stroked="t" coordsize="21600,21600" o:gfxdata="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dt3PDWAAAACQEAAA8AAAAAAAAAAQAgAAAAIgAAAGRy&#10;cy9kb3ducmV2LnhtbFBLAQIUABQAAAAIAIdO4kCuLfeDBwIAAA8EAAAOAAAAAAAAAAEAIAAAACUB&#10;AABkcnMvZTJvRG9jLnhtbFBLBQYAAAAABgAGAFkBAACeBQAAAAA=&#10;">
                <v:fill on="f" focussize="0,0"/>
                <v:stroke color="#000000" joinstyle="miter"/>
                <v:imagedata o:title=""/>
                <o:lock v:ext="edit" aspectratio="f"/>
                <v:textbox>
                  <w:txbxContent>
                    <w:p w14:paraId="4064C033">
                      <w:pPr>
                        <w:jc w:val="center"/>
                        <w:rPr>
                          <w:rFonts w:ascii="仿宋_GB2312" w:eastAsia="仿宋_GB2312"/>
                          <w:sz w:val="36"/>
                          <w:szCs w:val="36"/>
                        </w:rPr>
                      </w:pPr>
                      <w:r>
                        <w:rPr>
                          <w:rFonts w:hint="eastAsia" w:ascii="仿宋_GB2312" w:eastAsia="仿宋_GB2312"/>
                          <w:sz w:val="36"/>
                          <w:szCs w:val="36"/>
                        </w:rPr>
                        <w:t>编制主持人资格证书</w:t>
                      </w:r>
                    </w:p>
                    <w:p w14:paraId="742E38D2">
                      <w:pPr>
                        <w:jc w:val="center"/>
                      </w:pPr>
                    </w:p>
                  </w:txbxContent>
                </v:textbox>
              </v:shape>
            </w:pict>
          </mc:Fallback>
        </mc:AlternateContent>
      </w:r>
      <w:r>
        <w:rPr>
          <w:color w:val="auto"/>
          <w:sz w:val="30"/>
        </w:rPr>
        <w:drawing>
          <wp:inline distT="0" distB="0" distL="114300" distR="114300">
            <wp:extent cx="8428355" cy="5631180"/>
            <wp:effectExtent l="9525" t="9525" r="20320" b="17145"/>
            <wp:docPr id="29" name="图片 29" descr="舒工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舒工工程师证"/>
                    <pic:cNvPicPr>
                      <a:picLocks noChangeAspect="1"/>
                    </pic:cNvPicPr>
                  </pic:nvPicPr>
                  <pic:blipFill>
                    <a:blip r:embed="rId33"/>
                    <a:stretch>
                      <a:fillRect/>
                    </a:stretch>
                  </pic:blipFill>
                  <pic:spPr>
                    <a:xfrm>
                      <a:off x="0" y="0"/>
                      <a:ext cx="8428355" cy="5631180"/>
                    </a:xfrm>
                    <a:prstGeom prst="rect">
                      <a:avLst/>
                    </a:prstGeom>
                    <a:ln>
                      <a:solidFill>
                        <a:schemeClr val="tx1"/>
                      </a:solidFill>
                    </a:ln>
                  </pic:spPr>
                </pic:pic>
              </a:graphicData>
            </a:graphic>
          </wp:inline>
        </w:drawing>
      </w:r>
    </w:p>
    <w:p w14:paraId="683CC93A">
      <w:pPr>
        <w:autoSpaceDE w:val="0"/>
        <w:autoSpaceDN w:val="0"/>
        <w:spacing w:line="360" w:lineRule="auto"/>
        <w:jc w:val="center"/>
        <w:rPr>
          <w:rFonts w:hint="eastAsia" w:ascii="宋体" w:hAnsi="宋体" w:cs="宋体"/>
          <w:b/>
          <w:bCs/>
          <w:color w:val="auto"/>
          <w:sz w:val="36"/>
          <w:szCs w:val="36"/>
        </w:rPr>
        <w:sectPr>
          <w:pgSz w:w="11906" w:h="16838"/>
          <w:pgMar w:top="1701" w:right="1531" w:bottom="1701" w:left="1531" w:header="851" w:footer="1077" w:gutter="0"/>
          <w:pgNumType w:start="21"/>
          <w:cols w:space="720" w:num="1"/>
          <w:docGrid w:linePitch="312" w:charSpace="0"/>
        </w:sectPr>
      </w:pPr>
      <w:r>
        <w:rPr>
          <w:color w:val="auto"/>
          <w:sz w:val="30"/>
        </w:rPr>
        <mc:AlternateContent>
          <mc:Choice Requires="wps">
            <w:drawing>
              <wp:anchor distT="0" distB="0" distL="114300" distR="114300" simplePos="0" relativeHeight="251671552" behindDoc="0" locked="0" layoutInCell="1" allowOverlap="1">
                <wp:simplePos x="0" y="0"/>
                <wp:positionH relativeFrom="column">
                  <wp:posOffset>3796665</wp:posOffset>
                </wp:positionH>
                <wp:positionV relativeFrom="paragraph">
                  <wp:posOffset>5715</wp:posOffset>
                </wp:positionV>
                <wp:extent cx="1827530" cy="384175"/>
                <wp:effectExtent l="4445" t="4445" r="15875" b="11430"/>
                <wp:wrapNone/>
                <wp:docPr id="28" name="文本框 28"/>
                <wp:cNvGraphicFramePr/>
                <a:graphic xmlns:a="http://schemas.openxmlformats.org/drawingml/2006/main">
                  <a:graphicData uri="http://schemas.microsoft.com/office/word/2010/wordprocessingShape">
                    <wps:wsp>
                      <wps:cNvSpPr txBox="1"/>
                      <wps:spPr>
                        <a:xfrm>
                          <a:off x="0" y="0"/>
                          <a:ext cx="1827530" cy="384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64EC5">
                            <w:pPr>
                              <w:jc w:val="center"/>
                            </w:pPr>
                            <w:r>
                              <w:rPr>
                                <w:rFonts w:hint="eastAsia" w:ascii="仿宋_GB2312" w:eastAsia="仿宋_GB2312"/>
                                <w:sz w:val="36"/>
                                <w:szCs w:val="36"/>
                              </w:rPr>
                              <w:t>工程师参保证明</w:t>
                            </w:r>
                          </w:p>
                        </w:txbxContent>
                      </wps:txbx>
                      <wps:bodyPr upright="1"/>
                    </wps:wsp>
                  </a:graphicData>
                </a:graphic>
              </wp:anchor>
            </w:drawing>
          </mc:Choice>
          <mc:Fallback>
            <w:pict>
              <v:shape id="_x0000_s1026" o:spid="_x0000_s1026" o:spt="202" type="#_x0000_t202" style="position:absolute;left:0pt;margin-left:298.95pt;margin-top:0.45pt;height:30.25pt;width:143.9pt;z-index:251671552;mso-width-relative:page;mso-height-relative:page;" fillcolor="#FFFFFF" filled="t" stroked="t" coordsize="21600,21600" o:gfxdata="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qsetdcAAAAHAQAADwAAAAAAAAABACAAAAAi&#10;AAAAZHJzL2Rvd25yZXYueG1sUEsBAhQAFAAAAAgAh07iQJW0KMILAgAAOAQAAA4AAAAAAAAAAQAg&#10;AAAAJgEAAGRycy9lMm9Eb2MueG1sUEsFBgAAAAAGAAYAWQEAAKMFAAAAAA==&#10;">
                <v:fill on="t" focussize="0,0"/>
                <v:stroke color="#000000" joinstyle="miter"/>
                <v:imagedata o:title=""/>
                <o:lock v:ext="edit" aspectratio="f"/>
                <v:textbox>
                  <w:txbxContent>
                    <w:p w14:paraId="2FF64EC5">
                      <w:pPr>
                        <w:jc w:val="center"/>
                      </w:pPr>
                      <w:r>
                        <w:rPr>
                          <w:rFonts w:hint="eastAsia" w:ascii="仿宋_GB2312" w:eastAsia="仿宋_GB2312"/>
                          <w:sz w:val="36"/>
                          <w:szCs w:val="36"/>
                        </w:rPr>
                        <w:t>工程师参保证明</w:t>
                      </w:r>
                    </w:p>
                  </w:txbxContent>
                </v:textbox>
              </v:shape>
            </w:pict>
          </mc:Fallback>
        </mc:AlternateContent>
      </w:r>
      <w:r>
        <w:rPr>
          <w:color w:val="auto"/>
          <w:sz w:val="30"/>
        </w:rPr>
        <w:drawing>
          <wp:inline distT="0" distB="0" distL="114300" distR="114300">
            <wp:extent cx="5615305" cy="7945120"/>
            <wp:effectExtent l="9525" t="9525" r="13970" b="27305"/>
            <wp:docPr id="22" name="图片 22" descr="202504舒忠强个人参保证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504舒忠强个人参保证明_00"/>
                    <pic:cNvPicPr>
                      <a:picLocks noChangeAspect="1"/>
                    </pic:cNvPicPr>
                  </pic:nvPicPr>
                  <pic:blipFill>
                    <a:blip r:embed="rId34"/>
                    <a:stretch>
                      <a:fillRect/>
                    </a:stretch>
                  </pic:blipFill>
                  <pic:spPr>
                    <a:xfrm>
                      <a:off x="0" y="0"/>
                      <a:ext cx="5615305" cy="7945120"/>
                    </a:xfrm>
                    <a:prstGeom prst="rect">
                      <a:avLst/>
                    </a:prstGeom>
                    <a:ln>
                      <a:solidFill>
                        <a:schemeClr val="tx1"/>
                      </a:solidFill>
                    </a:ln>
                  </pic:spPr>
                </pic:pic>
              </a:graphicData>
            </a:graphic>
          </wp:inline>
        </w:drawing>
      </w:r>
      <w:r>
        <w:rPr>
          <w:color w:val="auto"/>
          <w:sz w:val="30"/>
        </w:rPr>
        <w:drawing>
          <wp:inline distT="0" distB="0" distL="114300" distR="114300">
            <wp:extent cx="5615305" cy="7945120"/>
            <wp:effectExtent l="9525" t="9525" r="13970" b="27305"/>
            <wp:docPr id="19" name="图片 19" descr="202504舒忠强个人参保证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4舒忠强个人参保证明_01"/>
                    <pic:cNvPicPr>
                      <a:picLocks noChangeAspect="1"/>
                    </pic:cNvPicPr>
                  </pic:nvPicPr>
                  <pic:blipFill>
                    <a:blip r:embed="rId35"/>
                    <a:stretch>
                      <a:fillRect/>
                    </a:stretch>
                  </pic:blipFill>
                  <pic:spPr>
                    <a:xfrm>
                      <a:off x="0" y="0"/>
                      <a:ext cx="5615305" cy="7945120"/>
                    </a:xfrm>
                    <a:prstGeom prst="rect">
                      <a:avLst/>
                    </a:prstGeom>
                    <a:ln>
                      <a:solidFill>
                        <a:schemeClr val="tx1"/>
                      </a:solidFill>
                    </a:ln>
                  </pic:spPr>
                </pic:pic>
              </a:graphicData>
            </a:graphic>
          </wp:inline>
        </w:drawing>
      </w:r>
    </w:p>
    <w:p w14:paraId="7F00A7F5">
      <w:pPr>
        <w:autoSpaceDE w:val="0"/>
        <w:autoSpaceDN w:val="0"/>
        <w:spacing w:line="360" w:lineRule="auto"/>
        <w:jc w:val="center"/>
        <w:rPr>
          <w:rFonts w:hint="eastAsia" w:ascii="宋体" w:hAnsi="宋体" w:cs="宋体"/>
          <w:b/>
          <w:bCs/>
          <w:color w:val="auto"/>
          <w:kern w:val="0"/>
          <w:sz w:val="28"/>
          <w:szCs w:val="28"/>
        </w:rPr>
      </w:pPr>
      <w:r>
        <w:rPr>
          <w:rFonts w:hint="eastAsia" w:ascii="宋体" w:hAnsi="宋体" w:cs="宋体"/>
          <w:b/>
          <w:bCs/>
          <w:color w:val="auto"/>
          <w:sz w:val="30"/>
          <w:szCs w:val="30"/>
        </w:rPr>
        <w:t>目录</w:t>
      </w:r>
      <w:r>
        <w:rPr>
          <w:rFonts w:hint="eastAsia" w:ascii="宋体" w:hAnsi="宋体" w:cs="宋体"/>
          <w:b/>
          <w:bCs/>
          <w:color w:val="auto"/>
          <w:kern w:val="0"/>
          <w:sz w:val="28"/>
          <w:szCs w:val="28"/>
        </w:rPr>
        <w:fldChar w:fldCharType="begin"/>
      </w:r>
      <w:r>
        <w:rPr>
          <w:rFonts w:hint="eastAsia" w:ascii="宋体" w:hAnsi="宋体" w:cs="宋体"/>
          <w:b/>
          <w:bCs/>
          <w:color w:val="auto"/>
          <w:kern w:val="0"/>
          <w:sz w:val="28"/>
          <w:szCs w:val="28"/>
        </w:rPr>
        <w:instrText xml:space="preserve">TOC \o "1-1" \h \u </w:instrText>
      </w:r>
      <w:r>
        <w:rPr>
          <w:rFonts w:hint="eastAsia" w:ascii="宋体" w:hAnsi="宋体" w:cs="宋体"/>
          <w:b/>
          <w:bCs/>
          <w:color w:val="auto"/>
          <w:kern w:val="0"/>
          <w:sz w:val="28"/>
          <w:szCs w:val="28"/>
        </w:rPr>
        <w:fldChar w:fldCharType="separate"/>
      </w:r>
    </w:p>
    <w:p w14:paraId="573865CD">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"_Toc19583" </w:instrText>
      </w:r>
      <w:r>
        <w:rPr>
          <w:color w:val="auto"/>
        </w:rPr>
        <w:fldChar w:fldCharType="separate"/>
      </w:r>
      <w:r>
        <w:rPr>
          <w:rFonts w:hint="eastAsia"/>
          <w:b/>
          <w:bCs/>
          <w:snapToGrid w:val="0"/>
          <w:color w:val="auto"/>
          <w:sz w:val="24"/>
          <w:szCs w:val="24"/>
        </w:rPr>
        <w:t>一、建设项目基本情况</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_Toc19583 \h </w:instrText>
      </w:r>
      <w:r>
        <w:rPr>
          <w:rFonts w:hint="eastAsia"/>
          <w:b/>
          <w:bCs/>
          <w:color w:val="auto"/>
          <w:sz w:val="24"/>
          <w:szCs w:val="24"/>
        </w:rPr>
        <w:fldChar w:fldCharType="separate"/>
      </w:r>
      <w:r>
        <w:rPr>
          <w:rFonts w:hint="eastAsia"/>
          <w:b/>
          <w:bCs/>
          <w:color w:val="auto"/>
          <w:sz w:val="24"/>
          <w:szCs w:val="24"/>
        </w:rPr>
        <w:t>1</w:t>
      </w:r>
      <w:r>
        <w:rPr>
          <w:rFonts w:hint="eastAsia"/>
          <w:b/>
          <w:bCs/>
          <w:color w:val="auto"/>
          <w:sz w:val="24"/>
          <w:szCs w:val="24"/>
        </w:rPr>
        <w:fldChar w:fldCharType="end"/>
      </w:r>
      <w:r>
        <w:rPr>
          <w:rFonts w:hint="eastAsia"/>
          <w:b/>
          <w:bCs/>
          <w:color w:val="auto"/>
          <w:sz w:val="24"/>
          <w:szCs w:val="24"/>
        </w:rPr>
        <w:fldChar w:fldCharType="end"/>
      </w:r>
    </w:p>
    <w:p w14:paraId="29A656CB">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"_Toc29062" </w:instrText>
      </w:r>
      <w:r>
        <w:rPr>
          <w:color w:val="auto"/>
        </w:rPr>
        <w:fldChar w:fldCharType="separate"/>
      </w:r>
      <w:r>
        <w:rPr>
          <w:rFonts w:hint="eastAsia"/>
          <w:b/>
          <w:bCs/>
          <w:snapToGrid w:val="0"/>
          <w:color w:val="auto"/>
          <w:sz w:val="24"/>
          <w:szCs w:val="24"/>
        </w:rPr>
        <w:t>二、建设内容</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_Toc29062 \h </w:instrText>
      </w:r>
      <w:r>
        <w:rPr>
          <w:rFonts w:hint="eastAsia"/>
          <w:b/>
          <w:bCs/>
          <w:color w:val="auto"/>
          <w:sz w:val="24"/>
          <w:szCs w:val="24"/>
        </w:rPr>
        <w:fldChar w:fldCharType="separate"/>
      </w:r>
      <w:r>
        <w:rPr>
          <w:rFonts w:hint="eastAsia"/>
          <w:b/>
          <w:bCs/>
          <w:color w:val="auto"/>
          <w:sz w:val="24"/>
          <w:szCs w:val="24"/>
        </w:rPr>
        <w:t>12</w:t>
      </w:r>
      <w:r>
        <w:rPr>
          <w:rFonts w:hint="eastAsia"/>
          <w:b/>
          <w:bCs/>
          <w:color w:val="auto"/>
          <w:sz w:val="24"/>
          <w:szCs w:val="24"/>
        </w:rPr>
        <w:fldChar w:fldCharType="end"/>
      </w:r>
      <w:r>
        <w:rPr>
          <w:rFonts w:hint="eastAsia"/>
          <w:b/>
          <w:bCs/>
          <w:color w:val="auto"/>
          <w:sz w:val="24"/>
          <w:szCs w:val="24"/>
        </w:rPr>
        <w:fldChar w:fldCharType="end"/>
      </w:r>
    </w:p>
    <w:p w14:paraId="6D5C841B">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"_Toc27771" </w:instrText>
      </w:r>
      <w:r>
        <w:rPr>
          <w:color w:val="auto"/>
        </w:rPr>
        <w:fldChar w:fldCharType="separate"/>
      </w:r>
      <w:r>
        <w:rPr>
          <w:rFonts w:hint="eastAsia"/>
          <w:b/>
          <w:bCs/>
          <w:snapToGrid w:val="0"/>
          <w:color w:val="auto"/>
          <w:sz w:val="24"/>
          <w:szCs w:val="24"/>
        </w:rPr>
        <w:t>三、生态环境现状、保护目标及评价标准</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_Toc27771 \h </w:instrText>
      </w:r>
      <w:r>
        <w:rPr>
          <w:rFonts w:hint="eastAsia"/>
          <w:b/>
          <w:bCs/>
          <w:color w:val="auto"/>
          <w:sz w:val="24"/>
          <w:szCs w:val="24"/>
        </w:rPr>
        <w:fldChar w:fldCharType="separate"/>
      </w:r>
      <w:r>
        <w:rPr>
          <w:rFonts w:hint="eastAsia"/>
          <w:b/>
          <w:bCs/>
          <w:color w:val="auto"/>
          <w:sz w:val="24"/>
          <w:szCs w:val="24"/>
        </w:rPr>
        <w:t>24</w:t>
      </w:r>
      <w:r>
        <w:rPr>
          <w:rFonts w:hint="eastAsia"/>
          <w:b/>
          <w:bCs/>
          <w:color w:val="auto"/>
          <w:sz w:val="24"/>
          <w:szCs w:val="24"/>
        </w:rPr>
        <w:fldChar w:fldCharType="end"/>
      </w:r>
      <w:r>
        <w:rPr>
          <w:rFonts w:hint="eastAsia"/>
          <w:b/>
          <w:bCs/>
          <w:color w:val="auto"/>
          <w:sz w:val="24"/>
          <w:szCs w:val="24"/>
        </w:rPr>
        <w:fldChar w:fldCharType="end"/>
      </w:r>
    </w:p>
    <w:p w14:paraId="11450243">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"_Toc19308" </w:instrText>
      </w:r>
      <w:r>
        <w:rPr>
          <w:color w:val="auto"/>
        </w:rPr>
        <w:fldChar w:fldCharType="separate"/>
      </w:r>
      <w:r>
        <w:rPr>
          <w:rFonts w:hint="eastAsia"/>
          <w:b/>
          <w:bCs/>
          <w:snapToGrid w:val="0"/>
          <w:color w:val="auto"/>
          <w:sz w:val="24"/>
          <w:szCs w:val="24"/>
        </w:rPr>
        <w:t>四、生态环境影响分析</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_Toc19308 \h </w:instrText>
      </w:r>
      <w:r>
        <w:rPr>
          <w:rFonts w:hint="eastAsia"/>
          <w:b/>
          <w:bCs/>
          <w:color w:val="auto"/>
          <w:sz w:val="24"/>
          <w:szCs w:val="24"/>
        </w:rPr>
        <w:fldChar w:fldCharType="separate"/>
      </w:r>
      <w:r>
        <w:rPr>
          <w:rFonts w:hint="eastAsia"/>
          <w:b/>
          <w:bCs/>
          <w:color w:val="auto"/>
          <w:sz w:val="24"/>
          <w:szCs w:val="24"/>
        </w:rPr>
        <w:t>36</w:t>
      </w:r>
      <w:r>
        <w:rPr>
          <w:rFonts w:hint="eastAsia"/>
          <w:b/>
          <w:bCs/>
          <w:color w:val="auto"/>
          <w:sz w:val="24"/>
          <w:szCs w:val="24"/>
        </w:rPr>
        <w:fldChar w:fldCharType="end"/>
      </w:r>
      <w:r>
        <w:rPr>
          <w:rFonts w:hint="eastAsia"/>
          <w:b/>
          <w:bCs/>
          <w:color w:val="auto"/>
          <w:sz w:val="24"/>
          <w:szCs w:val="24"/>
        </w:rPr>
        <w:fldChar w:fldCharType="end"/>
      </w:r>
    </w:p>
    <w:p w14:paraId="1F7480F6">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"_Toc21852" </w:instrText>
      </w:r>
      <w:r>
        <w:rPr>
          <w:color w:val="auto"/>
        </w:rPr>
        <w:fldChar w:fldCharType="separate"/>
      </w:r>
      <w:r>
        <w:rPr>
          <w:rFonts w:hint="eastAsia"/>
          <w:b/>
          <w:bCs/>
          <w:snapToGrid w:val="0"/>
          <w:color w:val="auto"/>
          <w:sz w:val="24"/>
          <w:szCs w:val="24"/>
        </w:rPr>
        <w:t>五、主要生态环境保护措施</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_Toc21852 \h </w:instrText>
      </w:r>
      <w:r>
        <w:rPr>
          <w:rFonts w:hint="eastAsia"/>
          <w:b/>
          <w:bCs/>
          <w:color w:val="auto"/>
          <w:sz w:val="24"/>
          <w:szCs w:val="24"/>
        </w:rPr>
        <w:fldChar w:fldCharType="separate"/>
      </w:r>
      <w:r>
        <w:rPr>
          <w:rFonts w:hint="eastAsia"/>
          <w:b/>
          <w:bCs/>
          <w:color w:val="auto"/>
          <w:sz w:val="24"/>
          <w:szCs w:val="24"/>
        </w:rPr>
        <w:t>51</w:t>
      </w:r>
      <w:r>
        <w:rPr>
          <w:rFonts w:hint="eastAsia"/>
          <w:b/>
          <w:bCs/>
          <w:color w:val="auto"/>
          <w:sz w:val="24"/>
          <w:szCs w:val="24"/>
        </w:rPr>
        <w:fldChar w:fldCharType="end"/>
      </w:r>
      <w:r>
        <w:rPr>
          <w:rFonts w:hint="eastAsia"/>
          <w:b/>
          <w:bCs/>
          <w:color w:val="auto"/>
          <w:sz w:val="24"/>
          <w:szCs w:val="24"/>
        </w:rPr>
        <w:fldChar w:fldCharType="end"/>
      </w:r>
    </w:p>
    <w:p w14:paraId="53840ED2">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"_Toc16569" </w:instrText>
      </w:r>
      <w:r>
        <w:rPr>
          <w:color w:val="auto"/>
        </w:rPr>
        <w:fldChar w:fldCharType="separate"/>
      </w:r>
      <w:r>
        <w:rPr>
          <w:rFonts w:hint="eastAsia"/>
          <w:b/>
          <w:bCs/>
          <w:snapToGrid w:val="0"/>
          <w:color w:val="auto"/>
          <w:sz w:val="24"/>
          <w:szCs w:val="24"/>
        </w:rPr>
        <w:t>六、生态环境保护措施监督检查清单</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_Toc16569 \h </w:instrText>
      </w:r>
      <w:r>
        <w:rPr>
          <w:rFonts w:hint="eastAsia"/>
          <w:b/>
          <w:bCs/>
          <w:color w:val="auto"/>
          <w:sz w:val="24"/>
          <w:szCs w:val="24"/>
        </w:rPr>
        <w:fldChar w:fldCharType="separate"/>
      </w:r>
      <w:r>
        <w:rPr>
          <w:rFonts w:hint="eastAsia"/>
          <w:b/>
          <w:bCs/>
          <w:color w:val="auto"/>
          <w:sz w:val="24"/>
          <w:szCs w:val="24"/>
        </w:rPr>
        <w:t>60</w:t>
      </w:r>
      <w:r>
        <w:rPr>
          <w:rFonts w:hint="eastAsia"/>
          <w:b/>
          <w:bCs/>
          <w:color w:val="auto"/>
          <w:sz w:val="24"/>
          <w:szCs w:val="24"/>
        </w:rPr>
        <w:fldChar w:fldCharType="end"/>
      </w:r>
      <w:r>
        <w:rPr>
          <w:rFonts w:hint="eastAsia"/>
          <w:b/>
          <w:bCs/>
          <w:color w:val="auto"/>
          <w:sz w:val="24"/>
          <w:szCs w:val="24"/>
        </w:rPr>
        <w:fldChar w:fldCharType="end"/>
      </w:r>
    </w:p>
    <w:p w14:paraId="0C3963A3">
      <w:pPr>
        <w:pStyle w:val="19"/>
        <w:tabs>
          <w:tab w:val="right" w:leader="dot" w:pos="8844"/>
        </w:tabs>
        <w:spacing w:before="0" w:line="360" w:lineRule="auto"/>
        <w:ind w:right="0"/>
        <w:rPr>
          <w:rFonts w:hint="eastAsia"/>
          <w:b/>
          <w:bCs/>
          <w:color w:val="auto"/>
          <w:sz w:val="24"/>
          <w:szCs w:val="24"/>
        </w:rPr>
      </w:pPr>
      <w:r>
        <w:rPr>
          <w:color w:val="auto"/>
        </w:rPr>
        <w:fldChar w:fldCharType="begin"/>
      </w:r>
      <w:r>
        <w:rPr>
          <w:color w:val="auto"/>
        </w:rPr>
        <w:instrText xml:space="preserve"> HYPERLINK \l "_Toc23912" </w:instrText>
      </w:r>
      <w:r>
        <w:rPr>
          <w:color w:val="auto"/>
        </w:rPr>
        <w:fldChar w:fldCharType="separate"/>
      </w:r>
      <w:r>
        <w:rPr>
          <w:rFonts w:hint="eastAsia"/>
          <w:b/>
          <w:bCs/>
          <w:snapToGrid w:val="0"/>
          <w:color w:val="auto"/>
          <w:sz w:val="24"/>
          <w:szCs w:val="24"/>
        </w:rPr>
        <w:t>七、结论</w:t>
      </w:r>
      <w:r>
        <w:rPr>
          <w:rFonts w:hint="eastAsia"/>
          <w:b/>
          <w:bCs/>
          <w:color w:val="auto"/>
          <w:sz w:val="24"/>
          <w:szCs w:val="24"/>
        </w:rPr>
        <w:tab/>
      </w:r>
      <w:r>
        <w:rPr>
          <w:rFonts w:hint="eastAsia"/>
          <w:b/>
          <w:bCs/>
          <w:color w:val="auto"/>
          <w:sz w:val="24"/>
          <w:szCs w:val="24"/>
        </w:rPr>
        <w:fldChar w:fldCharType="begin"/>
      </w:r>
      <w:r>
        <w:rPr>
          <w:rFonts w:hint="eastAsia"/>
          <w:b/>
          <w:bCs/>
          <w:color w:val="auto"/>
          <w:sz w:val="24"/>
          <w:szCs w:val="24"/>
        </w:rPr>
        <w:instrText xml:space="preserve"> PAGEREF _Toc23912 \h </w:instrText>
      </w:r>
      <w:r>
        <w:rPr>
          <w:rFonts w:hint="eastAsia"/>
          <w:b/>
          <w:bCs/>
          <w:color w:val="auto"/>
          <w:sz w:val="24"/>
          <w:szCs w:val="24"/>
        </w:rPr>
        <w:fldChar w:fldCharType="separate"/>
      </w:r>
      <w:r>
        <w:rPr>
          <w:rFonts w:hint="eastAsia"/>
          <w:b/>
          <w:bCs/>
          <w:color w:val="auto"/>
          <w:sz w:val="24"/>
          <w:szCs w:val="24"/>
        </w:rPr>
        <w:t>62</w:t>
      </w:r>
      <w:r>
        <w:rPr>
          <w:rFonts w:hint="eastAsia"/>
          <w:b/>
          <w:bCs/>
          <w:color w:val="auto"/>
          <w:sz w:val="24"/>
          <w:szCs w:val="24"/>
        </w:rPr>
        <w:fldChar w:fldCharType="end"/>
      </w:r>
      <w:r>
        <w:rPr>
          <w:rFonts w:hint="eastAsia"/>
          <w:b/>
          <w:bCs/>
          <w:color w:val="auto"/>
          <w:sz w:val="24"/>
          <w:szCs w:val="24"/>
        </w:rPr>
        <w:fldChar w:fldCharType="end"/>
      </w:r>
    </w:p>
    <w:p w14:paraId="10B0136C">
      <w:pPr>
        <w:widowControl/>
        <w:spacing w:line="360" w:lineRule="auto"/>
        <w:jc w:val="left"/>
        <w:rPr>
          <w:rFonts w:hint="eastAsia" w:ascii="宋体" w:hAnsi="宋体" w:cs="宋体"/>
          <w:b/>
          <w:bCs/>
          <w:color w:val="auto"/>
          <w:sz w:val="24"/>
        </w:rPr>
      </w:pPr>
      <w:r>
        <w:rPr>
          <w:rFonts w:hint="eastAsia" w:ascii="宋体" w:hAnsi="宋体" w:cs="宋体"/>
          <w:b/>
          <w:bCs/>
          <w:color w:val="auto"/>
          <w:kern w:val="0"/>
          <w:sz w:val="28"/>
          <w:szCs w:val="28"/>
        </w:rPr>
        <w:fldChar w:fldCharType="end"/>
      </w:r>
      <w:r>
        <w:rPr>
          <w:rFonts w:hint="eastAsia" w:ascii="宋体" w:hAnsi="宋体" w:cs="宋体"/>
          <w:b/>
          <w:bCs/>
          <w:color w:val="auto"/>
          <w:kern w:val="0"/>
          <w:sz w:val="24"/>
          <w:lang w:bidi="ar"/>
        </w:rPr>
        <w:t>附件：</w:t>
      </w:r>
    </w:p>
    <w:p w14:paraId="4DE5DA58">
      <w:pPr>
        <w:widowControl/>
        <w:spacing w:line="360" w:lineRule="auto"/>
        <w:ind w:firstLine="480" w:firstLineChars="200"/>
        <w:rPr>
          <w:color w:val="auto"/>
          <w:sz w:val="24"/>
        </w:rPr>
      </w:pPr>
      <w:r>
        <w:rPr>
          <w:rFonts w:hint="eastAsia"/>
          <w:color w:val="auto"/>
          <w:kern w:val="0"/>
          <w:sz w:val="24"/>
          <w:lang w:bidi="ar"/>
        </w:rPr>
        <w:t xml:space="preserve">附件1   </w:t>
      </w:r>
      <w:r>
        <w:rPr>
          <w:color w:val="auto"/>
          <w:kern w:val="0"/>
          <w:sz w:val="24"/>
          <w:lang w:bidi="ar"/>
        </w:rPr>
        <w:t>环评委托</w:t>
      </w:r>
      <w:r>
        <w:rPr>
          <w:rFonts w:hint="eastAsia"/>
          <w:color w:val="auto"/>
          <w:kern w:val="0"/>
          <w:sz w:val="24"/>
          <w:lang w:bidi="ar"/>
        </w:rPr>
        <w:t>书</w:t>
      </w:r>
    </w:p>
    <w:p w14:paraId="05F64015">
      <w:pPr>
        <w:widowControl/>
        <w:spacing w:line="360" w:lineRule="auto"/>
        <w:ind w:firstLine="480" w:firstLineChars="200"/>
        <w:rPr>
          <w:color w:val="auto"/>
          <w:sz w:val="24"/>
        </w:rPr>
      </w:pPr>
      <w:r>
        <w:rPr>
          <w:rFonts w:hint="eastAsia"/>
          <w:color w:val="auto"/>
          <w:kern w:val="0"/>
          <w:sz w:val="24"/>
          <w:lang w:bidi="ar"/>
        </w:rPr>
        <w:t>附件</w:t>
      </w:r>
      <w:r>
        <w:rPr>
          <w:color w:val="auto"/>
          <w:kern w:val="0"/>
          <w:sz w:val="24"/>
          <w:lang w:bidi="ar"/>
        </w:rPr>
        <w:t>2</w:t>
      </w:r>
      <w:r>
        <w:rPr>
          <w:rFonts w:hint="eastAsia"/>
          <w:color w:val="auto"/>
          <w:kern w:val="0"/>
          <w:sz w:val="24"/>
          <w:lang w:bidi="ar"/>
        </w:rPr>
        <w:t xml:space="preserve">   </w:t>
      </w:r>
      <w:r>
        <w:rPr>
          <w:color w:val="auto"/>
          <w:kern w:val="0"/>
          <w:sz w:val="24"/>
          <w:lang w:bidi="ar"/>
        </w:rPr>
        <w:t>可行性研究报告的批复</w:t>
      </w:r>
    </w:p>
    <w:p w14:paraId="53051E80">
      <w:pPr>
        <w:widowControl/>
        <w:spacing w:line="360" w:lineRule="auto"/>
        <w:ind w:firstLine="480" w:firstLineChars="200"/>
        <w:rPr>
          <w:color w:val="auto"/>
          <w:kern w:val="0"/>
          <w:sz w:val="24"/>
          <w:lang w:bidi="ar"/>
        </w:rPr>
      </w:pPr>
      <w:r>
        <w:rPr>
          <w:rFonts w:hint="eastAsia"/>
          <w:color w:val="auto"/>
          <w:kern w:val="0"/>
          <w:sz w:val="24"/>
          <w:lang w:bidi="ar"/>
        </w:rPr>
        <w:t>附件3   项目名称变更请示</w:t>
      </w:r>
    </w:p>
    <w:p w14:paraId="066FE92C">
      <w:pPr>
        <w:widowControl/>
        <w:spacing w:line="360" w:lineRule="auto"/>
        <w:ind w:firstLine="480" w:firstLineChars="200"/>
        <w:rPr>
          <w:color w:val="auto"/>
          <w:kern w:val="0"/>
          <w:sz w:val="24"/>
          <w:lang w:bidi="ar"/>
        </w:rPr>
      </w:pPr>
      <w:r>
        <w:rPr>
          <w:rFonts w:hint="eastAsia"/>
          <w:color w:val="auto"/>
          <w:kern w:val="0"/>
          <w:sz w:val="24"/>
          <w:lang w:bidi="ar"/>
        </w:rPr>
        <w:t xml:space="preserve">附件4   </w:t>
      </w:r>
      <w:r>
        <w:rPr>
          <w:color w:val="auto"/>
          <w:kern w:val="0"/>
          <w:sz w:val="24"/>
          <w:lang w:bidi="ar"/>
        </w:rPr>
        <w:t>同意项目变更名称和建设内容的批复</w:t>
      </w:r>
    </w:p>
    <w:p w14:paraId="0E50FA34">
      <w:pPr>
        <w:widowControl/>
        <w:spacing w:line="360" w:lineRule="auto"/>
        <w:ind w:firstLine="480" w:firstLineChars="200"/>
        <w:rPr>
          <w:color w:val="auto"/>
        </w:rPr>
      </w:pPr>
      <w:r>
        <w:rPr>
          <w:rFonts w:hint="eastAsia"/>
          <w:color w:val="auto"/>
          <w:kern w:val="0"/>
          <w:sz w:val="24"/>
          <w:lang w:bidi="ar"/>
        </w:rPr>
        <w:t>附件5   项目初步设计批复</w:t>
      </w:r>
    </w:p>
    <w:p w14:paraId="539B5FBA">
      <w:pPr>
        <w:widowControl/>
        <w:spacing w:line="360" w:lineRule="auto"/>
        <w:ind w:firstLine="480" w:firstLineChars="200"/>
        <w:rPr>
          <w:color w:val="auto"/>
          <w:kern w:val="0"/>
          <w:sz w:val="24"/>
          <w:lang w:bidi="ar"/>
        </w:rPr>
      </w:pPr>
      <w:r>
        <w:rPr>
          <w:rFonts w:hint="eastAsia"/>
          <w:color w:val="auto"/>
          <w:kern w:val="0"/>
          <w:sz w:val="24"/>
          <w:lang w:bidi="ar"/>
        </w:rPr>
        <w:t>附件6   东洞庭湖保护区管理局关于项目建设的意见</w:t>
      </w:r>
    </w:p>
    <w:p w14:paraId="0AB43D50">
      <w:pPr>
        <w:widowControl/>
        <w:spacing w:line="360" w:lineRule="auto"/>
        <w:ind w:firstLine="480" w:firstLineChars="200"/>
        <w:rPr>
          <w:color w:val="auto"/>
          <w:kern w:val="0"/>
          <w:sz w:val="24"/>
          <w:lang w:bidi="ar"/>
        </w:rPr>
      </w:pPr>
      <w:r>
        <w:rPr>
          <w:rFonts w:hint="eastAsia"/>
          <w:color w:val="auto"/>
          <w:kern w:val="0"/>
          <w:sz w:val="24"/>
          <w:lang w:bidi="ar"/>
        </w:rPr>
        <w:t>附件7   岳阳市君山区自然资源局关于本项目选址与生态保护红线位置关系的复函</w:t>
      </w:r>
    </w:p>
    <w:p w14:paraId="3FA0D844">
      <w:pPr>
        <w:widowControl/>
        <w:spacing w:line="360" w:lineRule="auto"/>
        <w:ind w:firstLine="480" w:firstLineChars="200"/>
        <w:rPr>
          <w:color w:val="auto"/>
          <w:kern w:val="0"/>
          <w:sz w:val="24"/>
          <w:lang w:bidi="ar"/>
        </w:rPr>
      </w:pPr>
      <w:r>
        <w:rPr>
          <w:rFonts w:hint="eastAsia"/>
          <w:color w:val="auto"/>
          <w:kern w:val="0"/>
          <w:sz w:val="24"/>
          <w:lang w:bidi="ar"/>
        </w:rPr>
        <w:t>附件8   项目水域滩涂养殖证</w:t>
      </w:r>
    </w:p>
    <w:p w14:paraId="18957702">
      <w:pPr>
        <w:widowControl/>
        <w:spacing w:line="360" w:lineRule="auto"/>
        <w:ind w:firstLine="480" w:firstLineChars="200"/>
        <w:rPr>
          <w:color w:val="auto"/>
          <w:kern w:val="0"/>
          <w:sz w:val="24"/>
          <w:lang w:bidi="ar"/>
        </w:rPr>
      </w:pPr>
      <w:r>
        <w:rPr>
          <w:rFonts w:hint="eastAsia"/>
          <w:color w:val="auto"/>
          <w:kern w:val="0"/>
          <w:sz w:val="24"/>
          <w:lang w:bidi="ar"/>
        </w:rPr>
        <w:t>附件9   检测报告（含引用数据报告）</w:t>
      </w:r>
    </w:p>
    <w:p w14:paraId="39033416">
      <w:pPr>
        <w:widowControl/>
        <w:spacing w:line="360" w:lineRule="auto"/>
        <w:ind w:firstLine="480" w:firstLineChars="200"/>
        <w:rPr>
          <w:color w:val="auto"/>
          <w:kern w:val="0"/>
          <w:sz w:val="24"/>
          <w:lang w:bidi="ar"/>
        </w:rPr>
      </w:pPr>
      <w:r>
        <w:rPr>
          <w:rFonts w:hint="eastAsia"/>
          <w:color w:val="auto"/>
          <w:kern w:val="0"/>
          <w:sz w:val="24"/>
          <w:lang w:bidi="ar"/>
        </w:rPr>
        <w:t>附件10   项目启动前现场讨论会专家评估意见</w:t>
      </w:r>
    </w:p>
    <w:p w14:paraId="4AF1F7D9">
      <w:pPr>
        <w:widowControl/>
        <w:spacing w:line="360" w:lineRule="auto"/>
        <w:ind w:firstLine="480" w:firstLineChars="200"/>
        <w:rPr>
          <w:color w:val="auto"/>
          <w:kern w:val="0"/>
          <w:sz w:val="24"/>
          <w:lang w:bidi="ar"/>
        </w:rPr>
      </w:pPr>
      <w:r>
        <w:rPr>
          <w:rFonts w:hint="eastAsia"/>
          <w:color w:val="auto"/>
          <w:kern w:val="0"/>
          <w:sz w:val="24"/>
          <w:lang w:bidi="ar"/>
        </w:rPr>
        <w:t>附件11   岳阳市2023年度生态环境质量公报截图</w:t>
      </w:r>
    </w:p>
    <w:p w14:paraId="3FBE2117">
      <w:pPr>
        <w:widowControl/>
        <w:spacing w:line="360" w:lineRule="auto"/>
        <w:ind w:firstLine="480" w:firstLineChars="200"/>
        <w:rPr>
          <w:color w:val="auto"/>
          <w:kern w:val="0"/>
          <w:sz w:val="24"/>
          <w:lang w:bidi="ar"/>
        </w:rPr>
      </w:pPr>
      <w:r>
        <w:rPr>
          <w:rFonts w:hint="eastAsia"/>
          <w:color w:val="auto"/>
          <w:kern w:val="0"/>
          <w:sz w:val="24"/>
          <w:lang w:bidi="ar"/>
        </w:rPr>
        <w:t>附件12   专家签到表</w:t>
      </w:r>
    </w:p>
    <w:p w14:paraId="7C08405A">
      <w:pPr>
        <w:widowControl/>
        <w:spacing w:line="360" w:lineRule="auto"/>
        <w:ind w:firstLine="480" w:firstLineChars="200"/>
        <w:rPr>
          <w:color w:val="auto"/>
          <w:kern w:val="0"/>
          <w:sz w:val="24"/>
          <w:lang w:bidi="ar"/>
        </w:rPr>
      </w:pPr>
      <w:r>
        <w:rPr>
          <w:rFonts w:hint="eastAsia"/>
          <w:color w:val="auto"/>
          <w:kern w:val="0"/>
          <w:sz w:val="24"/>
          <w:lang w:bidi="ar"/>
        </w:rPr>
        <w:t>附件13   专家审核意见</w:t>
      </w:r>
    </w:p>
    <w:p w14:paraId="6399A418">
      <w:pPr>
        <w:widowControl/>
        <w:spacing w:line="360" w:lineRule="auto"/>
        <w:rPr>
          <w:color w:val="auto"/>
          <w:kern w:val="0"/>
          <w:sz w:val="24"/>
          <w:lang w:bidi="ar"/>
        </w:rPr>
      </w:pPr>
      <w:r>
        <w:rPr>
          <w:b/>
          <w:color w:val="auto"/>
          <w:kern w:val="0"/>
          <w:sz w:val="24"/>
          <w:lang w:bidi="ar"/>
        </w:rPr>
        <w:t>附图：</w:t>
      </w:r>
    </w:p>
    <w:p w14:paraId="18392009">
      <w:pPr>
        <w:widowControl/>
        <w:spacing w:line="360" w:lineRule="auto"/>
        <w:ind w:firstLine="480" w:firstLineChars="200"/>
        <w:rPr>
          <w:color w:val="auto"/>
          <w:sz w:val="24"/>
        </w:rPr>
      </w:pPr>
      <w:r>
        <w:rPr>
          <w:rFonts w:hint="eastAsia"/>
          <w:color w:val="auto"/>
          <w:kern w:val="0"/>
          <w:sz w:val="24"/>
          <w:lang w:bidi="ar"/>
        </w:rPr>
        <w:t>附图</w:t>
      </w:r>
      <w:r>
        <w:rPr>
          <w:color w:val="auto"/>
          <w:kern w:val="0"/>
          <w:sz w:val="24"/>
          <w:lang w:bidi="ar"/>
        </w:rPr>
        <w:t>1</w:t>
      </w:r>
      <w:r>
        <w:rPr>
          <w:rFonts w:hint="eastAsia"/>
          <w:color w:val="auto"/>
          <w:kern w:val="0"/>
          <w:sz w:val="24"/>
          <w:lang w:bidi="ar"/>
        </w:rPr>
        <w:t xml:space="preserve">   </w:t>
      </w:r>
      <w:r>
        <w:rPr>
          <w:color w:val="auto"/>
          <w:kern w:val="0"/>
          <w:sz w:val="24"/>
          <w:lang w:bidi="ar"/>
        </w:rPr>
        <w:t>项目地理位置图</w:t>
      </w:r>
    </w:p>
    <w:p w14:paraId="628EC1A6">
      <w:pPr>
        <w:widowControl/>
        <w:spacing w:line="360" w:lineRule="auto"/>
        <w:ind w:firstLine="480" w:firstLineChars="200"/>
        <w:rPr>
          <w:color w:val="auto"/>
          <w:kern w:val="0"/>
          <w:sz w:val="24"/>
          <w:lang w:bidi="ar"/>
        </w:rPr>
      </w:pPr>
      <w:r>
        <w:rPr>
          <w:rFonts w:hint="eastAsia"/>
          <w:color w:val="auto"/>
          <w:kern w:val="0"/>
          <w:sz w:val="24"/>
          <w:lang w:bidi="ar"/>
        </w:rPr>
        <w:t>附图2   项目地理位置卫星图</w:t>
      </w:r>
    </w:p>
    <w:p w14:paraId="19A7E8FB">
      <w:pPr>
        <w:widowControl/>
        <w:spacing w:line="360" w:lineRule="auto"/>
        <w:ind w:firstLine="480" w:firstLineChars="200"/>
        <w:rPr>
          <w:color w:val="auto"/>
          <w:kern w:val="0"/>
          <w:sz w:val="24"/>
          <w:lang w:bidi="ar"/>
        </w:rPr>
      </w:pPr>
      <w:r>
        <w:rPr>
          <w:rFonts w:hint="eastAsia"/>
          <w:color w:val="auto"/>
          <w:kern w:val="0"/>
          <w:sz w:val="24"/>
          <w:lang w:bidi="ar"/>
        </w:rPr>
        <w:t>附图3   项目平面布置图</w:t>
      </w:r>
    </w:p>
    <w:p w14:paraId="59A19955">
      <w:pPr>
        <w:widowControl/>
        <w:spacing w:line="360" w:lineRule="auto"/>
        <w:ind w:firstLine="480" w:firstLineChars="200"/>
        <w:rPr>
          <w:color w:val="auto"/>
          <w:kern w:val="0"/>
          <w:sz w:val="24"/>
          <w:lang w:bidi="ar"/>
        </w:rPr>
      </w:pPr>
      <w:r>
        <w:rPr>
          <w:rFonts w:hint="eastAsia"/>
          <w:color w:val="auto"/>
          <w:kern w:val="0"/>
          <w:sz w:val="24"/>
          <w:lang w:bidi="ar"/>
        </w:rPr>
        <w:t xml:space="preserve">附图4   </w:t>
      </w:r>
      <w:r>
        <w:rPr>
          <w:color w:val="auto"/>
          <w:kern w:val="0"/>
          <w:sz w:val="24"/>
          <w:lang w:bidi="ar"/>
        </w:rPr>
        <w:t>项目与君山区环境管控单元位置关系图</w:t>
      </w:r>
    </w:p>
    <w:p w14:paraId="27843BE7">
      <w:pPr>
        <w:widowControl/>
        <w:spacing w:line="360" w:lineRule="auto"/>
        <w:ind w:firstLine="480" w:firstLineChars="200"/>
        <w:rPr>
          <w:color w:val="auto"/>
          <w:kern w:val="0"/>
          <w:sz w:val="24"/>
          <w:lang w:bidi="ar"/>
        </w:rPr>
      </w:pPr>
      <w:r>
        <w:rPr>
          <w:rFonts w:hint="eastAsia"/>
          <w:color w:val="auto"/>
          <w:kern w:val="0"/>
          <w:sz w:val="24"/>
          <w:lang w:bidi="ar"/>
        </w:rPr>
        <w:t>附图5   环境保护目标分布图</w:t>
      </w:r>
    </w:p>
    <w:p w14:paraId="16FAE796">
      <w:pPr>
        <w:widowControl/>
        <w:spacing w:line="360" w:lineRule="auto"/>
        <w:ind w:firstLine="480" w:firstLineChars="200"/>
        <w:rPr>
          <w:color w:val="auto"/>
          <w:kern w:val="0"/>
          <w:sz w:val="24"/>
          <w:lang w:bidi="ar"/>
        </w:rPr>
      </w:pPr>
      <w:r>
        <w:rPr>
          <w:rFonts w:hint="eastAsia"/>
          <w:color w:val="auto"/>
          <w:kern w:val="0"/>
          <w:sz w:val="24"/>
          <w:lang w:bidi="ar"/>
        </w:rPr>
        <w:t>附图6   监测点位分布图</w:t>
      </w:r>
    </w:p>
    <w:p w14:paraId="329310BA">
      <w:pPr>
        <w:widowControl/>
        <w:spacing w:line="360" w:lineRule="auto"/>
        <w:ind w:firstLine="480" w:firstLineChars="200"/>
        <w:rPr>
          <w:color w:val="auto"/>
          <w:kern w:val="0"/>
          <w:sz w:val="24"/>
          <w:lang w:bidi="ar"/>
        </w:rPr>
      </w:pPr>
      <w:r>
        <w:rPr>
          <w:rFonts w:hint="eastAsia"/>
          <w:color w:val="auto"/>
          <w:kern w:val="0"/>
          <w:sz w:val="24"/>
          <w:lang w:bidi="ar"/>
        </w:rPr>
        <w:t>附件7   项目与岳阳市城市规划区山体水体保护规划水体保护规划图（山体）</w:t>
      </w:r>
    </w:p>
    <w:p w14:paraId="4EF581FE">
      <w:pPr>
        <w:widowControl/>
        <w:spacing w:line="360" w:lineRule="auto"/>
        <w:ind w:firstLine="480" w:firstLineChars="200"/>
        <w:rPr>
          <w:color w:val="auto"/>
          <w:kern w:val="0"/>
          <w:sz w:val="24"/>
          <w:lang w:bidi="ar"/>
        </w:rPr>
      </w:pPr>
      <w:r>
        <w:rPr>
          <w:rFonts w:hint="eastAsia"/>
          <w:color w:val="auto"/>
          <w:kern w:val="0"/>
          <w:sz w:val="24"/>
          <w:lang w:bidi="ar"/>
        </w:rPr>
        <w:t>附图8   项目与岳阳市城市规划区山体水体保护规划水体保护规划图（水体）</w:t>
      </w:r>
    </w:p>
    <w:p w14:paraId="63211E14">
      <w:pPr>
        <w:widowControl/>
        <w:spacing w:line="360" w:lineRule="auto"/>
        <w:ind w:firstLine="480" w:firstLineChars="200"/>
        <w:rPr>
          <w:rFonts w:hint="eastAsia"/>
          <w:color w:val="auto"/>
          <w:kern w:val="0"/>
          <w:sz w:val="24"/>
          <w:lang w:bidi="ar"/>
        </w:rPr>
      </w:pPr>
      <w:r>
        <w:rPr>
          <w:rFonts w:hint="eastAsia"/>
          <w:color w:val="auto"/>
          <w:kern w:val="0"/>
          <w:sz w:val="24"/>
          <w:lang w:bidi="ar"/>
        </w:rPr>
        <w:t xml:space="preserve">附件9   </w:t>
      </w:r>
      <w:r>
        <w:rPr>
          <w:rFonts w:hint="eastAsia"/>
          <w:color w:val="auto"/>
          <w:kern w:val="0"/>
          <w:sz w:val="24"/>
          <w:lang w:val="en-US" w:eastAsia="zh-CN" w:bidi="ar"/>
        </w:rPr>
        <w:t>君山区养殖水域滩涂“三区”规划图</w:t>
      </w:r>
    </w:p>
    <w:p w14:paraId="3B88BF9F">
      <w:pPr>
        <w:widowControl/>
        <w:spacing w:line="360" w:lineRule="auto"/>
        <w:ind w:firstLine="480" w:firstLineChars="200"/>
        <w:rPr>
          <w:color w:val="auto"/>
          <w:kern w:val="0"/>
          <w:sz w:val="24"/>
          <w:lang w:bidi="ar"/>
        </w:rPr>
      </w:pPr>
      <w:r>
        <w:rPr>
          <w:rFonts w:hint="eastAsia"/>
          <w:color w:val="auto"/>
          <w:kern w:val="0"/>
          <w:sz w:val="24"/>
          <w:lang w:bidi="ar"/>
        </w:rPr>
        <w:t>附图</w:t>
      </w:r>
      <w:r>
        <w:rPr>
          <w:color w:val="auto"/>
          <w:kern w:val="0"/>
          <w:sz w:val="24"/>
          <w:lang w:bidi="ar"/>
        </w:rPr>
        <w:t>1</w:t>
      </w:r>
      <w:r>
        <w:rPr>
          <w:rFonts w:hint="eastAsia"/>
          <w:color w:val="auto"/>
          <w:kern w:val="0"/>
          <w:sz w:val="24"/>
          <w:lang w:bidi="ar"/>
        </w:rPr>
        <w:t>0   项目与东洞庭湖国家级自然保护区位置关系图</w:t>
      </w:r>
    </w:p>
    <w:p w14:paraId="082C0225">
      <w:pPr>
        <w:widowControl/>
        <w:spacing w:line="360" w:lineRule="auto"/>
        <w:ind w:firstLine="480" w:firstLineChars="200"/>
        <w:rPr>
          <w:color w:val="auto"/>
          <w:kern w:val="0"/>
          <w:sz w:val="24"/>
          <w:lang w:bidi="ar"/>
        </w:rPr>
      </w:pPr>
      <w:r>
        <w:rPr>
          <w:rFonts w:hint="eastAsia"/>
          <w:color w:val="auto"/>
          <w:kern w:val="0"/>
          <w:sz w:val="24"/>
          <w:lang w:bidi="ar"/>
        </w:rPr>
        <w:t>附图</w:t>
      </w:r>
      <w:r>
        <w:rPr>
          <w:color w:val="auto"/>
          <w:kern w:val="0"/>
          <w:sz w:val="24"/>
          <w:lang w:bidi="ar"/>
        </w:rPr>
        <w:t>1</w:t>
      </w:r>
      <w:r>
        <w:rPr>
          <w:rFonts w:hint="eastAsia"/>
          <w:color w:val="auto"/>
          <w:kern w:val="0"/>
          <w:sz w:val="24"/>
          <w:lang w:val="en-US" w:eastAsia="zh-CN" w:bidi="ar"/>
        </w:rPr>
        <w:t>1</w:t>
      </w:r>
      <w:r>
        <w:rPr>
          <w:rFonts w:hint="eastAsia"/>
          <w:color w:val="auto"/>
          <w:kern w:val="0"/>
          <w:sz w:val="24"/>
          <w:lang w:bidi="ar"/>
        </w:rPr>
        <w:t xml:space="preserve">   东洞庭湖国家级自然保护区土地利用现状图</w:t>
      </w:r>
    </w:p>
    <w:p w14:paraId="1B5AEE94">
      <w:pPr>
        <w:widowControl/>
        <w:spacing w:line="360" w:lineRule="auto"/>
        <w:ind w:firstLine="480" w:firstLineChars="200"/>
        <w:rPr>
          <w:color w:val="auto"/>
          <w:kern w:val="0"/>
          <w:sz w:val="24"/>
          <w:lang w:bidi="ar"/>
        </w:rPr>
      </w:pPr>
      <w:r>
        <w:rPr>
          <w:rFonts w:hint="eastAsia"/>
          <w:color w:val="auto"/>
          <w:kern w:val="0"/>
          <w:sz w:val="24"/>
          <w:lang w:bidi="ar"/>
        </w:rPr>
        <w:t>附图1</w:t>
      </w:r>
      <w:r>
        <w:rPr>
          <w:rFonts w:hint="eastAsia"/>
          <w:color w:val="auto"/>
          <w:kern w:val="0"/>
          <w:sz w:val="24"/>
          <w:lang w:val="en-US" w:eastAsia="zh-CN" w:bidi="ar"/>
        </w:rPr>
        <w:t>2</w:t>
      </w:r>
      <w:r>
        <w:rPr>
          <w:rFonts w:hint="eastAsia"/>
          <w:color w:val="auto"/>
          <w:kern w:val="0"/>
          <w:sz w:val="24"/>
          <w:lang w:bidi="ar"/>
        </w:rPr>
        <w:t xml:space="preserve">   东洞庭湖国家级自然保护区植被分布图</w:t>
      </w:r>
    </w:p>
    <w:p w14:paraId="0A7F72E5">
      <w:pPr>
        <w:widowControl/>
        <w:spacing w:line="360" w:lineRule="auto"/>
        <w:ind w:firstLine="480" w:firstLineChars="200"/>
        <w:rPr>
          <w:color w:val="auto"/>
          <w:kern w:val="0"/>
          <w:sz w:val="24"/>
          <w:lang w:bidi="ar"/>
        </w:rPr>
      </w:pPr>
      <w:r>
        <w:rPr>
          <w:rFonts w:hint="eastAsia"/>
          <w:color w:val="auto"/>
          <w:kern w:val="0"/>
          <w:sz w:val="24"/>
          <w:lang w:bidi="ar"/>
        </w:rPr>
        <w:t>附图1</w:t>
      </w:r>
      <w:r>
        <w:rPr>
          <w:rFonts w:hint="eastAsia"/>
          <w:color w:val="auto"/>
          <w:kern w:val="0"/>
          <w:sz w:val="24"/>
          <w:lang w:val="en-US" w:eastAsia="zh-CN" w:bidi="ar"/>
        </w:rPr>
        <w:t>3</w:t>
      </w:r>
      <w:r>
        <w:rPr>
          <w:rFonts w:hint="eastAsia"/>
          <w:color w:val="auto"/>
          <w:kern w:val="0"/>
          <w:sz w:val="24"/>
          <w:lang w:bidi="ar"/>
        </w:rPr>
        <w:t xml:space="preserve">   东洞庭湖国家级自然保护区重点保护植物分布图</w:t>
      </w:r>
    </w:p>
    <w:p w14:paraId="56676779">
      <w:pPr>
        <w:widowControl/>
        <w:spacing w:line="360" w:lineRule="auto"/>
        <w:ind w:firstLine="480" w:firstLineChars="200"/>
        <w:rPr>
          <w:color w:val="auto"/>
          <w:kern w:val="0"/>
          <w:sz w:val="24"/>
          <w:lang w:bidi="ar"/>
        </w:rPr>
      </w:pPr>
      <w:r>
        <w:rPr>
          <w:rFonts w:hint="eastAsia"/>
          <w:color w:val="auto"/>
          <w:kern w:val="0"/>
          <w:sz w:val="24"/>
          <w:lang w:bidi="ar"/>
        </w:rPr>
        <w:t>附图1</w:t>
      </w:r>
      <w:r>
        <w:rPr>
          <w:rFonts w:hint="eastAsia"/>
          <w:color w:val="auto"/>
          <w:kern w:val="0"/>
          <w:sz w:val="24"/>
          <w:lang w:val="en-US" w:eastAsia="zh-CN" w:bidi="ar"/>
        </w:rPr>
        <w:t>4</w:t>
      </w:r>
      <w:r>
        <w:rPr>
          <w:rFonts w:hint="eastAsia"/>
          <w:color w:val="auto"/>
          <w:kern w:val="0"/>
          <w:sz w:val="24"/>
          <w:lang w:bidi="ar"/>
        </w:rPr>
        <w:t xml:space="preserve">   东洞庭湖国家级自然保护区重点保护动物分布图</w:t>
      </w:r>
    </w:p>
    <w:p w14:paraId="57F97435">
      <w:pPr>
        <w:widowControl/>
        <w:spacing w:line="360" w:lineRule="auto"/>
        <w:ind w:firstLine="480" w:firstLineChars="200"/>
        <w:rPr>
          <w:color w:val="auto"/>
          <w:kern w:val="0"/>
          <w:sz w:val="24"/>
          <w:lang w:bidi="ar"/>
        </w:rPr>
      </w:pPr>
      <w:r>
        <w:rPr>
          <w:rFonts w:hint="eastAsia"/>
          <w:color w:val="auto"/>
          <w:kern w:val="0"/>
          <w:sz w:val="24"/>
          <w:lang w:bidi="ar"/>
        </w:rPr>
        <w:t>附图1</w:t>
      </w:r>
      <w:r>
        <w:rPr>
          <w:rFonts w:hint="eastAsia"/>
          <w:color w:val="auto"/>
          <w:kern w:val="0"/>
          <w:sz w:val="24"/>
          <w:lang w:val="en-US" w:eastAsia="zh-CN" w:bidi="ar"/>
        </w:rPr>
        <w:t>5</w:t>
      </w:r>
      <w:r>
        <w:rPr>
          <w:rFonts w:hint="eastAsia"/>
          <w:color w:val="auto"/>
          <w:kern w:val="0"/>
          <w:sz w:val="24"/>
          <w:lang w:bidi="ar"/>
        </w:rPr>
        <w:t xml:space="preserve">   东洞庭湖国家级自然保护区野生动物分布图</w:t>
      </w:r>
    </w:p>
    <w:p w14:paraId="23E4153B">
      <w:pPr>
        <w:widowControl/>
        <w:spacing w:line="360" w:lineRule="auto"/>
        <w:ind w:firstLine="480" w:firstLineChars="200"/>
        <w:rPr>
          <w:rFonts w:hint="eastAsia"/>
          <w:color w:val="auto"/>
          <w:kern w:val="0"/>
          <w:sz w:val="24"/>
          <w:lang w:val="en-US" w:bidi="ar"/>
        </w:rPr>
      </w:pPr>
      <w:r>
        <w:rPr>
          <w:rFonts w:hint="eastAsia"/>
          <w:color w:val="auto"/>
          <w:kern w:val="0"/>
          <w:sz w:val="24"/>
          <w:lang w:bidi="ar"/>
        </w:rPr>
        <w:t>附图1</w:t>
      </w:r>
      <w:r>
        <w:rPr>
          <w:rFonts w:hint="eastAsia"/>
          <w:color w:val="auto"/>
          <w:kern w:val="0"/>
          <w:sz w:val="24"/>
          <w:lang w:val="en-US" w:eastAsia="zh-CN" w:bidi="ar"/>
        </w:rPr>
        <w:t>6</w:t>
      </w:r>
      <w:r>
        <w:rPr>
          <w:rFonts w:hint="eastAsia"/>
          <w:color w:val="auto"/>
          <w:kern w:val="0"/>
          <w:sz w:val="24"/>
          <w:lang w:bidi="ar"/>
        </w:rPr>
        <w:t xml:space="preserve">   </w:t>
      </w:r>
      <w:r>
        <w:rPr>
          <w:rFonts w:hint="eastAsia"/>
          <w:color w:val="auto"/>
          <w:kern w:val="0"/>
          <w:sz w:val="24"/>
          <w:lang w:val="en-US" w:eastAsia="zh-CN" w:bidi="ar"/>
        </w:rPr>
        <w:t>项目评价范围内植被类型图</w:t>
      </w:r>
    </w:p>
    <w:p w14:paraId="36148395">
      <w:pPr>
        <w:widowControl/>
        <w:spacing w:line="360" w:lineRule="auto"/>
        <w:ind w:firstLine="480" w:firstLineChars="200"/>
        <w:rPr>
          <w:rFonts w:hint="eastAsia"/>
          <w:color w:val="auto"/>
          <w:kern w:val="0"/>
          <w:sz w:val="24"/>
          <w:lang w:val="en-US" w:eastAsia="zh-CN" w:bidi="ar"/>
        </w:rPr>
      </w:pPr>
      <w:r>
        <w:rPr>
          <w:rFonts w:hint="eastAsia"/>
          <w:color w:val="auto"/>
          <w:kern w:val="0"/>
          <w:sz w:val="24"/>
          <w:lang w:bidi="ar"/>
        </w:rPr>
        <w:t>附图1</w:t>
      </w:r>
      <w:r>
        <w:rPr>
          <w:rFonts w:hint="eastAsia"/>
          <w:color w:val="auto"/>
          <w:kern w:val="0"/>
          <w:sz w:val="24"/>
          <w:lang w:val="en-US" w:eastAsia="zh-CN" w:bidi="ar"/>
        </w:rPr>
        <w:t>7</w:t>
      </w:r>
      <w:r>
        <w:rPr>
          <w:rFonts w:hint="eastAsia"/>
          <w:color w:val="auto"/>
          <w:kern w:val="0"/>
          <w:sz w:val="24"/>
          <w:lang w:bidi="ar"/>
        </w:rPr>
        <w:t xml:space="preserve">   </w:t>
      </w:r>
      <w:r>
        <w:rPr>
          <w:rFonts w:hint="eastAsia"/>
          <w:color w:val="auto"/>
          <w:kern w:val="0"/>
          <w:sz w:val="24"/>
          <w:lang w:val="en-US" w:eastAsia="zh-CN" w:bidi="ar"/>
        </w:rPr>
        <w:t>项目评价范围内生态类型图</w:t>
      </w:r>
    </w:p>
    <w:p w14:paraId="3D0E289A">
      <w:pPr>
        <w:widowControl/>
        <w:spacing w:line="360" w:lineRule="auto"/>
        <w:ind w:firstLine="480" w:firstLineChars="200"/>
        <w:rPr>
          <w:rFonts w:hint="eastAsia"/>
          <w:color w:val="auto"/>
          <w:kern w:val="0"/>
          <w:sz w:val="24"/>
          <w:lang w:bidi="ar"/>
        </w:rPr>
      </w:pPr>
      <w:r>
        <w:rPr>
          <w:rFonts w:hint="eastAsia"/>
          <w:color w:val="auto"/>
          <w:kern w:val="0"/>
          <w:sz w:val="24"/>
          <w:lang w:bidi="ar"/>
        </w:rPr>
        <w:t>附图1</w:t>
      </w:r>
      <w:r>
        <w:rPr>
          <w:rFonts w:hint="eastAsia"/>
          <w:color w:val="auto"/>
          <w:kern w:val="0"/>
          <w:sz w:val="24"/>
          <w:lang w:val="en-US" w:eastAsia="zh-CN" w:bidi="ar"/>
        </w:rPr>
        <w:t>8</w:t>
      </w:r>
      <w:r>
        <w:rPr>
          <w:rFonts w:hint="eastAsia"/>
          <w:color w:val="auto"/>
          <w:kern w:val="0"/>
          <w:sz w:val="24"/>
          <w:lang w:bidi="ar"/>
        </w:rPr>
        <w:t xml:space="preserve">   东洞庭湖国家级自然保护区区划图</w:t>
      </w:r>
    </w:p>
    <w:p w14:paraId="52FAE979">
      <w:pPr>
        <w:widowControl/>
        <w:spacing w:line="360" w:lineRule="auto"/>
        <w:ind w:firstLine="480" w:firstLineChars="200"/>
        <w:rPr>
          <w:color w:val="auto"/>
          <w:kern w:val="0"/>
          <w:sz w:val="24"/>
          <w:lang w:bidi="ar"/>
        </w:rPr>
      </w:pPr>
      <w:r>
        <w:rPr>
          <w:rFonts w:hint="eastAsia"/>
          <w:color w:val="auto"/>
          <w:kern w:val="0"/>
          <w:sz w:val="24"/>
          <w:lang w:bidi="ar"/>
        </w:rPr>
        <w:t>附件1</w:t>
      </w:r>
      <w:r>
        <w:rPr>
          <w:rFonts w:hint="eastAsia"/>
          <w:color w:val="auto"/>
          <w:kern w:val="0"/>
          <w:sz w:val="24"/>
          <w:lang w:val="en-US" w:eastAsia="zh-CN" w:bidi="ar"/>
        </w:rPr>
        <w:t>9</w:t>
      </w:r>
      <w:r>
        <w:rPr>
          <w:rFonts w:hint="eastAsia"/>
          <w:color w:val="auto"/>
          <w:kern w:val="0"/>
          <w:sz w:val="24"/>
          <w:lang w:bidi="ar"/>
        </w:rPr>
        <w:t xml:space="preserve">   项目与主要水系分布示意图</w:t>
      </w:r>
    </w:p>
    <w:p w14:paraId="4D43E64B">
      <w:pPr>
        <w:widowControl/>
        <w:spacing w:line="360" w:lineRule="auto"/>
        <w:ind w:firstLine="480" w:firstLineChars="200"/>
        <w:rPr>
          <w:color w:val="auto"/>
          <w:kern w:val="0"/>
          <w:sz w:val="24"/>
          <w:lang w:bidi="ar"/>
        </w:rPr>
      </w:pPr>
      <w:r>
        <w:rPr>
          <w:rFonts w:hint="eastAsia"/>
          <w:color w:val="auto"/>
          <w:kern w:val="0"/>
          <w:sz w:val="24"/>
          <w:lang w:bidi="ar"/>
        </w:rPr>
        <w:t>附图</w:t>
      </w:r>
      <w:r>
        <w:rPr>
          <w:rFonts w:hint="eastAsia"/>
          <w:color w:val="auto"/>
          <w:kern w:val="0"/>
          <w:sz w:val="24"/>
          <w:lang w:val="en-US" w:eastAsia="zh-CN" w:bidi="ar"/>
        </w:rPr>
        <w:t>20</w:t>
      </w:r>
      <w:r>
        <w:rPr>
          <w:rFonts w:hint="eastAsia"/>
          <w:color w:val="auto"/>
          <w:kern w:val="0"/>
          <w:sz w:val="24"/>
          <w:lang w:bidi="ar"/>
        </w:rPr>
        <w:t xml:space="preserve">   项目与湖南生态功能区划位置关系图</w:t>
      </w:r>
    </w:p>
    <w:p w14:paraId="40E6B844">
      <w:pPr>
        <w:widowControl/>
        <w:spacing w:line="360" w:lineRule="auto"/>
        <w:ind w:firstLine="480" w:firstLineChars="200"/>
        <w:rPr>
          <w:color w:val="auto"/>
          <w:kern w:val="0"/>
          <w:sz w:val="24"/>
          <w:lang w:bidi="ar"/>
        </w:rPr>
      </w:pPr>
      <w:r>
        <w:rPr>
          <w:rFonts w:hint="eastAsia"/>
          <w:color w:val="auto"/>
          <w:kern w:val="0"/>
          <w:sz w:val="24"/>
          <w:lang w:bidi="ar"/>
        </w:rPr>
        <w:t>附图</w:t>
      </w:r>
      <w:r>
        <w:rPr>
          <w:rFonts w:hint="eastAsia"/>
          <w:color w:val="auto"/>
          <w:kern w:val="0"/>
          <w:sz w:val="24"/>
          <w:lang w:val="en-US" w:eastAsia="zh-CN" w:bidi="ar"/>
        </w:rPr>
        <w:t>21</w:t>
      </w:r>
      <w:r>
        <w:rPr>
          <w:rFonts w:hint="eastAsia"/>
          <w:color w:val="auto"/>
          <w:kern w:val="0"/>
          <w:sz w:val="24"/>
          <w:lang w:bidi="ar"/>
        </w:rPr>
        <w:t xml:space="preserve">   评价范围及调查样方样线、生态监测图点位图</w:t>
      </w:r>
    </w:p>
    <w:p w14:paraId="6E37ED8E">
      <w:pPr>
        <w:widowControl/>
        <w:spacing w:line="360" w:lineRule="auto"/>
        <w:ind w:firstLine="480" w:firstLineChars="200"/>
        <w:rPr>
          <w:color w:val="auto"/>
          <w:kern w:val="0"/>
          <w:sz w:val="24"/>
          <w:lang w:bidi="ar"/>
        </w:rPr>
      </w:pPr>
      <w:r>
        <w:rPr>
          <w:rFonts w:hint="eastAsia"/>
          <w:color w:val="auto"/>
          <w:kern w:val="0"/>
          <w:sz w:val="24"/>
          <w:lang w:bidi="ar"/>
        </w:rPr>
        <w:t>附图2</w:t>
      </w:r>
      <w:r>
        <w:rPr>
          <w:rFonts w:hint="eastAsia"/>
          <w:color w:val="auto"/>
          <w:kern w:val="0"/>
          <w:sz w:val="24"/>
          <w:lang w:val="en-US" w:eastAsia="zh-CN" w:bidi="ar"/>
        </w:rPr>
        <w:t>2</w:t>
      </w:r>
      <w:r>
        <w:rPr>
          <w:rFonts w:hint="eastAsia"/>
          <w:color w:val="auto"/>
          <w:kern w:val="0"/>
          <w:sz w:val="24"/>
          <w:lang w:bidi="ar"/>
        </w:rPr>
        <w:t xml:space="preserve">   工程师现场踏勘照片</w:t>
      </w:r>
    </w:p>
    <w:p w14:paraId="72A14D27">
      <w:pPr>
        <w:autoSpaceDE w:val="0"/>
        <w:autoSpaceDN w:val="0"/>
        <w:spacing w:line="360" w:lineRule="auto"/>
        <w:jc w:val="center"/>
        <w:rPr>
          <w:rFonts w:hint="eastAsia" w:ascii="宋体" w:hAnsi="宋体" w:cs="宋体"/>
          <w:b/>
          <w:bCs/>
          <w:color w:val="auto"/>
          <w:kern w:val="0"/>
          <w:sz w:val="28"/>
          <w:szCs w:val="28"/>
        </w:rPr>
      </w:pPr>
      <w:r>
        <w:rPr>
          <w:rFonts w:hint="eastAsia" w:ascii="宋体" w:hAnsi="宋体" w:cs="宋体"/>
          <w:b/>
          <w:bCs/>
          <w:color w:val="auto"/>
          <w:kern w:val="0"/>
          <w:sz w:val="28"/>
          <w:szCs w:val="28"/>
        </w:rPr>
        <w:drawing>
          <wp:inline distT="0" distB="0" distL="114300" distR="114300">
            <wp:extent cx="5615305" cy="7941310"/>
            <wp:effectExtent l="0" t="0" r="4445" b="2540"/>
            <wp:docPr id="5" name="图片 5" descr="4、专家复核签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专家复核签字 (1)"/>
                    <pic:cNvPicPr>
                      <a:picLocks noChangeAspect="1"/>
                    </pic:cNvPicPr>
                  </pic:nvPicPr>
                  <pic:blipFill>
                    <a:blip r:embed="rId36"/>
                    <a:stretch>
                      <a:fillRect/>
                    </a:stretch>
                  </pic:blipFill>
                  <pic:spPr>
                    <a:xfrm>
                      <a:off x="0" y="0"/>
                      <a:ext cx="5615305" cy="7941310"/>
                    </a:xfrm>
                    <a:prstGeom prst="rect">
                      <a:avLst/>
                    </a:prstGeom>
                  </pic:spPr>
                </pic:pic>
              </a:graphicData>
            </a:graphic>
          </wp:inline>
        </w:drawing>
      </w:r>
      <w:r>
        <w:rPr>
          <w:rFonts w:hint="eastAsia" w:ascii="宋体" w:hAnsi="宋体" w:cs="宋体"/>
          <w:b/>
          <w:bCs/>
          <w:color w:val="auto"/>
          <w:kern w:val="0"/>
          <w:sz w:val="28"/>
          <w:szCs w:val="28"/>
        </w:rPr>
        <w:drawing>
          <wp:inline distT="0" distB="0" distL="114300" distR="114300">
            <wp:extent cx="5615305" cy="7941310"/>
            <wp:effectExtent l="0" t="0" r="4445" b="2540"/>
            <wp:docPr id="4" name="图片 4" descr="4、专家复核签字 (2)时间未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专家复核签字 (2)时间未写"/>
                    <pic:cNvPicPr>
                      <a:picLocks noChangeAspect="1"/>
                    </pic:cNvPicPr>
                  </pic:nvPicPr>
                  <pic:blipFill>
                    <a:blip r:embed="rId37"/>
                    <a:stretch>
                      <a:fillRect/>
                    </a:stretch>
                  </pic:blipFill>
                  <pic:spPr>
                    <a:xfrm>
                      <a:off x="0" y="0"/>
                      <a:ext cx="5615305" cy="7941310"/>
                    </a:xfrm>
                    <a:prstGeom prst="rect">
                      <a:avLst/>
                    </a:prstGeom>
                  </pic:spPr>
                </pic:pic>
              </a:graphicData>
            </a:graphic>
          </wp:inline>
        </w:drawing>
      </w:r>
      <w:r>
        <w:rPr>
          <w:rFonts w:hint="eastAsia" w:ascii="宋体" w:hAnsi="宋体" w:cs="宋体"/>
          <w:b/>
          <w:bCs/>
          <w:color w:val="auto"/>
          <w:kern w:val="0"/>
          <w:sz w:val="28"/>
          <w:szCs w:val="28"/>
        </w:rPr>
        <w:br w:type="page"/>
      </w:r>
    </w:p>
    <w:p w14:paraId="3119D904">
      <w:pPr>
        <w:adjustRightInd w:val="0"/>
        <w:snapToGrid w:val="0"/>
        <w:spacing w:line="288" w:lineRule="auto"/>
        <w:ind w:firstLine="1040"/>
        <w:rPr>
          <w:rFonts w:ascii="仿宋_GB2312" w:eastAsia="仿宋_GB2312"/>
          <w:color w:val="auto"/>
          <w:sz w:val="36"/>
          <w:szCs w:val="36"/>
        </w:rPr>
        <w:sectPr>
          <w:pgSz w:w="11906" w:h="16838"/>
          <w:pgMar w:top="1701" w:right="1531" w:bottom="1701" w:left="1531" w:header="851" w:footer="1077" w:gutter="0"/>
          <w:pgNumType w:start="21"/>
          <w:cols w:space="720" w:num="1"/>
          <w:docGrid w:linePitch="312" w:charSpace="0"/>
        </w:sectPr>
      </w:pPr>
    </w:p>
    <w:p w14:paraId="47A72E11">
      <w:pPr>
        <w:pStyle w:val="23"/>
        <w:jc w:val="center"/>
        <w:outlineLvl w:val="0"/>
        <w:rPr>
          <w:rFonts w:hint="eastAsia" w:ascii="黑体" w:hAnsi="黑体" w:eastAsia="黑体"/>
          <w:snapToGrid w:val="0"/>
          <w:color w:val="auto"/>
          <w:sz w:val="30"/>
          <w:szCs w:val="30"/>
        </w:rPr>
      </w:pPr>
      <w:bookmarkStart w:id="11" w:name="_Toc30425"/>
      <w:bookmarkStart w:id="12" w:name="_Toc19583"/>
      <w:bookmarkStart w:id="13" w:name="_Toc16337"/>
      <w:r>
        <w:rPr>
          <w:rFonts w:hint="eastAsia" w:ascii="黑体" w:hAnsi="黑体" w:eastAsia="黑体"/>
          <w:snapToGrid w:val="0"/>
          <w:color w:val="auto"/>
          <w:sz w:val="30"/>
          <w:szCs w:val="30"/>
        </w:rPr>
        <w:t>一、建设项目基本情况</w:t>
      </w:r>
      <w:bookmarkEnd w:id="11"/>
      <w:bookmarkEnd w:id="12"/>
      <w:bookmarkEnd w:id="13"/>
    </w:p>
    <w:tbl>
      <w:tblPr>
        <w:tblStyle w:val="2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6"/>
        <w:gridCol w:w="2043"/>
        <w:gridCol w:w="2218"/>
        <w:gridCol w:w="10"/>
        <w:gridCol w:w="2542"/>
      </w:tblGrid>
      <w:tr w14:paraId="04679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26" w:type="dxa"/>
            <w:tcMar>
              <w:top w:w="16" w:type="dxa"/>
              <w:left w:w="16" w:type="dxa"/>
              <w:right w:w="16" w:type="dxa"/>
            </w:tcMar>
            <w:vAlign w:val="center"/>
          </w:tcPr>
          <w:p w14:paraId="739F242E">
            <w:pPr>
              <w:adjustRightInd w:val="0"/>
              <w:snapToGrid w:val="0"/>
              <w:jc w:val="center"/>
              <w:rPr>
                <w:color w:val="auto"/>
                <w:sz w:val="24"/>
              </w:rPr>
            </w:pPr>
            <w:r>
              <w:rPr>
                <w:color w:val="auto"/>
                <w:sz w:val="24"/>
              </w:rPr>
              <w:t>建设项目名称</w:t>
            </w:r>
          </w:p>
        </w:tc>
        <w:tc>
          <w:tcPr>
            <w:tcW w:w="6813" w:type="dxa"/>
            <w:gridSpan w:val="4"/>
            <w:vAlign w:val="center"/>
          </w:tcPr>
          <w:p w14:paraId="3B3BE907">
            <w:pPr>
              <w:adjustRightInd w:val="0"/>
              <w:snapToGrid w:val="0"/>
              <w:jc w:val="center"/>
              <w:rPr>
                <w:color w:val="auto"/>
                <w:sz w:val="24"/>
              </w:rPr>
            </w:pPr>
            <w:r>
              <w:rPr>
                <w:color w:val="auto"/>
                <w:sz w:val="24"/>
              </w:rPr>
              <w:t>君山区方台湖设施渔业水基项目（一期）</w:t>
            </w:r>
          </w:p>
        </w:tc>
      </w:tr>
      <w:tr w14:paraId="25CAA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14:paraId="14F8EDA7">
            <w:pPr>
              <w:adjustRightInd w:val="0"/>
              <w:snapToGrid w:val="0"/>
              <w:jc w:val="center"/>
              <w:rPr>
                <w:color w:val="auto"/>
                <w:sz w:val="24"/>
              </w:rPr>
            </w:pPr>
            <w:r>
              <w:rPr>
                <w:color w:val="auto"/>
                <w:sz w:val="24"/>
              </w:rPr>
              <w:t>项目代码</w:t>
            </w:r>
          </w:p>
        </w:tc>
        <w:tc>
          <w:tcPr>
            <w:tcW w:w="6813" w:type="dxa"/>
            <w:gridSpan w:val="4"/>
            <w:vAlign w:val="center"/>
          </w:tcPr>
          <w:p w14:paraId="2CC1E713">
            <w:pPr>
              <w:adjustRightInd w:val="0"/>
              <w:snapToGrid w:val="0"/>
              <w:jc w:val="center"/>
              <w:rPr>
                <w:color w:val="auto"/>
                <w:sz w:val="24"/>
              </w:rPr>
            </w:pPr>
            <w:r>
              <w:rPr>
                <w:color w:val="auto"/>
                <w:sz w:val="24"/>
              </w:rPr>
              <w:t>2402-430611-04-01-911964</w:t>
            </w:r>
          </w:p>
        </w:tc>
      </w:tr>
      <w:tr w14:paraId="18175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14:paraId="69AAACD7">
            <w:pPr>
              <w:adjustRightInd w:val="0"/>
              <w:snapToGrid w:val="0"/>
              <w:jc w:val="center"/>
              <w:rPr>
                <w:color w:val="auto"/>
                <w:sz w:val="24"/>
              </w:rPr>
            </w:pPr>
            <w:r>
              <w:rPr>
                <w:color w:val="auto"/>
                <w:sz w:val="24"/>
              </w:rPr>
              <w:t>建设单位联系人</w:t>
            </w:r>
          </w:p>
        </w:tc>
        <w:tc>
          <w:tcPr>
            <w:tcW w:w="2043" w:type="dxa"/>
            <w:vAlign w:val="center"/>
          </w:tcPr>
          <w:p w14:paraId="53B59942">
            <w:pPr>
              <w:adjustRightInd w:val="0"/>
              <w:snapToGrid w:val="0"/>
              <w:jc w:val="center"/>
              <w:rPr>
                <w:color w:val="auto"/>
                <w:sz w:val="24"/>
              </w:rPr>
            </w:pPr>
            <w:r>
              <w:rPr>
                <w:rFonts w:hint="eastAsia"/>
                <w:color w:val="auto"/>
                <w:sz w:val="24"/>
              </w:rPr>
              <w:t>花荣</w:t>
            </w:r>
          </w:p>
        </w:tc>
        <w:tc>
          <w:tcPr>
            <w:tcW w:w="2228" w:type="dxa"/>
            <w:gridSpan w:val="2"/>
            <w:vAlign w:val="center"/>
          </w:tcPr>
          <w:p w14:paraId="78C55B0E">
            <w:pPr>
              <w:adjustRightInd w:val="0"/>
              <w:snapToGrid w:val="0"/>
              <w:jc w:val="center"/>
              <w:rPr>
                <w:color w:val="auto"/>
                <w:sz w:val="24"/>
              </w:rPr>
            </w:pPr>
            <w:r>
              <w:rPr>
                <w:color w:val="auto"/>
                <w:sz w:val="24"/>
              </w:rPr>
              <w:t>联系方式</w:t>
            </w:r>
          </w:p>
        </w:tc>
        <w:tc>
          <w:tcPr>
            <w:tcW w:w="2542" w:type="dxa"/>
            <w:vAlign w:val="center"/>
          </w:tcPr>
          <w:p w14:paraId="46431F5F">
            <w:pPr>
              <w:adjustRightInd w:val="0"/>
              <w:snapToGrid w:val="0"/>
              <w:jc w:val="center"/>
              <w:rPr>
                <w:color w:val="auto"/>
                <w:sz w:val="24"/>
              </w:rPr>
            </w:pPr>
            <w:r>
              <w:rPr>
                <w:color w:val="auto"/>
                <w:sz w:val="24"/>
              </w:rPr>
              <w:t>15084952583</w:t>
            </w:r>
          </w:p>
        </w:tc>
      </w:tr>
      <w:tr w14:paraId="0BD9D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14:paraId="53C897FC">
            <w:pPr>
              <w:adjustRightInd w:val="0"/>
              <w:snapToGrid w:val="0"/>
              <w:jc w:val="center"/>
              <w:rPr>
                <w:color w:val="auto"/>
                <w:sz w:val="24"/>
              </w:rPr>
            </w:pPr>
            <w:r>
              <w:rPr>
                <w:color w:val="auto"/>
                <w:sz w:val="24"/>
              </w:rPr>
              <w:t>建设地点</w:t>
            </w:r>
          </w:p>
        </w:tc>
        <w:tc>
          <w:tcPr>
            <w:tcW w:w="6813" w:type="dxa"/>
            <w:gridSpan w:val="4"/>
            <w:vAlign w:val="center"/>
          </w:tcPr>
          <w:p w14:paraId="517B8CEA">
            <w:pPr>
              <w:adjustRightInd w:val="0"/>
              <w:snapToGrid w:val="0"/>
              <w:jc w:val="center"/>
              <w:rPr>
                <w:color w:val="auto"/>
                <w:sz w:val="24"/>
              </w:rPr>
            </w:pPr>
            <w:r>
              <w:rPr>
                <w:color w:val="auto"/>
                <w:sz w:val="24"/>
                <w:u w:val="single"/>
              </w:rPr>
              <w:t>湖南</w:t>
            </w:r>
            <w:r>
              <w:rPr>
                <w:color w:val="auto"/>
                <w:sz w:val="24"/>
              </w:rPr>
              <w:t>省</w:t>
            </w:r>
            <w:r>
              <w:rPr>
                <w:color w:val="auto"/>
                <w:sz w:val="24"/>
                <w:u w:val="single"/>
              </w:rPr>
              <w:t>岳阳</w:t>
            </w:r>
            <w:r>
              <w:rPr>
                <w:color w:val="auto"/>
                <w:sz w:val="24"/>
              </w:rPr>
              <w:t>市</w:t>
            </w:r>
            <w:r>
              <w:rPr>
                <w:color w:val="auto"/>
                <w:sz w:val="24"/>
                <w:u w:val="single"/>
              </w:rPr>
              <w:t>君山</w:t>
            </w:r>
            <w:r>
              <w:rPr>
                <w:color w:val="auto"/>
                <w:sz w:val="24"/>
              </w:rPr>
              <w:t>区</w:t>
            </w:r>
            <w:r>
              <w:rPr>
                <w:color w:val="auto"/>
                <w:sz w:val="24"/>
                <w:u w:val="single"/>
              </w:rPr>
              <w:t>钱粮湖</w:t>
            </w:r>
            <w:r>
              <w:rPr>
                <w:color w:val="auto"/>
                <w:sz w:val="24"/>
              </w:rPr>
              <w:t>镇</w:t>
            </w:r>
            <w:r>
              <w:rPr>
                <w:color w:val="auto"/>
                <w:sz w:val="24"/>
                <w:u w:val="single"/>
              </w:rPr>
              <w:t>银杯社区方台村5组</w:t>
            </w:r>
          </w:p>
        </w:tc>
      </w:tr>
      <w:tr w14:paraId="7197E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14:paraId="3FE17FA5">
            <w:pPr>
              <w:adjustRightInd w:val="0"/>
              <w:snapToGrid w:val="0"/>
              <w:jc w:val="center"/>
              <w:rPr>
                <w:color w:val="auto"/>
                <w:sz w:val="24"/>
              </w:rPr>
            </w:pPr>
            <w:r>
              <w:rPr>
                <w:color w:val="auto"/>
                <w:sz w:val="24"/>
              </w:rPr>
              <w:t>地理坐标</w:t>
            </w:r>
          </w:p>
        </w:tc>
        <w:tc>
          <w:tcPr>
            <w:tcW w:w="6813" w:type="dxa"/>
            <w:gridSpan w:val="4"/>
            <w:vAlign w:val="center"/>
          </w:tcPr>
          <w:p w14:paraId="48EAC517">
            <w:pPr>
              <w:adjustRightInd w:val="0"/>
              <w:snapToGrid w:val="0"/>
              <w:jc w:val="center"/>
              <w:rPr>
                <w:color w:val="auto"/>
                <w:sz w:val="24"/>
              </w:rPr>
            </w:pPr>
            <w:r>
              <w:rPr>
                <w:color w:val="auto"/>
                <w:sz w:val="24"/>
                <w:u w:val="single"/>
              </w:rPr>
              <w:t>112</w:t>
            </w:r>
            <w:r>
              <w:rPr>
                <w:color w:val="auto"/>
                <w:sz w:val="24"/>
              </w:rPr>
              <w:t>度</w:t>
            </w:r>
            <w:r>
              <w:rPr>
                <w:color w:val="auto"/>
                <w:sz w:val="24"/>
                <w:u w:val="single"/>
              </w:rPr>
              <w:t>47</w:t>
            </w:r>
            <w:r>
              <w:rPr>
                <w:color w:val="auto"/>
                <w:sz w:val="24"/>
              </w:rPr>
              <w:t>分</w:t>
            </w:r>
            <w:r>
              <w:rPr>
                <w:color w:val="auto"/>
                <w:sz w:val="24"/>
                <w:u w:val="single"/>
              </w:rPr>
              <w:t>50.981</w:t>
            </w:r>
            <w:r>
              <w:rPr>
                <w:color w:val="auto"/>
                <w:sz w:val="24"/>
              </w:rPr>
              <w:t>秒，</w:t>
            </w:r>
            <w:r>
              <w:rPr>
                <w:color w:val="auto"/>
                <w:sz w:val="24"/>
                <w:u w:val="single"/>
              </w:rPr>
              <w:t>29</w:t>
            </w:r>
            <w:r>
              <w:rPr>
                <w:color w:val="auto"/>
                <w:sz w:val="24"/>
              </w:rPr>
              <w:t>度</w:t>
            </w:r>
            <w:r>
              <w:rPr>
                <w:color w:val="auto"/>
                <w:sz w:val="24"/>
                <w:u w:val="single"/>
              </w:rPr>
              <w:t>29</w:t>
            </w:r>
            <w:r>
              <w:rPr>
                <w:color w:val="auto"/>
                <w:sz w:val="24"/>
              </w:rPr>
              <w:t>分</w:t>
            </w:r>
            <w:r>
              <w:rPr>
                <w:color w:val="auto"/>
                <w:sz w:val="24"/>
                <w:u w:val="single"/>
              </w:rPr>
              <w:t>43.888</w:t>
            </w:r>
            <w:r>
              <w:rPr>
                <w:color w:val="auto"/>
                <w:sz w:val="24"/>
              </w:rPr>
              <w:t>秒</w:t>
            </w:r>
          </w:p>
        </w:tc>
      </w:tr>
      <w:tr w14:paraId="33973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tcMar>
              <w:top w:w="16" w:type="dxa"/>
              <w:left w:w="16" w:type="dxa"/>
              <w:right w:w="16" w:type="dxa"/>
            </w:tcMar>
            <w:vAlign w:val="center"/>
          </w:tcPr>
          <w:p w14:paraId="6CD0B905">
            <w:pPr>
              <w:adjustRightInd w:val="0"/>
              <w:snapToGrid w:val="0"/>
              <w:jc w:val="center"/>
              <w:rPr>
                <w:color w:val="auto"/>
                <w:sz w:val="24"/>
              </w:rPr>
            </w:pPr>
            <w:r>
              <w:rPr>
                <w:color w:val="auto"/>
                <w:sz w:val="24"/>
              </w:rPr>
              <w:t>建设项目</w:t>
            </w:r>
          </w:p>
          <w:p w14:paraId="1E56E43D">
            <w:pPr>
              <w:adjustRightInd w:val="0"/>
              <w:snapToGrid w:val="0"/>
              <w:jc w:val="center"/>
              <w:rPr>
                <w:color w:val="auto"/>
                <w:sz w:val="24"/>
              </w:rPr>
            </w:pPr>
            <w:r>
              <w:rPr>
                <w:color w:val="auto"/>
                <w:sz w:val="24"/>
              </w:rPr>
              <w:t>行业类别</w:t>
            </w:r>
          </w:p>
        </w:tc>
        <w:tc>
          <w:tcPr>
            <w:tcW w:w="2043" w:type="dxa"/>
            <w:vAlign w:val="center"/>
          </w:tcPr>
          <w:p w14:paraId="067EAF89">
            <w:pPr>
              <w:adjustRightInd w:val="0"/>
              <w:snapToGrid w:val="0"/>
              <w:jc w:val="center"/>
              <w:rPr>
                <w:color w:val="auto"/>
                <w:sz w:val="24"/>
              </w:rPr>
            </w:pPr>
            <w:r>
              <w:rPr>
                <w:color w:val="auto"/>
                <w:sz w:val="24"/>
              </w:rPr>
              <w:t>三、渔业（04）5内陆养殖（0412）</w:t>
            </w:r>
          </w:p>
        </w:tc>
        <w:tc>
          <w:tcPr>
            <w:tcW w:w="2218" w:type="dxa"/>
            <w:vAlign w:val="center"/>
          </w:tcPr>
          <w:p w14:paraId="4520D729">
            <w:pPr>
              <w:adjustRightInd w:val="0"/>
              <w:snapToGrid w:val="0"/>
              <w:jc w:val="center"/>
              <w:rPr>
                <w:color w:val="auto"/>
                <w:sz w:val="24"/>
              </w:rPr>
            </w:pPr>
            <w:r>
              <w:rPr>
                <w:color w:val="auto"/>
                <w:sz w:val="24"/>
              </w:rPr>
              <w:t>用地（用海）面积（m</w:t>
            </w:r>
            <w:r>
              <w:rPr>
                <w:color w:val="auto"/>
                <w:sz w:val="24"/>
                <w:vertAlign w:val="superscript"/>
              </w:rPr>
              <w:t>2</w:t>
            </w:r>
            <w:r>
              <w:rPr>
                <w:color w:val="auto"/>
                <w:sz w:val="24"/>
              </w:rPr>
              <w:t>）/长度（km）</w:t>
            </w:r>
          </w:p>
        </w:tc>
        <w:tc>
          <w:tcPr>
            <w:tcW w:w="2552" w:type="dxa"/>
            <w:gridSpan w:val="2"/>
            <w:vAlign w:val="center"/>
          </w:tcPr>
          <w:p w14:paraId="17EB292C">
            <w:pPr>
              <w:adjustRightInd w:val="0"/>
              <w:snapToGrid w:val="0"/>
              <w:jc w:val="center"/>
              <w:rPr>
                <w:color w:val="auto"/>
                <w:sz w:val="24"/>
              </w:rPr>
            </w:pPr>
            <w:r>
              <w:rPr>
                <w:color w:val="auto"/>
                <w:sz w:val="24"/>
              </w:rPr>
              <w:t>47073.62</w:t>
            </w:r>
          </w:p>
        </w:tc>
      </w:tr>
      <w:tr w14:paraId="609DF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tcMar>
              <w:top w:w="16" w:type="dxa"/>
              <w:left w:w="16" w:type="dxa"/>
              <w:right w:w="16" w:type="dxa"/>
            </w:tcMar>
            <w:vAlign w:val="center"/>
          </w:tcPr>
          <w:p w14:paraId="4B58C2F6">
            <w:pPr>
              <w:adjustRightInd w:val="0"/>
              <w:snapToGrid w:val="0"/>
              <w:jc w:val="center"/>
              <w:rPr>
                <w:color w:val="auto"/>
                <w:sz w:val="24"/>
              </w:rPr>
            </w:pPr>
            <w:r>
              <w:rPr>
                <w:color w:val="auto"/>
                <w:sz w:val="24"/>
              </w:rPr>
              <w:t>建设性质</w:t>
            </w:r>
          </w:p>
        </w:tc>
        <w:tc>
          <w:tcPr>
            <w:tcW w:w="2043" w:type="dxa"/>
            <w:vAlign w:val="center"/>
          </w:tcPr>
          <w:p w14:paraId="273C260B">
            <w:pPr>
              <w:adjustRightInd w:val="0"/>
              <w:snapToGrid w:val="0"/>
              <w:jc w:val="left"/>
              <w:rPr>
                <w:color w:val="auto"/>
                <w:sz w:val="24"/>
              </w:rPr>
            </w:pPr>
            <w:r>
              <w:rPr>
                <w:color w:val="auto"/>
                <w:sz w:val="24"/>
              </w:rPr>
              <w:t>☑新建（迁建）</w:t>
            </w:r>
          </w:p>
          <w:p w14:paraId="498C4332">
            <w:pPr>
              <w:adjustRightInd w:val="0"/>
              <w:snapToGrid w:val="0"/>
              <w:jc w:val="left"/>
              <w:rPr>
                <w:color w:val="auto"/>
                <w:sz w:val="24"/>
              </w:rPr>
            </w:pPr>
            <w:r>
              <w:rPr>
                <w:color w:val="auto"/>
                <w:sz w:val="24"/>
              </w:rPr>
              <w:t>□改建</w:t>
            </w:r>
          </w:p>
          <w:p w14:paraId="24FAAEC8">
            <w:pPr>
              <w:adjustRightInd w:val="0"/>
              <w:snapToGrid w:val="0"/>
              <w:jc w:val="left"/>
              <w:rPr>
                <w:color w:val="auto"/>
                <w:sz w:val="24"/>
              </w:rPr>
            </w:pPr>
            <w:r>
              <w:rPr>
                <w:color w:val="auto"/>
                <w:sz w:val="24"/>
              </w:rPr>
              <w:t>□扩建</w:t>
            </w:r>
          </w:p>
          <w:p w14:paraId="400FEB6C">
            <w:pPr>
              <w:adjustRightInd w:val="0"/>
              <w:snapToGrid w:val="0"/>
              <w:jc w:val="left"/>
              <w:rPr>
                <w:color w:val="auto"/>
                <w:sz w:val="24"/>
              </w:rPr>
            </w:pPr>
            <w:r>
              <w:rPr>
                <w:color w:val="auto"/>
                <w:sz w:val="24"/>
              </w:rPr>
              <w:t>□技术改造</w:t>
            </w:r>
          </w:p>
        </w:tc>
        <w:tc>
          <w:tcPr>
            <w:tcW w:w="2218" w:type="dxa"/>
            <w:vAlign w:val="center"/>
          </w:tcPr>
          <w:p w14:paraId="3DC773FD">
            <w:pPr>
              <w:adjustRightInd w:val="0"/>
              <w:snapToGrid w:val="0"/>
              <w:jc w:val="center"/>
              <w:rPr>
                <w:color w:val="auto"/>
                <w:sz w:val="24"/>
              </w:rPr>
            </w:pPr>
            <w:r>
              <w:rPr>
                <w:color w:val="auto"/>
                <w:sz w:val="24"/>
              </w:rPr>
              <w:t>建设项目</w:t>
            </w:r>
          </w:p>
          <w:p w14:paraId="27B97E03">
            <w:pPr>
              <w:adjustRightInd w:val="0"/>
              <w:snapToGrid w:val="0"/>
              <w:jc w:val="center"/>
              <w:rPr>
                <w:color w:val="auto"/>
                <w:sz w:val="24"/>
              </w:rPr>
            </w:pPr>
            <w:r>
              <w:rPr>
                <w:color w:val="auto"/>
                <w:sz w:val="24"/>
              </w:rPr>
              <w:t>申报情形</w:t>
            </w:r>
          </w:p>
        </w:tc>
        <w:tc>
          <w:tcPr>
            <w:tcW w:w="2552" w:type="dxa"/>
            <w:gridSpan w:val="2"/>
            <w:vAlign w:val="center"/>
          </w:tcPr>
          <w:p w14:paraId="12240F69">
            <w:pPr>
              <w:adjustRightInd w:val="0"/>
              <w:snapToGrid w:val="0"/>
              <w:jc w:val="left"/>
              <w:rPr>
                <w:color w:val="auto"/>
                <w:sz w:val="24"/>
              </w:rPr>
            </w:pPr>
            <w:r>
              <w:rPr>
                <w:color w:val="auto"/>
                <w:sz w:val="24"/>
              </w:rPr>
              <w:t>☑首次申报项目</w:t>
            </w:r>
          </w:p>
          <w:p w14:paraId="0C6FEC37">
            <w:pPr>
              <w:adjustRightInd w:val="0"/>
              <w:snapToGrid w:val="0"/>
              <w:jc w:val="left"/>
              <w:rPr>
                <w:color w:val="auto"/>
                <w:sz w:val="24"/>
              </w:rPr>
            </w:pPr>
            <w:r>
              <w:rPr>
                <w:color w:val="auto"/>
                <w:sz w:val="24"/>
              </w:rPr>
              <w:t>□不予批准后再次申报项目</w:t>
            </w:r>
          </w:p>
          <w:p w14:paraId="3CC5AEE1">
            <w:pPr>
              <w:adjustRightInd w:val="0"/>
              <w:snapToGrid w:val="0"/>
              <w:jc w:val="left"/>
              <w:rPr>
                <w:color w:val="auto"/>
                <w:sz w:val="24"/>
              </w:rPr>
            </w:pPr>
            <w:r>
              <w:rPr>
                <w:color w:val="auto"/>
                <w:sz w:val="24"/>
              </w:rPr>
              <w:t>□超五年重新审核项目</w:t>
            </w:r>
          </w:p>
          <w:p w14:paraId="06D2D0B9">
            <w:pPr>
              <w:adjustRightInd w:val="0"/>
              <w:snapToGrid w:val="0"/>
              <w:rPr>
                <w:color w:val="auto"/>
                <w:sz w:val="24"/>
              </w:rPr>
            </w:pPr>
            <w:r>
              <w:rPr>
                <w:color w:val="auto"/>
                <w:sz w:val="24"/>
              </w:rPr>
              <w:t>□重大变动重新报批项目</w:t>
            </w:r>
          </w:p>
        </w:tc>
      </w:tr>
      <w:tr w14:paraId="76A51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26" w:type="dxa"/>
            <w:tcMar>
              <w:top w:w="16" w:type="dxa"/>
              <w:left w:w="16" w:type="dxa"/>
              <w:right w:w="16" w:type="dxa"/>
            </w:tcMar>
            <w:vAlign w:val="center"/>
          </w:tcPr>
          <w:p w14:paraId="27A5FABD">
            <w:pPr>
              <w:adjustRightInd w:val="0"/>
              <w:snapToGrid w:val="0"/>
              <w:jc w:val="center"/>
              <w:rPr>
                <w:color w:val="auto"/>
                <w:sz w:val="24"/>
              </w:rPr>
            </w:pPr>
            <w:r>
              <w:rPr>
                <w:color w:val="auto"/>
                <w:sz w:val="24"/>
              </w:rPr>
              <w:t>项目审批（核准/</w:t>
            </w:r>
          </w:p>
          <w:p w14:paraId="2590FA3B">
            <w:pPr>
              <w:adjustRightInd w:val="0"/>
              <w:snapToGrid w:val="0"/>
              <w:jc w:val="center"/>
              <w:rPr>
                <w:color w:val="auto"/>
                <w:sz w:val="24"/>
              </w:rPr>
            </w:pPr>
            <w:r>
              <w:rPr>
                <w:color w:val="auto"/>
                <w:sz w:val="24"/>
              </w:rPr>
              <w:t>备案）部门（选填）</w:t>
            </w:r>
          </w:p>
        </w:tc>
        <w:tc>
          <w:tcPr>
            <w:tcW w:w="2043" w:type="dxa"/>
            <w:vAlign w:val="center"/>
          </w:tcPr>
          <w:p w14:paraId="45DC6D8B">
            <w:pPr>
              <w:adjustRightInd w:val="0"/>
              <w:snapToGrid w:val="0"/>
              <w:jc w:val="center"/>
              <w:rPr>
                <w:color w:val="auto"/>
                <w:sz w:val="24"/>
              </w:rPr>
            </w:pPr>
            <w:r>
              <w:rPr>
                <w:color w:val="auto"/>
                <w:sz w:val="24"/>
              </w:rPr>
              <w:t>岳阳市君山区发展和改革局</w:t>
            </w:r>
          </w:p>
        </w:tc>
        <w:tc>
          <w:tcPr>
            <w:tcW w:w="2218" w:type="dxa"/>
            <w:vAlign w:val="center"/>
          </w:tcPr>
          <w:p w14:paraId="34634B9B">
            <w:pPr>
              <w:adjustRightInd w:val="0"/>
              <w:snapToGrid w:val="0"/>
              <w:jc w:val="center"/>
              <w:rPr>
                <w:color w:val="auto"/>
                <w:sz w:val="24"/>
              </w:rPr>
            </w:pPr>
            <w:r>
              <w:rPr>
                <w:color w:val="auto"/>
                <w:sz w:val="24"/>
              </w:rPr>
              <w:t>项目审批（核准/</w:t>
            </w:r>
          </w:p>
          <w:p w14:paraId="6058588A">
            <w:pPr>
              <w:adjustRightInd w:val="0"/>
              <w:snapToGrid w:val="0"/>
              <w:jc w:val="center"/>
              <w:rPr>
                <w:color w:val="auto"/>
                <w:sz w:val="24"/>
              </w:rPr>
            </w:pPr>
            <w:r>
              <w:rPr>
                <w:color w:val="auto"/>
                <w:sz w:val="24"/>
              </w:rPr>
              <w:t>备案）文号（选填）</w:t>
            </w:r>
          </w:p>
        </w:tc>
        <w:tc>
          <w:tcPr>
            <w:tcW w:w="2552" w:type="dxa"/>
            <w:gridSpan w:val="2"/>
            <w:vAlign w:val="center"/>
          </w:tcPr>
          <w:p w14:paraId="3849A12A">
            <w:pPr>
              <w:adjustRightInd w:val="0"/>
              <w:snapToGrid w:val="0"/>
              <w:jc w:val="center"/>
              <w:rPr>
                <w:color w:val="auto"/>
                <w:sz w:val="24"/>
              </w:rPr>
            </w:pPr>
            <w:r>
              <w:rPr>
                <w:color w:val="auto"/>
                <w:sz w:val="24"/>
              </w:rPr>
              <w:t>岳君发改审(2024)</w:t>
            </w:r>
            <w:r>
              <w:rPr>
                <w:rFonts w:hint="eastAsia"/>
                <w:color w:val="auto"/>
                <w:sz w:val="24"/>
              </w:rPr>
              <w:t>73</w:t>
            </w:r>
            <w:r>
              <w:rPr>
                <w:color w:val="auto"/>
                <w:sz w:val="24"/>
              </w:rPr>
              <w:t>号</w:t>
            </w:r>
          </w:p>
          <w:p w14:paraId="7BB8ABD6">
            <w:pPr>
              <w:adjustRightInd w:val="0"/>
              <w:snapToGrid w:val="0"/>
              <w:jc w:val="center"/>
              <w:rPr>
                <w:color w:val="auto"/>
                <w:sz w:val="24"/>
              </w:rPr>
            </w:pPr>
            <w:r>
              <w:rPr>
                <w:color w:val="auto"/>
                <w:sz w:val="24"/>
              </w:rPr>
              <w:t>岳君发改审(2024)101号</w:t>
            </w:r>
          </w:p>
        </w:tc>
      </w:tr>
      <w:tr w14:paraId="6B67D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14:paraId="36E10D4A">
            <w:pPr>
              <w:adjustRightInd w:val="0"/>
              <w:snapToGrid w:val="0"/>
              <w:jc w:val="center"/>
              <w:rPr>
                <w:color w:val="auto"/>
                <w:sz w:val="24"/>
              </w:rPr>
            </w:pPr>
            <w:r>
              <w:rPr>
                <w:color w:val="auto"/>
                <w:sz w:val="24"/>
              </w:rPr>
              <w:t>总投资（万元）</w:t>
            </w:r>
          </w:p>
        </w:tc>
        <w:tc>
          <w:tcPr>
            <w:tcW w:w="2043" w:type="dxa"/>
            <w:vAlign w:val="center"/>
          </w:tcPr>
          <w:p w14:paraId="72C7A885">
            <w:pPr>
              <w:adjustRightInd w:val="0"/>
              <w:snapToGrid w:val="0"/>
              <w:jc w:val="center"/>
              <w:rPr>
                <w:color w:val="auto"/>
                <w:sz w:val="24"/>
              </w:rPr>
            </w:pPr>
            <w:r>
              <w:rPr>
                <w:color w:val="auto"/>
                <w:sz w:val="24"/>
              </w:rPr>
              <w:t>812</w:t>
            </w:r>
          </w:p>
        </w:tc>
        <w:tc>
          <w:tcPr>
            <w:tcW w:w="2218" w:type="dxa"/>
            <w:tcMar>
              <w:top w:w="16" w:type="dxa"/>
              <w:left w:w="16" w:type="dxa"/>
              <w:right w:w="16" w:type="dxa"/>
            </w:tcMar>
            <w:vAlign w:val="center"/>
          </w:tcPr>
          <w:p w14:paraId="7098F1F2">
            <w:pPr>
              <w:adjustRightInd w:val="0"/>
              <w:snapToGrid w:val="0"/>
              <w:jc w:val="center"/>
              <w:rPr>
                <w:color w:val="auto"/>
                <w:sz w:val="24"/>
              </w:rPr>
            </w:pPr>
            <w:r>
              <w:rPr>
                <w:color w:val="auto"/>
                <w:sz w:val="24"/>
              </w:rPr>
              <w:t>环保投资（万元）</w:t>
            </w:r>
          </w:p>
        </w:tc>
        <w:tc>
          <w:tcPr>
            <w:tcW w:w="2552" w:type="dxa"/>
            <w:gridSpan w:val="2"/>
            <w:vAlign w:val="center"/>
          </w:tcPr>
          <w:p w14:paraId="3686C607">
            <w:pPr>
              <w:adjustRightInd w:val="0"/>
              <w:snapToGrid w:val="0"/>
              <w:jc w:val="center"/>
              <w:rPr>
                <w:color w:val="auto"/>
                <w:sz w:val="24"/>
              </w:rPr>
            </w:pPr>
            <w:r>
              <w:rPr>
                <w:color w:val="auto"/>
                <w:sz w:val="24"/>
              </w:rPr>
              <w:t>32</w:t>
            </w:r>
          </w:p>
        </w:tc>
      </w:tr>
      <w:tr w14:paraId="3C7BA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226" w:type="dxa"/>
            <w:tcMar>
              <w:top w:w="16" w:type="dxa"/>
              <w:left w:w="16" w:type="dxa"/>
              <w:right w:w="16" w:type="dxa"/>
            </w:tcMar>
            <w:vAlign w:val="center"/>
          </w:tcPr>
          <w:p w14:paraId="08C18B7C">
            <w:pPr>
              <w:adjustRightInd w:val="0"/>
              <w:snapToGrid w:val="0"/>
              <w:jc w:val="center"/>
              <w:rPr>
                <w:color w:val="auto"/>
                <w:sz w:val="24"/>
              </w:rPr>
            </w:pPr>
            <w:r>
              <w:rPr>
                <w:color w:val="auto"/>
                <w:sz w:val="24"/>
              </w:rPr>
              <w:t>环保投资占比（%）</w:t>
            </w:r>
          </w:p>
        </w:tc>
        <w:tc>
          <w:tcPr>
            <w:tcW w:w="2043" w:type="dxa"/>
            <w:vAlign w:val="center"/>
          </w:tcPr>
          <w:p w14:paraId="0410CD39">
            <w:pPr>
              <w:adjustRightInd w:val="0"/>
              <w:snapToGrid w:val="0"/>
              <w:jc w:val="center"/>
              <w:rPr>
                <w:color w:val="auto"/>
                <w:sz w:val="24"/>
              </w:rPr>
            </w:pPr>
            <w:r>
              <w:rPr>
                <w:color w:val="auto"/>
                <w:sz w:val="24"/>
              </w:rPr>
              <w:t>3.94</w:t>
            </w:r>
          </w:p>
        </w:tc>
        <w:tc>
          <w:tcPr>
            <w:tcW w:w="2218" w:type="dxa"/>
            <w:tcMar>
              <w:top w:w="16" w:type="dxa"/>
              <w:left w:w="16" w:type="dxa"/>
              <w:right w:w="16" w:type="dxa"/>
            </w:tcMar>
            <w:vAlign w:val="center"/>
          </w:tcPr>
          <w:p w14:paraId="139DA787">
            <w:pPr>
              <w:adjustRightInd w:val="0"/>
              <w:snapToGrid w:val="0"/>
              <w:jc w:val="center"/>
              <w:rPr>
                <w:color w:val="auto"/>
                <w:sz w:val="24"/>
              </w:rPr>
            </w:pPr>
            <w:r>
              <w:rPr>
                <w:color w:val="auto"/>
                <w:sz w:val="24"/>
              </w:rPr>
              <w:t>施工工期</w:t>
            </w:r>
          </w:p>
        </w:tc>
        <w:tc>
          <w:tcPr>
            <w:tcW w:w="2552" w:type="dxa"/>
            <w:gridSpan w:val="2"/>
            <w:vAlign w:val="center"/>
          </w:tcPr>
          <w:p w14:paraId="223092C7">
            <w:pPr>
              <w:adjustRightInd w:val="0"/>
              <w:snapToGrid w:val="0"/>
              <w:jc w:val="center"/>
              <w:rPr>
                <w:color w:val="auto"/>
                <w:sz w:val="24"/>
              </w:rPr>
            </w:pPr>
            <w:r>
              <w:rPr>
                <w:rFonts w:hint="eastAsia"/>
                <w:color w:val="auto"/>
                <w:sz w:val="24"/>
              </w:rPr>
              <w:t>4</w:t>
            </w:r>
            <w:r>
              <w:rPr>
                <w:color w:val="auto"/>
                <w:sz w:val="24"/>
              </w:rPr>
              <w:t>个月</w:t>
            </w:r>
          </w:p>
        </w:tc>
      </w:tr>
      <w:tr w14:paraId="5E8FF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14:paraId="6DCE0D23">
            <w:pPr>
              <w:adjustRightInd w:val="0"/>
              <w:snapToGrid w:val="0"/>
              <w:jc w:val="center"/>
              <w:rPr>
                <w:color w:val="auto"/>
                <w:sz w:val="24"/>
              </w:rPr>
            </w:pPr>
            <w:r>
              <w:rPr>
                <w:color w:val="auto"/>
                <w:sz w:val="24"/>
              </w:rPr>
              <w:t>是否开工建设</w:t>
            </w:r>
          </w:p>
        </w:tc>
        <w:tc>
          <w:tcPr>
            <w:tcW w:w="6813" w:type="dxa"/>
            <w:gridSpan w:val="4"/>
            <w:vAlign w:val="center"/>
          </w:tcPr>
          <w:p w14:paraId="14DAF0F4">
            <w:pPr>
              <w:adjustRightInd w:val="0"/>
              <w:snapToGrid w:val="0"/>
              <w:ind w:firstLine="105"/>
              <w:jc w:val="left"/>
              <w:rPr>
                <w:color w:val="auto"/>
                <w:sz w:val="24"/>
              </w:rPr>
            </w:pPr>
            <w:r>
              <w:rPr>
                <w:color w:val="auto"/>
                <w:sz w:val="24"/>
              </w:rPr>
              <w:t>☑否</w:t>
            </w:r>
          </w:p>
          <w:p w14:paraId="2E5A7039">
            <w:pPr>
              <w:adjustRightInd w:val="0"/>
              <w:snapToGrid w:val="0"/>
              <w:ind w:firstLine="92"/>
              <w:jc w:val="left"/>
              <w:rPr>
                <w:color w:val="auto"/>
                <w:sz w:val="24"/>
              </w:rPr>
            </w:pPr>
            <w:r>
              <w:rPr>
                <w:rFonts w:hint="eastAsia"/>
                <w:color w:val="auto"/>
                <w:sz w:val="24"/>
              </w:rPr>
              <w:t>□</w:t>
            </w:r>
            <w:r>
              <w:rPr>
                <w:color w:val="auto"/>
                <w:sz w:val="24"/>
              </w:rPr>
              <w:t>是：</w:t>
            </w:r>
          </w:p>
        </w:tc>
      </w:tr>
      <w:tr w14:paraId="1346C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14:paraId="54A85C1D">
            <w:pPr>
              <w:autoSpaceDE w:val="0"/>
              <w:autoSpaceDN w:val="0"/>
              <w:adjustRightInd w:val="0"/>
              <w:snapToGrid w:val="0"/>
              <w:jc w:val="center"/>
              <w:rPr>
                <w:color w:val="auto"/>
                <w:kern w:val="0"/>
                <w:szCs w:val="21"/>
              </w:rPr>
            </w:pPr>
            <w:r>
              <w:rPr>
                <w:color w:val="auto"/>
                <w:kern w:val="0"/>
                <w:sz w:val="24"/>
              </w:rPr>
              <w:t>专项评价设置情况</w:t>
            </w:r>
          </w:p>
        </w:tc>
        <w:tc>
          <w:tcPr>
            <w:tcW w:w="6813" w:type="dxa"/>
            <w:gridSpan w:val="4"/>
            <w:tcMar>
              <w:top w:w="16" w:type="dxa"/>
              <w:left w:w="16" w:type="dxa"/>
              <w:right w:w="16" w:type="dxa"/>
            </w:tcMar>
            <w:vAlign w:val="center"/>
          </w:tcPr>
          <w:p w14:paraId="59E2A5A4">
            <w:pPr>
              <w:autoSpaceDE w:val="0"/>
              <w:autoSpaceDN w:val="0"/>
              <w:adjustRightInd w:val="0"/>
              <w:snapToGrid w:val="0"/>
              <w:spacing w:line="360" w:lineRule="auto"/>
              <w:ind w:firstLine="480" w:firstLineChars="200"/>
              <w:rPr>
                <w:color w:val="auto"/>
                <w:kern w:val="0"/>
                <w:sz w:val="24"/>
              </w:rPr>
            </w:pPr>
            <w:r>
              <w:rPr>
                <w:color w:val="auto"/>
                <w:kern w:val="0"/>
                <w:sz w:val="24"/>
              </w:rPr>
              <w:t>根据《建设项目环境影响报告表编制技术指南》（生态影响类）建设项目产生的生态环境影响需要深入论证的，应按照环境影响评价相关技术导则开展专项评价工作。根据建设项目特点和涉及的环境敏感区类别，确定专项评价的类别，设置原则参照下表执行，本项目涉及环境敏感区，因此，需要设置生态专项评价。详细情况见下表。</w:t>
            </w:r>
          </w:p>
          <w:p w14:paraId="66F96E00">
            <w:pPr>
              <w:autoSpaceDE w:val="0"/>
              <w:autoSpaceDN w:val="0"/>
              <w:adjustRightInd w:val="0"/>
              <w:snapToGrid w:val="0"/>
              <w:jc w:val="center"/>
              <w:rPr>
                <w:color w:val="auto"/>
                <w:kern w:val="0"/>
                <w:sz w:val="24"/>
              </w:rPr>
            </w:pPr>
            <w:r>
              <w:rPr>
                <w:b/>
                <w:bCs/>
                <w:color w:val="auto"/>
                <w:kern w:val="0"/>
                <w:szCs w:val="21"/>
              </w:rPr>
              <w:t>表1-1   专项评价设置原则表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3647"/>
              <w:gridCol w:w="1952"/>
            </w:tblGrid>
            <w:tr w14:paraId="74766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09FDE5A6">
                  <w:pPr>
                    <w:autoSpaceDE w:val="0"/>
                    <w:autoSpaceDN w:val="0"/>
                    <w:adjustRightInd w:val="0"/>
                    <w:snapToGrid w:val="0"/>
                    <w:jc w:val="center"/>
                    <w:rPr>
                      <w:b/>
                      <w:bCs/>
                      <w:color w:val="auto"/>
                      <w:kern w:val="0"/>
                      <w:szCs w:val="21"/>
                    </w:rPr>
                  </w:pPr>
                  <w:r>
                    <w:rPr>
                      <w:b/>
                      <w:bCs/>
                      <w:color w:val="auto"/>
                      <w:kern w:val="0"/>
                      <w:szCs w:val="21"/>
                    </w:rPr>
                    <w:t>专项评价的类别</w:t>
                  </w:r>
                </w:p>
              </w:tc>
              <w:tc>
                <w:tcPr>
                  <w:tcW w:w="2700" w:type="pct"/>
                  <w:tcBorders>
                    <w:tl2br w:val="nil"/>
                    <w:tr2bl w:val="nil"/>
                  </w:tcBorders>
                  <w:vAlign w:val="center"/>
                </w:tcPr>
                <w:p w14:paraId="6C5FB724">
                  <w:pPr>
                    <w:autoSpaceDE w:val="0"/>
                    <w:autoSpaceDN w:val="0"/>
                    <w:adjustRightInd w:val="0"/>
                    <w:snapToGrid w:val="0"/>
                    <w:jc w:val="center"/>
                    <w:rPr>
                      <w:b/>
                      <w:bCs/>
                      <w:color w:val="auto"/>
                      <w:kern w:val="0"/>
                      <w:szCs w:val="21"/>
                    </w:rPr>
                  </w:pPr>
                  <w:r>
                    <w:rPr>
                      <w:b/>
                      <w:bCs/>
                      <w:color w:val="auto"/>
                      <w:kern w:val="0"/>
                      <w:szCs w:val="21"/>
                    </w:rPr>
                    <w:t>涉及项目类别</w:t>
                  </w:r>
                </w:p>
              </w:tc>
              <w:tc>
                <w:tcPr>
                  <w:tcW w:w="1445" w:type="pct"/>
                  <w:tcBorders>
                    <w:tl2br w:val="nil"/>
                    <w:tr2bl w:val="nil"/>
                  </w:tcBorders>
                  <w:vAlign w:val="center"/>
                </w:tcPr>
                <w:p w14:paraId="2F01D5DE">
                  <w:pPr>
                    <w:autoSpaceDE w:val="0"/>
                    <w:autoSpaceDN w:val="0"/>
                    <w:adjustRightInd w:val="0"/>
                    <w:snapToGrid w:val="0"/>
                    <w:jc w:val="center"/>
                    <w:rPr>
                      <w:b/>
                      <w:bCs/>
                      <w:color w:val="auto"/>
                      <w:kern w:val="0"/>
                      <w:szCs w:val="21"/>
                    </w:rPr>
                  </w:pPr>
                  <w:r>
                    <w:rPr>
                      <w:rFonts w:hint="eastAsia"/>
                      <w:b/>
                      <w:bCs/>
                      <w:color w:val="auto"/>
                      <w:kern w:val="0"/>
                      <w:szCs w:val="21"/>
                    </w:rPr>
                    <w:t>本项目情况</w:t>
                  </w:r>
                </w:p>
              </w:tc>
            </w:tr>
            <w:tr w14:paraId="575F6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7E5F4E99">
                  <w:pPr>
                    <w:autoSpaceDE w:val="0"/>
                    <w:autoSpaceDN w:val="0"/>
                    <w:adjustRightInd w:val="0"/>
                    <w:snapToGrid w:val="0"/>
                    <w:jc w:val="center"/>
                    <w:rPr>
                      <w:color w:val="auto"/>
                      <w:kern w:val="0"/>
                      <w:szCs w:val="21"/>
                    </w:rPr>
                  </w:pPr>
                  <w:r>
                    <w:rPr>
                      <w:color w:val="auto"/>
                      <w:kern w:val="0"/>
                      <w:szCs w:val="21"/>
                    </w:rPr>
                    <w:t>地表水</w:t>
                  </w:r>
                </w:p>
              </w:tc>
              <w:tc>
                <w:tcPr>
                  <w:tcW w:w="2700" w:type="pct"/>
                  <w:tcBorders>
                    <w:tl2br w:val="nil"/>
                    <w:tr2bl w:val="nil"/>
                  </w:tcBorders>
                  <w:vAlign w:val="center"/>
                </w:tcPr>
                <w:p w14:paraId="295750F9">
                  <w:pPr>
                    <w:autoSpaceDE w:val="0"/>
                    <w:autoSpaceDN w:val="0"/>
                    <w:adjustRightInd w:val="0"/>
                    <w:snapToGrid w:val="0"/>
                    <w:jc w:val="center"/>
                    <w:rPr>
                      <w:color w:val="auto"/>
                      <w:kern w:val="0"/>
                      <w:szCs w:val="21"/>
                    </w:rPr>
                  </w:pPr>
                  <w:r>
                    <w:rPr>
                      <w:color w:val="auto"/>
                      <w:kern w:val="0"/>
                      <w:szCs w:val="21"/>
                    </w:rPr>
                    <w:t>水力发电：引水式发电、涉及调峰发电的项目；</w:t>
                  </w:r>
                </w:p>
                <w:p w14:paraId="15CA3102">
                  <w:pPr>
                    <w:autoSpaceDE w:val="0"/>
                    <w:autoSpaceDN w:val="0"/>
                    <w:adjustRightInd w:val="0"/>
                    <w:snapToGrid w:val="0"/>
                    <w:jc w:val="center"/>
                    <w:rPr>
                      <w:color w:val="auto"/>
                      <w:kern w:val="0"/>
                      <w:szCs w:val="21"/>
                    </w:rPr>
                  </w:pPr>
                  <w:r>
                    <w:rPr>
                      <w:color w:val="auto"/>
                      <w:kern w:val="0"/>
                      <w:szCs w:val="21"/>
                    </w:rPr>
                    <w:t>人工湖、人工湿地：全部；</w:t>
                  </w:r>
                </w:p>
                <w:p w14:paraId="08C6D752">
                  <w:pPr>
                    <w:autoSpaceDE w:val="0"/>
                    <w:autoSpaceDN w:val="0"/>
                    <w:adjustRightInd w:val="0"/>
                    <w:snapToGrid w:val="0"/>
                    <w:jc w:val="center"/>
                    <w:rPr>
                      <w:color w:val="auto"/>
                      <w:kern w:val="0"/>
                      <w:szCs w:val="21"/>
                    </w:rPr>
                  </w:pPr>
                  <w:r>
                    <w:rPr>
                      <w:color w:val="auto"/>
                      <w:kern w:val="0"/>
                      <w:szCs w:val="21"/>
                    </w:rPr>
                    <w:t>水库：全部；</w:t>
                  </w:r>
                </w:p>
                <w:p w14:paraId="4F3F241A">
                  <w:pPr>
                    <w:autoSpaceDE w:val="0"/>
                    <w:autoSpaceDN w:val="0"/>
                    <w:adjustRightInd w:val="0"/>
                    <w:snapToGrid w:val="0"/>
                    <w:jc w:val="center"/>
                    <w:rPr>
                      <w:color w:val="auto"/>
                      <w:kern w:val="0"/>
                      <w:szCs w:val="21"/>
                    </w:rPr>
                  </w:pPr>
                  <w:r>
                    <w:rPr>
                      <w:color w:val="auto"/>
                      <w:kern w:val="0"/>
                      <w:szCs w:val="21"/>
                    </w:rPr>
                    <w:t>引水工程：全部（配套的管线工程等除外）；</w:t>
                  </w:r>
                </w:p>
                <w:p w14:paraId="4458E5F1">
                  <w:pPr>
                    <w:autoSpaceDE w:val="0"/>
                    <w:autoSpaceDN w:val="0"/>
                    <w:adjustRightInd w:val="0"/>
                    <w:snapToGrid w:val="0"/>
                    <w:jc w:val="center"/>
                    <w:rPr>
                      <w:color w:val="auto"/>
                      <w:kern w:val="0"/>
                      <w:szCs w:val="21"/>
                    </w:rPr>
                  </w:pPr>
                  <w:r>
                    <w:rPr>
                      <w:color w:val="auto"/>
                      <w:kern w:val="0"/>
                      <w:szCs w:val="21"/>
                    </w:rPr>
                    <w:t>防洪除涝工程：包含水库的项目；</w:t>
                  </w:r>
                </w:p>
                <w:p w14:paraId="217A28FE">
                  <w:pPr>
                    <w:autoSpaceDE w:val="0"/>
                    <w:autoSpaceDN w:val="0"/>
                    <w:adjustRightInd w:val="0"/>
                    <w:snapToGrid w:val="0"/>
                    <w:jc w:val="center"/>
                    <w:rPr>
                      <w:color w:val="auto"/>
                      <w:kern w:val="0"/>
                      <w:szCs w:val="21"/>
                    </w:rPr>
                  </w:pPr>
                  <w:r>
                    <w:rPr>
                      <w:color w:val="auto"/>
                      <w:kern w:val="0"/>
                      <w:szCs w:val="21"/>
                    </w:rPr>
                    <w:t>河湖整治：涉及清淤且底泥存在重金属污染的项目</w:t>
                  </w:r>
                </w:p>
              </w:tc>
              <w:tc>
                <w:tcPr>
                  <w:tcW w:w="1445" w:type="pct"/>
                  <w:tcBorders>
                    <w:tl2br w:val="nil"/>
                    <w:tr2bl w:val="nil"/>
                  </w:tcBorders>
                  <w:vAlign w:val="center"/>
                </w:tcPr>
                <w:p w14:paraId="668354F7">
                  <w:pPr>
                    <w:autoSpaceDE w:val="0"/>
                    <w:autoSpaceDN w:val="0"/>
                    <w:adjustRightInd w:val="0"/>
                    <w:snapToGrid w:val="0"/>
                    <w:jc w:val="center"/>
                    <w:rPr>
                      <w:color w:val="auto"/>
                      <w:kern w:val="0"/>
                      <w:szCs w:val="21"/>
                    </w:rPr>
                  </w:pPr>
                  <w:r>
                    <w:rPr>
                      <w:rFonts w:hint="eastAsia"/>
                      <w:color w:val="auto"/>
                      <w:kern w:val="0"/>
                      <w:szCs w:val="21"/>
                    </w:rPr>
                    <w:t>不涉及</w:t>
                  </w:r>
                </w:p>
              </w:tc>
            </w:tr>
            <w:tr w14:paraId="2455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01ECA72E">
                  <w:pPr>
                    <w:autoSpaceDE w:val="0"/>
                    <w:autoSpaceDN w:val="0"/>
                    <w:adjustRightInd w:val="0"/>
                    <w:snapToGrid w:val="0"/>
                    <w:jc w:val="center"/>
                    <w:rPr>
                      <w:color w:val="auto"/>
                      <w:kern w:val="0"/>
                      <w:szCs w:val="21"/>
                    </w:rPr>
                  </w:pPr>
                  <w:r>
                    <w:rPr>
                      <w:color w:val="auto"/>
                      <w:kern w:val="0"/>
                      <w:szCs w:val="21"/>
                    </w:rPr>
                    <w:t>地下水</w:t>
                  </w:r>
                </w:p>
              </w:tc>
              <w:tc>
                <w:tcPr>
                  <w:tcW w:w="2700" w:type="pct"/>
                  <w:tcBorders>
                    <w:tl2br w:val="nil"/>
                    <w:tr2bl w:val="nil"/>
                  </w:tcBorders>
                  <w:vAlign w:val="center"/>
                </w:tcPr>
                <w:p w14:paraId="6ED63F4A">
                  <w:pPr>
                    <w:autoSpaceDE w:val="0"/>
                    <w:autoSpaceDN w:val="0"/>
                    <w:adjustRightInd w:val="0"/>
                    <w:snapToGrid w:val="0"/>
                    <w:jc w:val="center"/>
                    <w:rPr>
                      <w:color w:val="auto"/>
                      <w:kern w:val="0"/>
                      <w:szCs w:val="21"/>
                    </w:rPr>
                  </w:pPr>
                  <w:r>
                    <w:rPr>
                      <w:color w:val="auto"/>
                      <w:kern w:val="0"/>
                      <w:szCs w:val="21"/>
                    </w:rPr>
                    <w:t>陆地石油和天然气开采：全部；</w:t>
                  </w:r>
                </w:p>
                <w:p w14:paraId="2C46E0D7">
                  <w:pPr>
                    <w:autoSpaceDE w:val="0"/>
                    <w:autoSpaceDN w:val="0"/>
                    <w:adjustRightInd w:val="0"/>
                    <w:snapToGrid w:val="0"/>
                    <w:jc w:val="center"/>
                    <w:rPr>
                      <w:color w:val="auto"/>
                      <w:kern w:val="0"/>
                      <w:szCs w:val="21"/>
                    </w:rPr>
                  </w:pPr>
                  <w:r>
                    <w:rPr>
                      <w:color w:val="auto"/>
                      <w:kern w:val="0"/>
                      <w:szCs w:val="21"/>
                    </w:rPr>
                    <w:t>地下水（含矿泉水）开采：全部；</w:t>
                  </w:r>
                </w:p>
                <w:p w14:paraId="362C5253">
                  <w:pPr>
                    <w:autoSpaceDE w:val="0"/>
                    <w:autoSpaceDN w:val="0"/>
                    <w:adjustRightInd w:val="0"/>
                    <w:snapToGrid w:val="0"/>
                    <w:jc w:val="center"/>
                    <w:rPr>
                      <w:color w:val="auto"/>
                      <w:kern w:val="0"/>
                      <w:szCs w:val="21"/>
                    </w:rPr>
                  </w:pPr>
                  <w:r>
                    <w:rPr>
                      <w:color w:val="auto"/>
                      <w:kern w:val="0"/>
                      <w:szCs w:val="21"/>
                    </w:rPr>
                    <w:t>水利、水电、交通等：含穿越可溶岩地层隧道的项目</w:t>
                  </w:r>
                </w:p>
              </w:tc>
              <w:tc>
                <w:tcPr>
                  <w:tcW w:w="1445" w:type="pct"/>
                  <w:tcBorders>
                    <w:tl2br w:val="nil"/>
                    <w:tr2bl w:val="nil"/>
                  </w:tcBorders>
                  <w:vAlign w:val="center"/>
                </w:tcPr>
                <w:p w14:paraId="5D5F1929">
                  <w:pPr>
                    <w:autoSpaceDE w:val="0"/>
                    <w:autoSpaceDN w:val="0"/>
                    <w:adjustRightInd w:val="0"/>
                    <w:snapToGrid w:val="0"/>
                    <w:jc w:val="center"/>
                    <w:rPr>
                      <w:color w:val="auto"/>
                      <w:kern w:val="0"/>
                      <w:szCs w:val="21"/>
                    </w:rPr>
                  </w:pPr>
                  <w:r>
                    <w:rPr>
                      <w:rFonts w:hint="eastAsia"/>
                      <w:color w:val="auto"/>
                      <w:kern w:val="0"/>
                      <w:szCs w:val="21"/>
                    </w:rPr>
                    <w:t>不涉及</w:t>
                  </w:r>
                </w:p>
              </w:tc>
            </w:tr>
            <w:tr w14:paraId="3946E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70BA4FC2">
                  <w:pPr>
                    <w:autoSpaceDE w:val="0"/>
                    <w:autoSpaceDN w:val="0"/>
                    <w:adjustRightInd w:val="0"/>
                    <w:snapToGrid w:val="0"/>
                    <w:jc w:val="center"/>
                    <w:rPr>
                      <w:color w:val="auto"/>
                      <w:kern w:val="0"/>
                      <w:szCs w:val="21"/>
                    </w:rPr>
                  </w:pPr>
                  <w:r>
                    <w:rPr>
                      <w:color w:val="auto"/>
                      <w:kern w:val="0"/>
                      <w:szCs w:val="21"/>
                    </w:rPr>
                    <w:t>生态</w:t>
                  </w:r>
                </w:p>
              </w:tc>
              <w:tc>
                <w:tcPr>
                  <w:tcW w:w="2700" w:type="pct"/>
                  <w:tcBorders>
                    <w:tl2br w:val="nil"/>
                    <w:tr2bl w:val="nil"/>
                  </w:tcBorders>
                  <w:vAlign w:val="center"/>
                </w:tcPr>
                <w:p w14:paraId="3692AD8E">
                  <w:pPr>
                    <w:autoSpaceDE w:val="0"/>
                    <w:autoSpaceDN w:val="0"/>
                    <w:adjustRightInd w:val="0"/>
                    <w:snapToGrid w:val="0"/>
                    <w:jc w:val="center"/>
                    <w:rPr>
                      <w:color w:val="auto"/>
                      <w:kern w:val="0"/>
                      <w:szCs w:val="21"/>
                    </w:rPr>
                  </w:pPr>
                  <w:r>
                    <w:rPr>
                      <w:color w:val="auto"/>
                      <w:kern w:val="0"/>
                      <w:szCs w:val="21"/>
                    </w:rPr>
                    <w:t>涉及环境敏感区（不包括饮用水水源保护区，以居住、医疗卫生、文化教育、科研、行政办公为主要功能的区域，以及文物保护单位）的项目</w:t>
                  </w:r>
                </w:p>
              </w:tc>
              <w:tc>
                <w:tcPr>
                  <w:tcW w:w="1445" w:type="pct"/>
                  <w:tcBorders>
                    <w:tl2br w:val="nil"/>
                    <w:tr2bl w:val="nil"/>
                  </w:tcBorders>
                  <w:vAlign w:val="center"/>
                </w:tcPr>
                <w:p w14:paraId="3418DF9A">
                  <w:pPr>
                    <w:autoSpaceDE w:val="0"/>
                    <w:autoSpaceDN w:val="0"/>
                    <w:adjustRightInd w:val="0"/>
                    <w:snapToGrid w:val="0"/>
                    <w:jc w:val="center"/>
                    <w:rPr>
                      <w:color w:val="auto"/>
                      <w:kern w:val="0"/>
                      <w:szCs w:val="21"/>
                    </w:rPr>
                  </w:pPr>
                  <w:r>
                    <w:rPr>
                      <w:rFonts w:hint="eastAsia"/>
                      <w:color w:val="auto"/>
                      <w:kern w:val="0"/>
                      <w:szCs w:val="21"/>
                    </w:rPr>
                    <w:t>根据附件4，本项目用地</w:t>
                  </w:r>
                  <w:r>
                    <w:rPr>
                      <w:color w:val="auto"/>
                      <w:kern w:val="0"/>
                      <w:szCs w:val="21"/>
                    </w:rPr>
                    <w:t>涉及环境敏感区（湖南东洞庭湖国家级自然保护区实验区内）</w:t>
                  </w:r>
                  <w:r>
                    <w:rPr>
                      <w:rFonts w:hint="eastAsia"/>
                      <w:color w:val="auto"/>
                      <w:kern w:val="0"/>
                      <w:szCs w:val="21"/>
                    </w:rPr>
                    <w:t>需进行生态专项评价</w:t>
                  </w:r>
                </w:p>
              </w:tc>
            </w:tr>
            <w:tr w14:paraId="41E52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702E9099">
                  <w:pPr>
                    <w:autoSpaceDE w:val="0"/>
                    <w:autoSpaceDN w:val="0"/>
                    <w:adjustRightInd w:val="0"/>
                    <w:snapToGrid w:val="0"/>
                    <w:jc w:val="center"/>
                    <w:rPr>
                      <w:color w:val="auto"/>
                      <w:kern w:val="0"/>
                      <w:szCs w:val="21"/>
                    </w:rPr>
                  </w:pPr>
                  <w:r>
                    <w:rPr>
                      <w:color w:val="auto"/>
                      <w:kern w:val="0"/>
                      <w:szCs w:val="21"/>
                    </w:rPr>
                    <w:t>大气</w:t>
                  </w:r>
                </w:p>
              </w:tc>
              <w:tc>
                <w:tcPr>
                  <w:tcW w:w="2700" w:type="pct"/>
                  <w:tcBorders>
                    <w:tl2br w:val="nil"/>
                    <w:tr2bl w:val="nil"/>
                  </w:tcBorders>
                  <w:vAlign w:val="center"/>
                </w:tcPr>
                <w:p w14:paraId="456E1F24">
                  <w:pPr>
                    <w:autoSpaceDE w:val="0"/>
                    <w:autoSpaceDN w:val="0"/>
                    <w:adjustRightInd w:val="0"/>
                    <w:snapToGrid w:val="0"/>
                    <w:jc w:val="center"/>
                    <w:rPr>
                      <w:color w:val="auto"/>
                      <w:kern w:val="0"/>
                      <w:szCs w:val="21"/>
                    </w:rPr>
                  </w:pPr>
                  <w:r>
                    <w:rPr>
                      <w:color w:val="auto"/>
                      <w:kern w:val="0"/>
                      <w:szCs w:val="21"/>
                    </w:rPr>
                    <w:t>油气、液体化工码头：全部；</w:t>
                  </w:r>
                </w:p>
                <w:p w14:paraId="2CAD6EBD">
                  <w:pPr>
                    <w:autoSpaceDE w:val="0"/>
                    <w:autoSpaceDN w:val="0"/>
                    <w:adjustRightInd w:val="0"/>
                    <w:snapToGrid w:val="0"/>
                    <w:jc w:val="center"/>
                    <w:rPr>
                      <w:color w:val="auto"/>
                      <w:kern w:val="0"/>
                      <w:szCs w:val="21"/>
                    </w:rPr>
                  </w:pPr>
                  <w:r>
                    <w:rPr>
                      <w:color w:val="auto"/>
                      <w:kern w:val="0"/>
                      <w:szCs w:val="21"/>
                    </w:rPr>
                    <w:t>干散货（含煤炭、矿石）、件杂、多用途、通用码头：涉及粉尘、挥发性有机物排放的项目</w:t>
                  </w:r>
                </w:p>
              </w:tc>
              <w:tc>
                <w:tcPr>
                  <w:tcW w:w="1445" w:type="pct"/>
                  <w:tcBorders>
                    <w:tl2br w:val="nil"/>
                    <w:tr2bl w:val="nil"/>
                  </w:tcBorders>
                  <w:vAlign w:val="center"/>
                </w:tcPr>
                <w:p w14:paraId="147E0727">
                  <w:pPr>
                    <w:autoSpaceDE w:val="0"/>
                    <w:autoSpaceDN w:val="0"/>
                    <w:adjustRightInd w:val="0"/>
                    <w:snapToGrid w:val="0"/>
                    <w:jc w:val="center"/>
                    <w:rPr>
                      <w:color w:val="auto"/>
                      <w:kern w:val="0"/>
                      <w:szCs w:val="21"/>
                    </w:rPr>
                  </w:pPr>
                  <w:r>
                    <w:rPr>
                      <w:rFonts w:hint="eastAsia"/>
                      <w:color w:val="auto"/>
                      <w:kern w:val="0"/>
                      <w:szCs w:val="21"/>
                    </w:rPr>
                    <w:t>不涉及</w:t>
                  </w:r>
                </w:p>
              </w:tc>
            </w:tr>
            <w:tr w14:paraId="18168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0F712949">
                  <w:pPr>
                    <w:autoSpaceDE w:val="0"/>
                    <w:autoSpaceDN w:val="0"/>
                    <w:adjustRightInd w:val="0"/>
                    <w:snapToGrid w:val="0"/>
                    <w:jc w:val="center"/>
                    <w:rPr>
                      <w:color w:val="auto"/>
                      <w:kern w:val="0"/>
                      <w:szCs w:val="21"/>
                    </w:rPr>
                  </w:pPr>
                  <w:r>
                    <w:rPr>
                      <w:color w:val="auto"/>
                      <w:kern w:val="0"/>
                      <w:szCs w:val="21"/>
                    </w:rPr>
                    <w:t>噪声</w:t>
                  </w:r>
                </w:p>
              </w:tc>
              <w:tc>
                <w:tcPr>
                  <w:tcW w:w="2700" w:type="pct"/>
                  <w:tcBorders>
                    <w:tl2br w:val="nil"/>
                    <w:tr2bl w:val="nil"/>
                  </w:tcBorders>
                  <w:vAlign w:val="center"/>
                </w:tcPr>
                <w:p w14:paraId="03498E18">
                  <w:pPr>
                    <w:autoSpaceDE w:val="0"/>
                    <w:autoSpaceDN w:val="0"/>
                    <w:adjustRightInd w:val="0"/>
                    <w:snapToGrid w:val="0"/>
                    <w:jc w:val="center"/>
                    <w:rPr>
                      <w:color w:val="auto"/>
                      <w:kern w:val="0"/>
                      <w:szCs w:val="21"/>
                    </w:rPr>
                  </w:pPr>
                  <w:r>
                    <w:rPr>
                      <w:color w:val="auto"/>
                      <w:kern w:val="0"/>
                      <w:szCs w:val="21"/>
                    </w:rPr>
                    <w:t>公路、铁路、机场等交通运输业涉及环境敏感区（以居住、医疗卫生、文化教育、科研、行政办公为主要功能的区域）的项目；</w:t>
                  </w:r>
                </w:p>
                <w:p w14:paraId="37DCE784">
                  <w:pPr>
                    <w:autoSpaceDE w:val="0"/>
                    <w:autoSpaceDN w:val="0"/>
                    <w:adjustRightInd w:val="0"/>
                    <w:snapToGrid w:val="0"/>
                    <w:jc w:val="center"/>
                    <w:rPr>
                      <w:color w:val="auto"/>
                      <w:kern w:val="0"/>
                      <w:szCs w:val="21"/>
                    </w:rPr>
                  </w:pPr>
                  <w:r>
                    <w:rPr>
                      <w:color w:val="auto"/>
                      <w:kern w:val="0"/>
                      <w:szCs w:val="21"/>
                    </w:rPr>
                    <w:t>城市道路（不含维护，不含支路、人行天桥、人行地道）：全部</w:t>
                  </w:r>
                </w:p>
              </w:tc>
              <w:tc>
                <w:tcPr>
                  <w:tcW w:w="1445" w:type="pct"/>
                  <w:tcBorders>
                    <w:tl2br w:val="nil"/>
                    <w:tr2bl w:val="nil"/>
                  </w:tcBorders>
                  <w:vAlign w:val="center"/>
                </w:tcPr>
                <w:p w14:paraId="30AA80A8">
                  <w:pPr>
                    <w:autoSpaceDE w:val="0"/>
                    <w:autoSpaceDN w:val="0"/>
                    <w:adjustRightInd w:val="0"/>
                    <w:snapToGrid w:val="0"/>
                    <w:jc w:val="center"/>
                    <w:rPr>
                      <w:color w:val="auto"/>
                      <w:kern w:val="0"/>
                      <w:szCs w:val="21"/>
                    </w:rPr>
                  </w:pPr>
                  <w:r>
                    <w:rPr>
                      <w:rFonts w:hint="eastAsia"/>
                      <w:color w:val="auto"/>
                      <w:kern w:val="0"/>
                      <w:szCs w:val="21"/>
                    </w:rPr>
                    <w:t>不涉及</w:t>
                  </w:r>
                </w:p>
              </w:tc>
            </w:tr>
            <w:tr w14:paraId="7BD76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vAlign w:val="center"/>
                </w:tcPr>
                <w:p w14:paraId="33076D45">
                  <w:pPr>
                    <w:autoSpaceDE w:val="0"/>
                    <w:autoSpaceDN w:val="0"/>
                    <w:adjustRightInd w:val="0"/>
                    <w:snapToGrid w:val="0"/>
                    <w:jc w:val="center"/>
                    <w:rPr>
                      <w:color w:val="auto"/>
                      <w:kern w:val="0"/>
                      <w:szCs w:val="21"/>
                    </w:rPr>
                  </w:pPr>
                  <w:r>
                    <w:rPr>
                      <w:color w:val="auto"/>
                      <w:kern w:val="0"/>
                      <w:szCs w:val="21"/>
                    </w:rPr>
                    <w:t>环境风险</w:t>
                  </w:r>
                </w:p>
              </w:tc>
              <w:tc>
                <w:tcPr>
                  <w:tcW w:w="2700" w:type="pct"/>
                  <w:tcBorders>
                    <w:tl2br w:val="nil"/>
                    <w:tr2bl w:val="nil"/>
                  </w:tcBorders>
                  <w:vAlign w:val="center"/>
                </w:tcPr>
                <w:p w14:paraId="3EF7CF27">
                  <w:pPr>
                    <w:autoSpaceDE w:val="0"/>
                    <w:autoSpaceDN w:val="0"/>
                    <w:adjustRightInd w:val="0"/>
                    <w:snapToGrid w:val="0"/>
                    <w:jc w:val="center"/>
                    <w:rPr>
                      <w:color w:val="auto"/>
                      <w:kern w:val="0"/>
                      <w:szCs w:val="21"/>
                    </w:rPr>
                  </w:pPr>
                  <w:r>
                    <w:rPr>
                      <w:color w:val="auto"/>
                      <w:kern w:val="0"/>
                      <w:szCs w:val="21"/>
                    </w:rPr>
                    <w:t>石油和天然气开采：全部；</w:t>
                  </w:r>
                </w:p>
                <w:p w14:paraId="43D2D1E6">
                  <w:pPr>
                    <w:autoSpaceDE w:val="0"/>
                    <w:autoSpaceDN w:val="0"/>
                    <w:adjustRightInd w:val="0"/>
                    <w:snapToGrid w:val="0"/>
                    <w:jc w:val="center"/>
                    <w:rPr>
                      <w:color w:val="auto"/>
                      <w:kern w:val="0"/>
                      <w:szCs w:val="21"/>
                    </w:rPr>
                  </w:pPr>
                  <w:r>
                    <w:rPr>
                      <w:color w:val="auto"/>
                      <w:kern w:val="0"/>
                      <w:szCs w:val="21"/>
                    </w:rPr>
                    <w:t>油气、液体化工码头：全部；</w:t>
                  </w:r>
                </w:p>
                <w:p w14:paraId="09CB5061">
                  <w:pPr>
                    <w:autoSpaceDE w:val="0"/>
                    <w:autoSpaceDN w:val="0"/>
                    <w:adjustRightInd w:val="0"/>
                    <w:snapToGrid w:val="0"/>
                    <w:jc w:val="center"/>
                    <w:rPr>
                      <w:color w:val="auto"/>
                      <w:kern w:val="0"/>
                      <w:szCs w:val="21"/>
                    </w:rPr>
                  </w:pPr>
                  <w:r>
                    <w:rPr>
                      <w:color w:val="auto"/>
                      <w:kern w:val="0"/>
                      <w:szCs w:val="21"/>
                    </w:rPr>
                    <w:t>原油、成品油、天然气管线（不含城镇天然气管线、企业厂区内管线），危险化学品输送管线（不含企业厂区内管线）：全部</w:t>
                  </w:r>
                </w:p>
              </w:tc>
              <w:tc>
                <w:tcPr>
                  <w:tcW w:w="1445" w:type="pct"/>
                  <w:tcBorders>
                    <w:tl2br w:val="nil"/>
                    <w:tr2bl w:val="nil"/>
                  </w:tcBorders>
                  <w:vAlign w:val="center"/>
                </w:tcPr>
                <w:p w14:paraId="57D75B53">
                  <w:pPr>
                    <w:autoSpaceDE w:val="0"/>
                    <w:autoSpaceDN w:val="0"/>
                    <w:adjustRightInd w:val="0"/>
                    <w:snapToGrid w:val="0"/>
                    <w:jc w:val="center"/>
                    <w:rPr>
                      <w:color w:val="auto"/>
                      <w:kern w:val="0"/>
                      <w:szCs w:val="21"/>
                    </w:rPr>
                  </w:pPr>
                  <w:r>
                    <w:rPr>
                      <w:rFonts w:hint="eastAsia"/>
                      <w:color w:val="auto"/>
                      <w:kern w:val="0"/>
                      <w:szCs w:val="21"/>
                    </w:rPr>
                    <w:t>不涉及</w:t>
                  </w:r>
                </w:p>
              </w:tc>
            </w:tr>
          </w:tbl>
          <w:p w14:paraId="10AE8C3D">
            <w:pPr>
              <w:autoSpaceDE w:val="0"/>
              <w:autoSpaceDN w:val="0"/>
              <w:adjustRightInd w:val="0"/>
              <w:snapToGrid w:val="0"/>
              <w:spacing w:line="360" w:lineRule="auto"/>
              <w:ind w:firstLine="480" w:firstLineChars="200"/>
              <w:rPr>
                <w:color w:val="auto"/>
                <w:kern w:val="0"/>
                <w:szCs w:val="21"/>
              </w:rPr>
            </w:pPr>
            <w:r>
              <w:rPr>
                <w:color w:val="auto"/>
                <w:kern w:val="0"/>
                <w:sz w:val="24"/>
              </w:rPr>
              <w:t>本项目位于湖南省岳阳市君山区钱粮湖镇银杯社区方台村5组，用地涉及环境敏感区</w:t>
            </w:r>
            <w:r>
              <w:rPr>
                <w:rFonts w:hint="eastAsia"/>
                <w:color w:val="auto"/>
                <w:kern w:val="0"/>
                <w:sz w:val="24"/>
              </w:rPr>
              <w:t>—</w:t>
            </w:r>
            <w:r>
              <w:rPr>
                <w:color w:val="auto"/>
                <w:kern w:val="0"/>
                <w:sz w:val="24"/>
              </w:rPr>
              <w:t>湖南东洞庭湖国家级自然保护区实验区，因此需要进行生态专项评价</w:t>
            </w:r>
            <w:r>
              <w:rPr>
                <w:rFonts w:hint="eastAsia"/>
                <w:color w:val="auto"/>
                <w:kern w:val="0"/>
                <w:sz w:val="24"/>
              </w:rPr>
              <w:t>，本项目已编制生态</w:t>
            </w:r>
            <w:r>
              <w:rPr>
                <w:rFonts w:ascii="Segoe UI" w:hAnsi="Segoe UI" w:eastAsia="Segoe UI" w:cs="Segoe UI"/>
                <w:color w:val="auto"/>
                <w:sz w:val="24"/>
                <w:shd w:val="clear" w:color="auto" w:fill="FFFFFF"/>
              </w:rPr>
              <w:t>专项评价</w:t>
            </w:r>
            <w:r>
              <w:rPr>
                <w:rFonts w:hint="eastAsia" w:ascii="Segoe UI" w:hAnsi="Segoe UI" w:cs="Segoe UI"/>
                <w:color w:val="auto"/>
                <w:sz w:val="24"/>
                <w:shd w:val="clear" w:color="auto" w:fill="FFFFFF"/>
              </w:rPr>
              <w:t>，</w:t>
            </w:r>
            <w:r>
              <w:rPr>
                <w:rFonts w:ascii="Segoe UI" w:hAnsi="Segoe UI" w:eastAsia="Segoe UI" w:cs="Segoe UI"/>
                <w:color w:val="auto"/>
                <w:sz w:val="24"/>
                <w:shd w:val="clear" w:color="auto" w:fill="FFFFFF"/>
              </w:rPr>
              <w:t>置于正文之后</w:t>
            </w:r>
            <w:r>
              <w:rPr>
                <w:color w:val="auto"/>
                <w:kern w:val="0"/>
                <w:sz w:val="24"/>
              </w:rPr>
              <w:t>。</w:t>
            </w:r>
          </w:p>
        </w:tc>
      </w:tr>
      <w:tr w14:paraId="1E0F9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14:paraId="1DDB9E0F">
            <w:pPr>
              <w:autoSpaceDE w:val="0"/>
              <w:autoSpaceDN w:val="0"/>
              <w:adjustRightInd w:val="0"/>
              <w:snapToGrid w:val="0"/>
              <w:jc w:val="center"/>
              <w:rPr>
                <w:color w:val="auto"/>
                <w:kern w:val="0"/>
                <w:sz w:val="24"/>
              </w:rPr>
            </w:pPr>
            <w:r>
              <w:rPr>
                <w:color w:val="auto"/>
                <w:sz w:val="24"/>
              </w:rPr>
              <w:t>规划情况</w:t>
            </w:r>
          </w:p>
        </w:tc>
        <w:tc>
          <w:tcPr>
            <w:tcW w:w="6813" w:type="dxa"/>
            <w:gridSpan w:val="4"/>
            <w:tcMar>
              <w:top w:w="16" w:type="dxa"/>
              <w:left w:w="16" w:type="dxa"/>
              <w:right w:w="16" w:type="dxa"/>
            </w:tcMar>
            <w:vAlign w:val="center"/>
          </w:tcPr>
          <w:p w14:paraId="0D4B552F">
            <w:pPr>
              <w:autoSpaceDE w:val="0"/>
              <w:autoSpaceDN w:val="0"/>
              <w:adjustRightInd w:val="0"/>
              <w:snapToGrid w:val="0"/>
              <w:jc w:val="center"/>
              <w:rPr>
                <w:color w:val="auto"/>
                <w:kern w:val="0"/>
                <w:sz w:val="24"/>
              </w:rPr>
            </w:pPr>
            <w:r>
              <w:rPr>
                <w:color w:val="auto"/>
                <w:sz w:val="24"/>
              </w:rPr>
              <w:t>无</w:t>
            </w:r>
          </w:p>
        </w:tc>
      </w:tr>
      <w:tr w14:paraId="7B884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14:paraId="56B6A96C">
            <w:pPr>
              <w:autoSpaceDE w:val="0"/>
              <w:autoSpaceDN w:val="0"/>
              <w:adjustRightInd w:val="0"/>
              <w:snapToGrid w:val="0"/>
              <w:jc w:val="center"/>
              <w:rPr>
                <w:color w:val="auto"/>
                <w:sz w:val="24"/>
              </w:rPr>
            </w:pPr>
            <w:r>
              <w:rPr>
                <w:color w:val="auto"/>
                <w:sz w:val="24"/>
              </w:rPr>
              <w:t>规划环境影响</w:t>
            </w:r>
          </w:p>
          <w:p w14:paraId="388E7617">
            <w:pPr>
              <w:autoSpaceDE w:val="0"/>
              <w:autoSpaceDN w:val="0"/>
              <w:adjustRightInd w:val="0"/>
              <w:snapToGrid w:val="0"/>
              <w:jc w:val="center"/>
              <w:rPr>
                <w:color w:val="auto"/>
                <w:kern w:val="0"/>
                <w:sz w:val="24"/>
              </w:rPr>
            </w:pPr>
            <w:r>
              <w:rPr>
                <w:color w:val="auto"/>
                <w:sz w:val="24"/>
              </w:rPr>
              <w:t>评价情况</w:t>
            </w:r>
          </w:p>
        </w:tc>
        <w:tc>
          <w:tcPr>
            <w:tcW w:w="6813" w:type="dxa"/>
            <w:gridSpan w:val="4"/>
            <w:tcMar>
              <w:top w:w="16" w:type="dxa"/>
              <w:left w:w="16" w:type="dxa"/>
              <w:right w:w="16" w:type="dxa"/>
            </w:tcMar>
            <w:vAlign w:val="center"/>
          </w:tcPr>
          <w:p w14:paraId="4C5532BC">
            <w:pPr>
              <w:adjustRightInd w:val="0"/>
              <w:snapToGrid w:val="0"/>
              <w:jc w:val="center"/>
              <w:rPr>
                <w:color w:val="auto"/>
                <w:kern w:val="0"/>
                <w:sz w:val="24"/>
              </w:rPr>
            </w:pPr>
            <w:r>
              <w:rPr>
                <w:color w:val="auto"/>
                <w:sz w:val="24"/>
              </w:rPr>
              <w:t>无</w:t>
            </w:r>
          </w:p>
        </w:tc>
      </w:tr>
      <w:tr w14:paraId="38B8A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26" w:type="dxa"/>
            <w:tcMar>
              <w:top w:w="16" w:type="dxa"/>
              <w:left w:w="16" w:type="dxa"/>
              <w:right w:w="16" w:type="dxa"/>
            </w:tcMar>
            <w:vAlign w:val="center"/>
          </w:tcPr>
          <w:p w14:paraId="3582BFAB">
            <w:pPr>
              <w:autoSpaceDE w:val="0"/>
              <w:autoSpaceDN w:val="0"/>
              <w:adjustRightInd w:val="0"/>
              <w:snapToGrid w:val="0"/>
              <w:jc w:val="center"/>
              <w:rPr>
                <w:color w:val="auto"/>
                <w:kern w:val="0"/>
                <w:szCs w:val="21"/>
              </w:rPr>
            </w:pPr>
            <w:r>
              <w:rPr>
                <w:color w:val="auto"/>
                <w:kern w:val="0"/>
                <w:sz w:val="24"/>
              </w:rPr>
              <w:t>规划及</w:t>
            </w:r>
            <w:r>
              <w:rPr>
                <w:color w:val="auto"/>
                <w:sz w:val="24"/>
              </w:rPr>
              <w:t>规划环境影响评价</w:t>
            </w:r>
            <w:r>
              <w:rPr>
                <w:color w:val="auto"/>
                <w:kern w:val="0"/>
                <w:sz w:val="24"/>
              </w:rPr>
              <w:t>符合性分析</w:t>
            </w:r>
          </w:p>
        </w:tc>
        <w:tc>
          <w:tcPr>
            <w:tcW w:w="6813" w:type="dxa"/>
            <w:gridSpan w:val="4"/>
            <w:tcMar>
              <w:top w:w="16" w:type="dxa"/>
              <w:left w:w="16" w:type="dxa"/>
              <w:right w:w="16" w:type="dxa"/>
            </w:tcMar>
            <w:vAlign w:val="center"/>
          </w:tcPr>
          <w:p w14:paraId="73FFD5C4">
            <w:pPr>
              <w:autoSpaceDE w:val="0"/>
              <w:autoSpaceDN w:val="0"/>
              <w:adjustRightInd w:val="0"/>
              <w:snapToGrid w:val="0"/>
              <w:spacing w:line="360" w:lineRule="auto"/>
              <w:jc w:val="center"/>
              <w:rPr>
                <w:color w:val="auto"/>
                <w:kern w:val="0"/>
                <w:szCs w:val="21"/>
              </w:rPr>
            </w:pPr>
            <w:r>
              <w:rPr>
                <w:color w:val="auto"/>
                <w:kern w:val="0"/>
                <w:sz w:val="24"/>
              </w:rPr>
              <w:t>无</w:t>
            </w:r>
          </w:p>
        </w:tc>
      </w:tr>
      <w:tr w14:paraId="667A3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226" w:type="dxa"/>
            <w:tcMar>
              <w:top w:w="16" w:type="dxa"/>
              <w:left w:w="16" w:type="dxa"/>
              <w:right w:w="16" w:type="dxa"/>
            </w:tcMar>
            <w:vAlign w:val="center"/>
          </w:tcPr>
          <w:p w14:paraId="1EFCF2AC">
            <w:pPr>
              <w:autoSpaceDE w:val="0"/>
              <w:autoSpaceDN w:val="0"/>
              <w:adjustRightInd w:val="0"/>
              <w:snapToGrid w:val="0"/>
              <w:jc w:val="center"/>
              <w:rPr>
                <w:color w:val="auto"/>
                <w:kern w:val="0"/>
                <w:szCs w:val="21"/>
              </w:rPr>
            </w:pPr>
            <w:bookmarkStart w:id="14" w:name="_Hlk56690880"/>
            <w:r>
              <w:rPr>
                <w:color w:val="auto"/>
                <w:kern w:val="0"/>
                <w:sz w:val="24"/>
              </w:rPr>
              <w:t>其他符合性分析</w:t>
            </w:r>
            <w:bookmarkEnd w:id="14"/>
          </w:p>
        </w:tc>
        <w:tc>
          <w:tcPr>
            <w:tcW w:w="6813" w:type="dxa"/>
            <w:gridSpan w:val="4"/>
            <w:tcMar>
              <w:top w:w="16" w:type="dxa"/>
              <w:left w:w="16" w:type="dxa"/>
              <w:right w:w="16" w:type="dxa"/>
            </w:tcMar>
            <w:vAlign w:val="center"/>
          </w:tcPr>
          <w:p w14:paraId="68F668AE">
            <w:pPr>
              <w:autoSpaceDE w:val="0"/>
              <w:autoSpaceDN w:val="0"/>
              <w:spacing w:line="360" w:lineRule="auto"/>
              <w:ind w:firstLine="482" w:firstLineChars="200"/>
              <w:jc w:val="left"/>
              <w:rPr>
                <w:b/>
                <w:bCs/>
                <w:color w:val="auto"/>
                <w:sz w:val="24"/>
              </w:rPr>
            </w:pPr>
            <w:r>
              <w:rPr>
                <w:b/>
                <w:bCs/>
                <w:color w:val="auto"/>
                <w:sz w:val="24"/>
              </w:rPr>
              <w:t>1、产业政策符合性分析</w:t>
            </w:r>
          </w:p>
          <w:p w14:paraId="501ABDE4">
            <w:pPr>
              <w:autoSpaceDE w:val="0"/>
              <w:autoSpaceDN w:val="0"/>
              <w:spacing w:line="360" w:lineRule="auto"/>
              <w:ind w:firstLine="480" w:firstLineChars="200"/>
              <w:jc w:val="left"/>
              <w:rPr>
                <w:color w:val="auto"/>
                <w:sz w:val="24"/>
              </w:rPr>
            </w:pPr>
            <w:r>
              <w:rPr>
                <w:color w:val="auto"/>
                <w:sz w:val="24"/>
              </w:rPr>
              <w:t>根据国家《产业结构调整指导目录（2024年本）》规定：本项目为水产养殖项目，属于“一、农林业-25、农牧渔产品无公害、绿色生产技术开发与应用”，为鼓励类，符合国家有关法律、法规和政策规定。本项目的建设符合国家有关法律、法规和政策规定。</w:t>
            </w:r>
          </w:p>
          <w:p w14:paraId="2CF3B623">
            <w:pPr>
              <w:wordWrap w:val="0"/>
              <w:autoSpaceDE w:val="0"/>
              <w:autoSpaceDN w:val="0"/>
              <w:spacing w:line="360" w:lineRule="auto"/>
              <w:ind w:firstLine="480" w:firstLineChars="200"/>
              <w:jc w:val="left"/>
              <w:rPr>
                <w:color w:val="auto"/>
                <w:sz w:val="24"/>
              </w:rPr>
            </w:pPr>
            <w:r>
              <w:rPr>
                <w:color w:val="auto"/>
                <w:sz w:val="24"/>
              </w:rPr>
              <w:t>本项目于2024年5月</w:t>
            </w:r>
            <w:r>
              <w:rPr>
                <w:rFonts w:hint="eastAsia"/>
                <w:color w:val="auto"/>
                <w:sz w:val="24"/>
              </w:rPr>
              <w:t>3</w:t>
            </w:r>
            <w:r>
              <w:rPr>
                <w:color w:val="auto"/>
                <w:sz w:val="24"/>
              </w:rPr>
              <w:t>0日取得了岳阳市君山区发展和改革局对君山区方台湖候鸟食源地和生态渔业科普研学研究示范基地的批复（批复号为：岳君发改审[2024]</w:t>
            </w:r>
            <w:r>
              <w:rPr>
                <w:rFonts w:hint="eastAsia"/>
                <w:color w:val="auto"/>
                <w:sz w:val="24"/>
              </w:rPr>
              <w:t>73</w:t>
            </w:r>
            <w:r>
              <w:rPr>
                <w:color w:val="auto"/>
                <w:sz w:val="24"/>
              </w:rPr>
              <w:t>号），建设项目代码为2402-430611-04-01-911964。</w:t>
            </w:r>
          </w:p>
          <w:p w14:paraId="1C9F1C2E">
            <w:pPr>
              <w:autoSpaceDE w:val="0"/>
              <w:autoSpaceDN w:val="0"/>
              <w:spacing w:line="360" w:lineRule="auto"/>
              <w:ind w:firstLine="480" w:firstLineChars="200"/>
              <w:jc w:val="left"/>
              <w:rPr>
                <w:color w:val="auto"/>
                <w:sz w:val="24"/>
              </w:rPr>
            </w:pPr>
            <w:r>
              <w:rPr>
                <w:color w:val="auto"/>
                <w:sz w:val="24"/>
              </w:rPr>
              <w:t>综上所述，本项目的建设符合国家产业政策及当地发展规划。</w:t>
            </w:r>
          </w:p>
          <w:p w14:paraId="1F08E4C8">
            <w:pPr>
              <w:autoSpaceDE w:val="0"/>
              <w:autoSpaceDN w:val="0"/>
              <w:spacing w:line="360" w:lineRule="auto"/>
              <w:ind w:firstLine="482" w:firstLineChars="200"/>
              <w:jc w:val="left"/>
              <w:rPr>
                <w:color w:val="auto"/>
                <w:sz w:val="24"/>
              </w:rPr>
            </w:pPr>
            <w:r>
              <w:rPr>
                <w:b/>
                <w:bCs/>
                <w:color w:val="auto"/>
                <w:sz w:val="24"/>
              </w:rPr>
              <w:t>2、选址合理性分析</w:t>
            </w:r>
          </w:p>
          <w:p w14:paraId="333D9EDB">
            <w:pPr>
              <w:autoSpaceDE w:val="0"/>
              <w:autoSpaceDN w:val="0"/>
              <w:spacing w:line="360" w:lineRule="auto"/>
              <w:ind w:firstLine="480" w:firstLineChars="200"/>
              <w:jc w:val="left"/>
              <w:rPr>
                <w:color w:val="auto"/>
                <w:sz w:val="24"/>
              </w:rPr>
            </w:pPr>
            <w:r>
              <w:rPr>
                <w:color w:val="auto"/>
                <w:sz w:val="24"/>
              </w:rPr>
              <w:t>本项目位于湖南省岳阳市君山区钱粮湖镇银杯社区方台村5组，</w:t>
            </w:r>
            <w:r>
              <w:rPr>
                <w:rFonts w:hint="eastAsia"/>
                <w:color w:val="auto"/>
                <w:sz w:val="24"/>
              </w:rPr>
              <w:t>养殖基地利用原有散户鱼塘进行升级改造</w:t>
            </w:r>
            <w:r>
              <w:rPr>
                <w:color w:val="auto"/>
                <w:sz w:val="24"/>
              </w:rPr>
              <w:t>。经查询君山区东洞庭湖国家级自然保护区区划图，该建设地块处于东洞庭湖自然保护区实验区范围。该鱼塘先前由当地渔民用于水产养殖，且区域内已存在建筑物</w:t>
            </w:r>
            <w:r>
              <w:rPr>
                <w:rFonts w:hint="eastAsia"/>
                <w:color w:val="auto"/>
                <w:sz w:val="24"/>
              </w:rPr>
              <w:t>，</w:t>
            </w:r>
            <w:r>
              <w:rPr>
                <w:color w:val="auto"/>
                <w:sz w:val="24"/>
              </w:rPr>
              <w:t>从项目选址层面考量，</w:t>
            </w:r>
            <w:r>
              <w:rPr>
                <w:rFonts w:hint="eastAsia"/>
                <w:color w:val="auto"/>
                <w:sz w:val="24"/>
              </w:rPr>
              <w:t>该建设地块</w:t>
            </w:r>
            <w:r>
              <w:rPr>
                <w:color w:val="auto"/>
                <w:sz w:val="24"/>
              </w:rPr>
              <w:t>无法避让湖南东洞庭湖国家级自然保护区实验区。经调查核实，本项目与湖南东洞庭湖鲤、鲫、黄颡国家级水产种质资源保护区以及东洞庭湖江豚市级自然保护区之间的距离较远，不会对二者产生直接影响。</w:t>
            </w:r>
          </w:p>
          <w:p w14:paraId="5E03F500">
            <w:pPr>
              <w:autoSpaceDE w:val="0"/>
              <w:autoSpaceDN w:val="0"/>
              <w:spacing w:line="360" w:lineRule="auto"/>
              <w:ind w:firstLine="480" w:firstLineChars="200"/>
              <w:jc w:val="left"/>
              <w:rPr>
                <w:color w:val="auto"/>
                <w:sz w:val="24"/>
                <w:u w:val="single"/>
              </w:rPr>
            </w:pPr>
            <w:r>
              <w:rPr>
                <w:rFonts w:hint="eastAsia"/>
                <w:color w:val="auto"/>
                <w:sz w:val="24"/>
                <w:u w:val="single"/>
              </w:rPr>
              <w:t>针对本项目，湖南东洞庭湖国家级自然保护区管理局已明确态度。该局就“关于请求支持开展君山区方台湖设施渔业水基项目（一期）工作的函”出具复函（附件6），明确表示：“鉴于该项目的实施对于探索减少养殖废水排放、规范渔业养殖、促进君山区水产养殖高质量发展等方面具有重要意义，我局原则支持该项目”，为项目推进提供重要支持。</w:t>
            </w:r>
          </w:p>
          <w:p w14:paraId="58DAD8BD">
            <w:pPr>
              <w:autoSpaceDE w:val="0"/>
              <w:autoSpaceDN w:val="0"/>
              <w:spacing w:line="360" w:lineRule="auto"/>
              <w:ind w:firstLine="480" w:firstLineChars="200"/>
              <w:jc w:val="left"/>
              <w:rPr>
                <w:color w:val="auto"/>
                <w:sz w:val="24"/>
                <w:u w:val="single"/>
              </w:rPr>
            </w:pPr>
            <w:r>
              <w:rPr>
                <w:color w:val="auto"/>
                <w:sz w:val="24"/>
                <w:u w:val="single"/>
              </w:rPr>
              <w:t>环境方面，建设地块当前环境问题主要源于农村污染源，具体表现为养殖废水直排、饵料过量投喂引发水体污染及生活垃圾随意堆放等。目前，项目地块已流转至湖南君山生态渔业集团有限公司，由该公司实施集中管理，公司将针对上述原有环境污染问题采取有效措施整改，实现项目规范化生产。项目建成投产后，养殖过程完全受控，其精准的投料量及用药量，能有效</w:t>
            </w:r>
            <w:r>
              <w:rPr>
                <w:rFonts w:hint="eastAsia"/>
                <w:color w:val="auto"/>
                <w:sz w:val="24"/>
                <w:u w:val="single"/>
              </w:rPr>
              <w:t>减轻</w:t>
            </w:r>
            <w:r>
              <w:rPr>
                <w:color w:val="auto"/>
                <w:sz w:val="24"/>
                <w:u w:val="single"/>
              </w:rPr>
              <w:t>养殖过程中对生态环境造成的负担。“零排放”绿色高效循环渔业养殖突出了养殖废弃物收集与净化处理的高效性、养殖产品的安全性、生产管理的便利性和灵活性，以及养殖生产的经济性和高效性，实现了养殖废弃物高效收集，是一种生态、环保、安全、高效的全新绿色养殖模式。</w:t>
            </w:r>
          </w:p>
          <w:p w14:paraId="5EB9BF66">
            <w:pPr>
              <w:autoSpaceDE w:val="0"/>
              <w:autoSpaceDN w:val="0"/>
              <w:spacing w:line="360" w:lineRule="auto"/>
              <w:ind w:firstLine="480" w:firstLineChars="200"/>
              <w:jc w:val="left"/>
              <w:rPr>
                <w:color w:val="auto"/>
                <w:sz w:val="24"/>
                <w:u w:val="single"/>
              </w:rPr>
            </w:pPr>
            <w:r>
              <w:rPr>
                <w:color w:val="auto"/>
                <w:sz w:val="24"/>
                <w:u w:val="single"/>
              </w:rPr>
              <w:t>同时，通过该养殖食源地的建设，可以提供候鸟更丰富的食物，保证候鸟安全过冬，使得东洞庭湖自然保护区方台湖内水质、生态环境、生物多样性得到提升，生态得到改善，候鸟的种群数量也随之不断增加。</w:t>
            </w:r>
          </w:p>
          <w:p w14:paraId="16F085BF">
            <w:pPr>
              <w:spacing w:line="360" w:lineRule="auto"/>
              <w:ind w:firstLine="480" w:firstLineChars="200"/>
              <w:rPr>
                <w:color w:val="auto"/>
                <w:sz w:val="24"/>
                <w:u w:val="single"/>
              </w:rPr>
            </w:pPr>
            <w:r>
              <w:rPr>
                <w:color w:val="auto"/>
                <w:sz w:val="24"/>
                <w:u w:val="single"/>
              </w:rPr>
              <w:t>综合上述情况分析，本项目选址符合相关规划要求，选址合理。</w:t>
            </w:r>
          </w:p>
          <w:p w14:paraId="2447B420">
            <w:pPr>
              <w:adjustRightInd w:val="0"/>
              <w:snapToGrid w:val="0"/>
              <w:spacing w:line="360" w:lineRule="auto"/>
              <w:ind w:firstLine="482" w:firstLineChars="200"/>
              <w:rPr>
                <w:b/>
                <w:bCs/>
                <w:color w:val="auto"/>
                <w:sz w:val="24"/>
              </w:rPr>
            </w:pPr>
            <w:r>
              <w:rPr>
                <w:b/>
                <w:bCs/>
                <w:color w:val="auto"/>
                <w:sz w:val="24"/>
              </w:rPr>
              <w:t>3、</w:t>
            </w:r>
            <w:r>
              <w:rPr>
                <w:rFonts w:hint="eastAsia"/>
                <w:b/>
                <w:bCs/>
                <w:color w:val="auto"/>
                <w:sz w:val="24"/>
              </w:rPr>
              <w:t>生态环境分区管控要求的符合性分析</w:t>
            </w:r>
          </w:p>
          <w:p w14:paraId="6DD5EAE4">
            <w:pPr>
              <w:adjustRightInd w:val="0"/>
              <w:snapToGrid w:val="0"/>
              <w:spacing w:line="360" w:lineRule="auto"/>
              <w:ind w:firstLine="480" w:firstLineChars="200"/>
              <w:rPr>
                <w:color w:val="auto"/>
                <w:sz w:val="24"/>
              </w:rPr>
            </w:pPr>
            <w:r>
              <w:rPr>
                <w:color w:val="auto"/>
                <w:sz w:val="24"/>
              </w:rPr>
              <w:t>根据《关于以改善环境质量为核心加强环境影响评价管理的通知》（环评[2016]150号）、《生态保护红线、环境质量底线、资源利用</w:t>
            </w:r>
            <w:r>
              <w:rPr>
                <w:rFonts w:hint="eastAsia"/>
                <w:color w:val="auto"/>
                <w:sz w:val="24"/>
              </w:rPr>
              <w:t>上限</w:t>
            </w:r>
            <w:r>
              <w:rPr>
                <w:color w:val="auto"/>
                <w:sz w:val="24"/>
              </w:rPr>
              <w:t>和环境准入负面清单编制技术指南》（环办环评[2017]99号）及《</w:t>
            </w:r>
            <w:r>
              <w:rPr>
                <w:rFonts w:hint="eastAsia"/>
                <w:color w:val="auto"/>
                <w:sz w:val="24"/>
              </w:rPr>
              <w:t>岳</w:t>
            </w:r>
            <w:r>
              <w:rPr>
                <w:color w:val="auto"/>
                <w:sz w:val="24"/>
              </w:rPr>
              <w:t>阳市生态环境局关于发布岳阳市生态环境分区管控动态更新成果(2023年版)的通知》，本项目符合性分析如下：</w:t>
            </w:r>
          </w:p>
          <w:p w14:paraId="42A120AB">
            <w:pPr>
              <w:adjustRightInd w:val="0"/>
              <w:snapToGrid w:val="0"/>
              <w:spacing w:line="360" w:lineRule="auto"/>
              <w:ind w:firstLine="482" w:firstLineChars="200"/>
              <w:rPr>
                <w:b/>
                <w:bCs/>
                <w:color w:val="auto"/>
                <w:sz w:val="24"/>
              </w:rPr>
            </w:pPr>
            <w:r>
              <w:rPr>
                <w:b/>
                <w:bCs/>
                <w:color w:val="auto"/>
                <w:sz w:val="24"/>
              </w:rPr>
              <w:t>①</w:t>
            </w:r>
            <w:bookmarkStart w:id="15" w:name="OLE_LINK2"/>
            <w:r>
              <w:rPr>
                <w:b/>
                <w:bCs/>
                <w:color w:val="auto"/>
                <w:sz w:val="24"/>
              </w:rPr>
              <w:t>生态保护红线符合性分析</w:t>
            </w:r>
            <w:bookmarkEnd w:id="15"/>
          </w:p>
          <w:p w14:paraId="3A6F1311">
            <w:pPr>
              <w:adjustRightInd w:val="0"/>
              <w:snapToGrid w:val="0"/>
              <w:spacing w:line="360" w:lineRule="auto"/>
              <w:ind w:firstLine="480" w:firstLineChars="200"/>
              <w:rPr>
                <w:rFonts w:hint="eastAsia" w:hAnsi="宋体"/>
                <w:color w:val="auto"/>
                <w:sz w:val="24"/>
              </w:rPr>
            </w:pPr>
            <w:r>
              <w:rPr>
                <w:rFonts w:hint="eastAsia" w:hAnsi="宋体"/>
                <w:color w:val="auto"/>
                <w:sz w:val="24"/>
              </w:rPr>
              <w:t>根据附件7《关于申请查询君山区方台湖设施渔业水基项目选址与生态保护红线位置关系的报告》的复函内容可知，项目用地约40454.78平方米位于岳阳市君山区生态保护红线内，全部位于东洞庭湖国家级自然保护区。</w:t>
            </w:r>
          </w:p>
          <w:p w14:paraId="523B4FF0">
            <w:pPr>
              <w:adjustRightInd w:val="0"/>
              <w:snapToGrid w:val="0"/>
              <w:spacing w:line="360" w:lineRule="auto"/>
              <w:ind w:firstLine="480" w:firstLineChars="200"/>
              <w:rPr>
                <w:rFonts w:hint="eastAsia" w:hAnsi="宋体"/>
                <w:color w:val="auto"/>
                <w:sz w:val="24"/>
              </w:rPr>
            </w:pPr>
            <w:r>
              <w:rPr>
                <w:rFonts w:hint="eastAsia" w:hAnsi="宋体"/>
                <w:color w:val="auto"/>
                <w:sz w:val="24"/>
              </w:rPr>
              <w:t>自然资源部、生态环境部、国家林业和草原局于2022年8月16日发布了《自然资源部、生态环境部、国家林业和草原局关于加强生态保护红线管理的通知（试行）》，该通知表明：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8.依据县级以上国土空间规划和生态保护修复专项规划开展的生态修复。9.根据我国相关法律法规和与邻国签署的国界管理制度协定（条约）开展的边界边境通道清理以及界务工程的修建、维护和拆除工作。10.法律法规规定允许的其他人为活动。</w:t>
            </w:r>
          </w:p>
          <w:p w14:paraId="48767F15">
            <w:pPr>
              <w:autoSpaceDE w:val="0"/>
              <w:autoSpaceDN w:val="0"/>
              <w:adjustRightInd w:val="0"/>
              <w:snapToGrid w:val="0"/>
              <w:spacing w:line="360" w:lineRule="auto"/>
              <w:ind w:firstLine="480" w:firstLineChars="200"/>
              <w:jc w:val="left"/>
              <w:rPr>
                <w:b/>
                <w:bCs/>
                <w:color w:val="auto"/>
                <w:sz w:val="24"/>
              </w:rPr>
            </w:pPr>
            <w:bookmarkStart w:id="16" w:name="OLE_LINK3"/>
            <w:r>
              <w:rPr>
                <w:rFonts w:hint="eastAsia" w:hAnsi="宋体"/>
                <w:color w:val="auto"/>
                <w:sz w:val="24"/>
              </w:rPr>
              <w:t>本项目养殖水域原为当地渔民用于渔业养殖的鱼塘，该地块现由湖南君山生态渔业集团有限公司统一管理运营，</w:t>
            </w:r>
            <w:bookmarkEnd w:id="16"/>
            <w:r>
              <w:rPr>
                <w:rFonts w:hint="eastAsia"/>
                <w:color w:val="auto"/>
                <w:sz w:val="24"/>
              </w:rPr>
              <w:t>项目属于内陆养殖项目，不属于</w:t>
            </w:r>
            <w:r>
              <w:rPr>
                <w:rFonts w:hint="eastAsia" w:hAnsi="宋体"/>
                <w:color w:val="auto"/>
                <w:sz w:val="24"/>
              </w:rPr>
              <w:t>开发性、生产性建设活动，属于在符合法律法规的前提下，允许的9条人为活动中的第2条“在原有原住居民和其他合法权益主体，允许在不扩大现有建设用地、用海用岛、耕地、水产养殖规模和放牧强度（符合草畜平衡管理规定）的前提下，开展种植、放牧、捕捞、养殖（不包括投礁型海洋牧场、围海养殖）等活动，修筑生产生活设施”活动，因此本项目与《自然资源部、生态环境部、国家林业和草原局关于加强生态保护红线管理的通知（试行）要求基本相符。</w:t>
            </w:r>
          </w:p>
          <w:p w14:paraId="04F61AC1">
            <w:pPr>
              <w:adjustRightInd w:val="0"/>
              <w:snapToGrid w:val="0"/>
              <w:spacing w:line="360" w:lineRule="auto"/>
              <w:ind w:firstLine="482" w:firstLineChars="200"/>
              <w:rPr>
                <w:b/>
                <w:bCs/>
                <w:color w:val="auto"/>
                <w:sz w:val="24"/>
              </w:rPr>
            </w:pPr>
            <w:r>
              <w:rPr>
                <w:b/>
                <w:bCs/>
                <w:color w:val="auto"/>
                <w:sz w:val="24"/>
              </w:rPr>
              <w:t>②环境质量底线符合性分析</w:t>
            </w:r>
          </w:p>
          <w:p w14:paraId="706D1495">
            <w:pPr>
              <w:adjustRightInd w:val="0"/>
              <w:snapToGrid w:val="0"/>
              <w:spacing w:line="360" w:lineRule="auto"/>
              <w:ind w:firstLine="480" w:firstLineChars="200"/>
              <w:rPr>
                <w:color w:val="auto"/>
                <w:sz w:val="24"/>
              </w:rPr>
            </w:pPr>
            <w:r>
              <w:rPr>
                <w:color w:val="auto"/>
                <w:sz w:val="24"/>
              </w:rPr>
              <w:t>本项目属于渔业内陆养殖项目，不属于工业生产项目，项目所在地大气环境质量满足《环境空气质量标准》（GB3095-2012）中一级标准要求；各噪声监测点噪声均满足《声环境质量标准》（GB3096-2008）1类标准要求。区域声环境质量符合功能区划定。</w:t>
            </w:r>
          </w:p>
          <w:p w14:paraId="23BB9A5B">
            <w:pPr>
              <w:adjustRightInd w:val="0"/>
              <w:snapToGrid w:val="0"/>
              <w:spacing w:line="360" w:lineRule="auto"/>
              <w:ind w:firstLine="482" w:firstLineChars="200"/>
              <w:rPr>
                <w:b/>
                <w:bCs/>
                <w:color w:val="auto"/>
                <w:sz w:val="24"/>
              </w:rPr>
            </w:pPr>
            <w:r>
              <w:rPr>
                <w:b/>
                <w:bCs/>
                <w:color w:val="auto"/>
                <w:sz w:val="24"/>
              </w:rPr>
              <w:t>③资源利用上线符合性分析</w:t>
            </w:r>
          </w:p>
          <w:p w14:paraId="6F1D6335">
            <w:pPr>
              <w:adjustRightInd w:val="0"/>
              <w:snapToGrid w:val="0"/>
              <w:spacing w:line="360" w:lineRule="auto"/>
              <w:ind w:firstLine="480" w:firstLineChars="200"/>
              <w:rPr>
                <w:color w:val="auto"/>
                <w:sz w:val="24"/>
              </w:rPr>
            </w:pPr>
            <w:r>
              <w:rPr>
                <w:color w:val="auto"/>
                <w:sz w:val="24"/>
              </w:rPr>
              <w:t>本项目属于渔业内陆养殖项目，不属于工业生产项目，本项目施工过程中消耗一定电能等资源，电耗由当地相关供电部门提供，能够满足本项目的用电要求。本项目工程占地范围主要为施工临时占地，不会突破当地资源利用</w:t>
            </w:r>
            <w:r>
              <w:rPr>
                <w:rFonts w:hint="eastAsia"/>
                <w:color w:val="auto"/>
                <w:sz w:val="24"/>
              </w:rPr>
              <w:t>上限</w:t>
            </w:r>
            <w:r>
              <w:rPr>
                <w:color w:val="auto"/>
                <w:sz w:val="24"/>
              </w:rPr>
              <w:t>。本项目符合资源利用</w:t>
            </w:r>
            <w:r>
              <w:rPr>
                <w:rFonts w:hint="eastAsia"/>
                <w:color w:val="auto"/>
                <w:sz w:val="24"/>
              </w:rPr>
              <w:t>上限</w:t>
            </w:r>
            <w:r>
              <w:rPr>
                <w:color w:val="auto"/>
                <w:sz w:val="24"/>
              </w:rPr>
              <w:t>要求。</w:t>
            </w:r>
          </w:p>
          <w:p w14:paraId="5573D367">
            <w:pPr>
              <w:adjustRightInd w:val="0"/>
              <w:snapToGrid w:val="0"/>
              <w:spacing w:line="360" w:lineRule="auto"/>
              <w:ind w:firstLine="482" w:firstLineChars="200"/>
              <w:rPr>
                <w:b/>
                <w:bCs/>
                <w:color w:val="auto"/>
                <w:sz w:val="24"/>
              </w:rPr>
            </w:pPr>
            <w:r>
              <w:rPr>
                <w:b/>
                <w:bCs/>
                <w:color w:val="auto"/>
                <w:sz w:val="24"/>
              </w:rPr>
              <w:t>④环境准入负面清单符合性分析</w:t>
            </w:r>
          </w:p>
          <w:p w14:paraId="5781E6AA">
            <w:pPr>
              <w:adjustRightInd w:val="0"/>
              <w:snapToGrid w:val="0"/>
              <w:spacing w:line="360" w:lineRule="auto"/>
              <w:ind w:firstLine="480" w:firstLineChars="200"/>
              <w:rPr>
                <w:color w:val="auto"/>
                <w:sz w:val="24"/>
              </w:rPr>
            </w:pPr>
            <w:r>
              <w:rPr>
                <w:color w:val="auto"/>
                <w:sz w:val="24"/>
              </w:rPr>
              <w:t>本项目为渔业内陆养殖项目，通过查询《产业结构调整指导目录（20</w:t>
            </w:r>
            <w:r>
              <w:rPr>
                <w:rFonts w:hint="eastAsia"/>
                <w:color w:val="auto"/>
                <w:sz w:val="24"/>
              </w:rPr>
              <w:t>24</w:t>
            </w:r>
            <w:r>
              <w:rPr>
                <w:color w:val="auto"/>
                <w:sz w:val="24"/>
              </w:rPr>
              <w:t>年本）》，本项目不属于“限制类”和“淘汰类”项目。根据国务院国发[2005]40号文《促进产业结构调整暂行规定》第三章产业结构调整指导目录第十三条“不属于鼓励类、限制类和淘汰类，且符合国家有关法律、法规和政策规定的</w:t>
            </w:r>
            <w:r>
              <w:rPr>
                <w:rFonts w:hint="eastAsia"/>
                <w:color w:val="auto"/>
                <w:sz w:val="24"/>
              </w:rPr>
              <w:t>为一般允许类</w:t>
            </w:r>
            <w:r>
              <w:rPr>
                <w:color w:val="auto"/>
                <w:sz w:val="24"/>
              </w:rPr>
              <w:t>”。因此本项目符合国家产业政策，具有较好的社会效益、经济效益和发展前景。因此，本项目符合产业政策要求，不属于负面清单的范围。</w:t>
            </w:r>
          </w:p>
          <w:p w14:paraId="2D7AF634">
            <w:pPr>
              <w:adjustRightInd w:val="0"/>
              <w:snapToGrid w:val="0"/>
              <w:spacing w:line="360" w:lineRule="auto"/>
              <w:ind w:firstLine="482" w:firstLineChars="200"/>
              <w:rPr>
                <w:b/>
                <w:bCs/>
                <w:color w:val="auto"/>
                <w:sz w:val="24"/>
              </w:rPr>
            </w:pPr>
            <w:r>
              <w:rPr>
                <w:b/>
                <w:bCs/>
                <w:color w:val="auto"/>
                <w:sz w:val="24"/>
              </w:rPr>
              <w:t>⑤本项目与《岳阳市生态环境局关于发布岳阳市生态环境分区管控动态更新成果(2023年版)的通知》（岳</w:t>
            </w:r>
            <w:r>
              <w:rPr>
                <w:rFonts w:hint="eastAsia"/>
                <w:b/>
                <w:bCs/>
                <w:color w:val="auto"/>
                <w:sz w:val="24"/>
              </w:rPr>
              <w:t>环</w:t>
            </w:r>
            <w:r>
              <w:rPr>
                <w:b/>
                <w:bCs/>
                <w:color w:val="auto"/>
                <w:sz w:val="24"/>
              </w:rPr>
              <w:t>发〔202</w:t>
            </w:r>
            <w:r>
              <w:rPr>
                <w:rFonts w:hint="eastAsia"/>
                <w:b/>
                <w:bCs/>
                <w:color w:val="auto"/>
                <w:sz w:val="24"/>
              </w:rPr>
              <w:t>4</w:t>
            </w:r>
            <w:r>
              <w:rPr>
                <w:b/>
                <w:bCs/>
                <w:color w:val="auto"/>
                <w:sz w:val="24"/>
              </w:rPr>
              <w:t>〕</w:t>
            </w:r>
            <w:r>
              <w:rPr>
                <w:rFonts w:hint="eastAsia"/>
                <w:b/>
                <w:bCs/>
                <w:color w:val="auto"/>
                <w:sz w:val="24"/>
              </w:rPr>
              <w:t>14</w:t>
            </w:r>
            <w:r>
              <w:rPr>
                <w:b/>
                <w:bCs/>
                <w:color w:val="auto"/>
                <w:sz w:val="24"/>
              </w:rPr>
              <w:t>号）的相符性分析</w:t>
            </w:r>
          </w:p>
          <w:p w14:paraId="6143F8B0">
            <w:pPr>
              <w:spacing w:line="360" w:lineRule="auto"/>
              <w:ind w:firstLine="480" w:firstLineChars="200"/>
              <w:rPr>
                <w:color w:val="auto"/>
                <w:sz w:val="24"/>
              </w:rPr>
            </w:pPr>
            <w:r>
              <w:rPr>
                <w:color w:val="auto"/>
                <w:sz w:val="24"/>
              </w:rPr>
              <w:t>根据《岳阳市生态环境局关于发布岳阳市生态环境分区管控动态更新成果(2023年版)的通知》（岳环发〔2024〕14号），具体分析见下表。</w:t>
            </w:r>
          </w:p>
          <w:p w14:paraId="07A862F0">
            <w:pPr>
              <w:pStyle w:val="9"/>
              <w:spacing w:after="0" w:line="240" w:lineRule="auto"/>
              <w:ind w:firstLine="210"/>
              <w:jc w:val="center"/>
              <w:rPr>
                <w:color w:val="auto"/>
                <w:sz w:val="21"/>
                <w:szCs w:val="21"/>
              </w:rPr>
            </w:pPr>
            <w:r>
              <w:rPr>
                <w:b/>
                <w:bCs/>
                <w:color w:val="auto"/>
                <w:sz w:val="21"/>
                <w:szCs w:val="21"/>
              </w:rPr>
              <w:t>表1-</w:t>
            </w:r>
            <w:r>
              <w:rPr>
                <w:rFonts w:hint="eastAsia"/>
                <w:b/>
                <w:bCs/>
                <w:color w:val="auto"/>
                <w:sz w:val="21"/>
                <w:szCs w:val="21"/>
              </w:rPr>
              <w:t>1</w:t>
            </w:r>
            <w:r>
              <w:rPr>
                <w:b/>
                <w:bCs/>
                <w:color w:val="auto"/>
                <w:sz w:val="21"/>
                <w:szCs w:val="21"/>
              </w:rPr>
              <w:t xml:space="preserve">   本项目与岳阳市“三线一单”管控要求符合性分析一览表</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939"/>
              <w:gridCol w:w="1581"/>
              <w:gridCol w:w="509"/>
              <w:gridCol w:w="1200"/>
              <w:gridCol w:w="1588"/>
              <w:gridCol w:w="930"/>
            </w:tblGrid>
            <w:tr w14:paraId="16346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184" w:hRule="atLeast"/>
                <w:jc w:val="center"/>
              </w:trPr>
              <w:tc>
                <w:tcPr>
                  <w:tcW w:w="695" w:type="pct"/>
                  <w:vAlign w:val="center"/>
                </w:tcPr>
                <w:p w14:paraId="61E85359">
                  <w:pPr>
                    <w:widowControl/>
                    <w:jc w:val="center"/>
                    <w:rPr>
                      <w:b/>
                      <w:bCs/>
                      <w:color w:val="auto"/>
                      <w:szCs w:val="21"/>
                    </w:rPr>
                  </w:pPr>
                  <w:r>
                    <w:rPr>
                      <w:b/>
                      <w:bCs/>
                      <w:color w:val="auto"/>
                      <w:szCs w:val="21"/>
                    </w:rPr>
                    <w:t>环境管控单元编码</w:t>
                  </w:r>
                </w:p>
              </w:tc>
              <w:tc>
                <w:tcPr>
                  <w:tcW w:w="1172" w:type="pct"/>
                  <w:vAlign w:val="center"/>
                </w:tcPr>
                <w:p w14:paraId="28D26615">
                  <w:pPr>
                    <w:jc w:val="center"/>
                    <w:rPr>
                      <w:b/>
                      <w:bCs/>
                      <w:color w:val="auto"/>
                      <w:szCs w:val="21"/>
                    </w:rPr>
                  </w:pPr>
                  <w:r>
                    <w:rPr>
                      <w:b/>
                      <w:bCs/>
                      <w:color w:val="auto"/>
                      <w:szCs w:val="21"/>
                    </w:rPr>
                    <w:t>单元名称</w:t>
                  </w:r>
                </w:p>
              </w:tc>
              <w:tc>
                <w:tcPr>
                  <w:tcW w:w="377" w:type="pct"/>
                  <w:vAlign w:val="center"/>
                </w:tcPr>
                <w:p w14:paraId="2AA30AEC">
                  <w:pPr>
                    <w:jc w:val="center"/>
                    <w:rPr>
                      <w:b/>
                      <w:bCs/>
                      <w:color w:val="auto"/>
                      <w:szCs w:val="21"/>
                    </w:rPr>
                  </w:pPr>
                  <w:r>
                    <w:rPr>
                      <w:b/>
                      <w:bCs/>
                      <w:color w:val="auto"/>
                      <w:szCs w:val="21"/>
                    </w:rPr>
                    <w:t>单元分类</w:t>
                  </w:r>
                </w:p>
              </w:tc>
              <w:tc>
                <w:tcPr>
                  <w:tcW w:w="887" w:type="pct"/>
                  <w:vAlign w:val="center"/>
                </w:tcPr>
                <w:p w14:paraId="4BE6CAAA">
                  <w:pPr>
                    <w:jc w:val="center"/>
                    <w:rPr>
                      <w:b/>
                      <w:bCs/>
                      <w:color w:val="auto"/>
                      <w:szCs w:val="21"/>
                    </w:rPr>
                  </w:pPr>
                  <w:r>
                    <w:rPr>
                      <w:b/>
                      <w:bCs/>
                      <w:color w:val="auto"/>
                      <w:szCs w:val="21"/>
                    </w:rPr>
                    <w:t>单元面积</w:t>
                  </w:r>
                </w:p>
              </w:tc>
              <w:tc>
                <w:tcPr>
                  <w:tcW w:w="1177" w:type="pct"/>
                  <w:vAlign w:val="center"/>
                </w:tcPr>
                <w:p w14:paraId="6FF9A7CF">
                  <w:pPr>
                    <w:jc w:val="center"/>
                    <w:rPr>
                      <w:b/>
                      <w:bCs/>
                      <w:color w:val="auto"/>
                      <w:szCs w:val="21"/>
                    </w:rPr>
                  </w:pPr>
                  <w:r>
                    <w:rPr>
                      <w:b/>
                      <w:bCs/>
                      <w:color w:val="auto"/>
                      <w:szCs w:val="21"/>
                    </w:rPr>
                    <w:t>经济产业</w:t>
                  </w:r>
                </w:p>
                <w:p w14:paraId="57A7980C">
                  <w:pPr>
                    <w:jc w:val="center"/>
                    <w:rPr>
                      <w:b/>
                      <w:bCs/>
                      <w:color w:val="auto"/>
                      <w:szCs w:val="21"/>
                    </w:rPr>
                  </w:pPr>
                  <w:r>
                    <w:rPr>
                      <w:b/>
                      <w:bCs/>
                      <w:color w:val="auto"/>
                      <w:szCs w:val="21"/>
                    </w:rPr>
                    <w:t>布局</w:t>
                  </w:r>
                </w:p>
              </w:tc>
              <w:tc>
                <w:tcPr>
                  <w:tcW w:w="689" w:type="pct"/>
                  <w:vAlign w:val="center"/>
                </w:tcPr>
                <w:p w14:paraId="5380FB45">
                  <w:pPr>
                    <w:jc w:val="center"/>
                    <w:rPr>
                      <w:b/>
                      <w:bCs/>
                      <w:color w:val="auto"/>
                      <w:szCs w:val="21"/>
                    </w:rPr>
                  </w:pPr>
                  <w:r>
                    <w:rPr>
                      <w:b/>
                      <w:bCs/>
                      <w:color w:val="auto"/>
                      <w:szCs w:val="21"/>
                    </w:rPr>
                    <w:t>主要环境问题</w:t>
                  </w:r>
                </w:p>
              </w:tc>
            </w:tr>
            <w:tr w14:paraId="0718D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73D4277E">
                  <w:pPr>
                    <w:widowControl/>
                    <w:adjustRightInd w:val="0"/>
                    <w:snapToGrid w:val="0"/>
                    <w:jc w:val="center"/>
                    <w:rPr>
                      <w:color w:val="auto"/>
                      <w:szCs w:val="21"/>
                    </w:rPr>
                  </w:pPr>
                  <w:r>
                    <w:rPr>
                      <w:color w:val="auto"/>
                      <w:kern w:val="0"/>
                      <w:szCs w:val="21"/>
                      <w:lang w:bidi="ar"/>
                    </w:rPr>
                    <w:t>ZH43061110001</w:t>
                  </w:r>
                </w:p>
              </w:tc>
              <w:tc>
                <w:tcPr>
                  <w:tcW w:w="1172" w:type="pct"/>
                  <w:vAlign w:val="center"/>
                </w:tcPr>
                <w:p w14:paraId="2CFBF945">
                  <w:pPr>
                    <w:adjustRightInd w:val="0"/>
                    <w:snapToGrid w:val="0"/>
                    <w:jc w:val="center"/>
                    <w:rPr>
                      <w:color w:val="auto"/>
                      <w:szCs w:val="21"/>
                    </w:rPr>
                  </w:pPr>
                  <w:r>
                    <w:rPr>
                      <w:color w:val="auto"/>
                      <w:kern w:val="0"/>
                      <w:szCs w:val="21"/>
                      <w:lang w:bidi="ar"/>
                    </w:rPr>
                    <w:t>广兴洲镇/良心堡镇/柳林洲街道/钱粮湖镇/许市镇</w:t>
                  </w:r>
                </w:p>
              </w:tc>
              <w:tc>
                <w:tcPr>
                  <w:tcW w:w="377" w:type="pct"/>
                  <w:vAlign w:val="center"/>
                </w:tcPr>
                <w:p w14:paraId="5996A681">
                  <w:pPr>
                    <w:widowControl/>
                    <w:jc w:val="center"/>
                    <w:rPr>
                      <w:color w:val="auto"/>
                      <w:szCs w:val="21"/>
                    </w:rPr>
                  </w:pPr>
                  <w:r>
                    <w:rPr>
                      <w:color w:val="auto"/>
                      <w:kern w:val="0"/>
                      <w:szCs w:val="21"/>
                      <w:lang w:bidi="ar"/>
                    </w:rPr>
                    <w:t>优先保护单元</w:t>
                  </w:r>
                </w:p>
              </w:tc>
              <w:tc>
                <w:tcPr>
                  <w:tcW w:w="887" w:type="pct"/>
                  <w:vAlign w:val="center"/>
                </w:tcPr>
                <w:p w14:paraId="037E85EC">
                  <w:pPr>
                    <w:jc w:val="center"/>
                    <w:rPr>
                      <w:color w:val="auto"/>
                      <w:szCs w:val="21"/>
                    </w:rPr>
                  </w:pPr>
                  <w:r>
                    <w:rPr>
                      <w:color w:val="auto"/>
                      <w:szCs w:val="21"/>
                    </w:rPr>
                    <w:t>561.22km</w:t>
                  </w:r>
                  <w:r>
                    <w:rPr>
                      <w:color w:val="auto"/>
                      <w:szCs w:val="21"/>
                      <w:vertAlign w:val="superscript"/>
                    </w:rPr>
                    <w:t>2</w:t>
                  </w:r>
                </w:p>
              </w:tc>
              <w:tc>
                <w:tcPr>
                  <w:tcW w:w="1177" w:type="pct"/>
                  <w:vAlign w:val="center"/>
                </w:tcPr>
                <w:p w14:paraId="27E46728">
                  <w:pPr>
                    <w:widowControl/>
                    <w:adjustRightInd w:val="0"/>
                    <w:snapToGrid w:val="0"/>
                    <w:jc w:val="center"/>
                    <w:rPr>
                      <w:color w:val="auto"/>
                      <w:szCs w:val="21"/>
                    </w:rPr>
                  </w:pPr>
                  <w:r>
                    <w:rPr>
                      <w:b/>
                      <w:bCs/>
                      <w:color w:val="auto"/>
                      <w:szCs w:val="21"/>
                    </w:rPr>
                    <w:t>钱粮湖镇：</w:t>
                  </w:r>
                  <w:r>
                    <w:rPr>
                      <w:color w:val="auto"/>
                      <w:szCs w:val="21"/>
                    </w:rPr>
                    <w:t>发展现代高效农业、发展水产养殖业和林业、发展农副产品加工工业、发展旅游、旅游服务业、畜禽养殖业。</w:t>
                  </w:r>
                </w:p>
              </w:tc>
              <w:tc>
                <w:tcPr>
                  <w:tcW w:w="689" w:type="pct"/>
                  <w:vAlign w:val="center"/>
                </w:tcPr>
                <w:p w14:paraId="00563AC2">
                  <w:pPr>
                    <w:widowControl/>
                    <w:jc w:val="center"/>
                    <w:rPr>
                      <w:color w:val="auto"/>
                      <w:szCs w:val="21"/>
                    </w:rPr>
                  </w:pPr>
                  <w:r>
                    <w:rPr>
                      <w:color w:val="auto"/>
                      <w:kern w:val="0"/>
                      <w:szCs w:val="21"/>
                    </w:rPr>
                    <w:t>区域内部分地区存在农业面源污染问题。辖区内国控断面东洞庭湖总磷数据无法稳定达到考核目标。</w:t>
                  </w:r>
                </w:p>
              </w:tc>
            </w:tr>
            <w:tr w14:paraId="54D42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5E8C040A">
                  <w:pPr>
                    <w:jc w:val="center"/>
                    <w:rPr>
                      <w:b/>
                      <w:bCs/>
                      <w:color w:val="auto"/>
                      <w:szCs w:val="21"/>
                    </w:rPr>
                  </w:pPr>
                  <w:r>
                    <w:rPr>
                      <w:b/>
                      <w:bCs/>
                      <w:color w:val="auto"/>
                      <w:szCs w:val="21"/>
                    </w:rPr>
                    <w:t>管控维度</w:t>
                  </w:r>
                </w:p>
              </w:tc>
              <w:tc>
                <w:tcPr>
                  <w:tcW w:w="2438" w:type="pct"/>
                  <w:gridSpan w:val="3"/>
                  <w:vAlign w:val="center"/>
                </w:tcPr>
                <w:p w14:paraId="3C83CB84">
                  <w:pPr>
                    <w:jc w:val="center"/>
                    <w:rPr>
                      <w:b/>
                      <w:bCs/>
                      <w:color w:val="auto"/>
                      <w:szCs w:val="21"/>
                    </w:rPr>
                  </w:pPr>
                  <w:r>
                    <w:rPr>
                      <w:b/>
                      <w:bCs/>
                      <w:color w:val="auto"/>
                      <w:szCs w:val="21"/>
                    </w:rPr>
                    <w:t>管控要求</w:t>
                  </w:r>
                </w:p>
              </w:tc>
              <w:tc>
                <w:tcPr>
                  <w:tcW w:w="1177" w:type="pct"/>
                  <w:vAlign w:val="center"/>
                </w:tcPr>
                <w:p w14:paraId="272353FB">
                  <w:pPr>
                    <w:jc w:val="center"/>
                    <w:rPr>
                      <w:b/>
                      <w:bCs/>
                      <w:color w:val="auto"/>
                      <w:szCs w:val="21"/>
                    </w:rPr>
                  </w:pPr>
                  <w:r>
                    <w:rPr>
                      <w:b/>
                      <w:bCs/>
                      <w:color w:val="auto"/>
                      <w:szCs w:val="21"/>
                    </w:rPr>
                    <w:t>项目实际</w:t>
                  </w:r>
                </w:p>
                <w:p w14:paraId="11599389">
                  <w:pPr>
                    <w:jc w:val="center"/>
                    <w:rPr>
                      <w:b/>
                      <w:bCs/>
                      <w:color w:val="auto"/>
                      <w:szCs w:val="21"/>
                    </w:rPr>
                  </w:pPr>
                  <w:r>
                    <w:rPr>
                      <w:b/>
                      <w:bCs/>
                      <w:color w:val="auto"/>
                      <w:szCs w:val="21"/>
                    </w:rPr>
                    <w:t>情况</w:t>
                  </w:r>
                </w:p>
              </w:tc>
              <w:tc>
                <w:tcPr>
                  <w:tcW w:w="689" w:type="pct"/>
                  <w:vAlign w:val="center"/>
                </w:tcPr>
                <w:p w14:paraId="347DAFF5">
                  <w:pPr>
                    <w:jc w:val="center"/>
                    <w:rPr>
                      <w:b/>
                      <w:bCs/>
                      <w:color w:val="auto"/>
                      <w:szCs w:val="21"/>
                    </w:rPr>
                  </w:pPr>
                  <w:r>
                    <w:rPr>
                      <w:b/>
                      <w:bCs/>
                      <w:color w:val="auto"/>
                      <w:szCs w:val="21"/>
                    </w:rPr>
                    <w:t>符合性</w:t>
                  </w:r>
                </w:p>
              </w:tc>
            </w:tr>
            <w:tr w14:paraId="09494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69982554">
                  <w:pPr>
                    <w:jc w:val="center"/>
                    <w:rPr>
                      <w:color w:val="auto"/>
                      <w:szCs w:val="21"/>
                    </w:rPr>
                  </w:pPr>
                  <w:r>
                    <w:rPr>
                      <w:color w:val="auto"/>
                      <w:szCs w:val="21"/>
                    </w:rPr>
                    <w:t>空间布局约束</w:t>
                  </w:r>
                </w:p>
              </w:tc>
              <w:tc>
                <w:tcPr>
                  <w:tcW w:w="2438" w:type="pct"/>
                  <w:gridSpan w:val="3"/>
                  <w:vAlign w:val="center"/>
                </w:tcPr>
                <w:p w14:paraId="0CDCF3F1">
                  <w:pPr>
                    <w:numPr>
                      <w:ilvl w:val="1"/>
                      <w:numId w:val="3"/>
                    </w:numPr>
                    <w:tabs>
                      <w:tab w:val="left" w:pos="1021"/>
                    </w:tabs>
                    <w:adjustRightInd w:val="0"/>
                    <w:snapToGrid w:val="0"/>
                    <w:rPr>
                      <w:color w:val="auto"/>
                      <w:szCs w:val="21"/>
                    </w:rPr>
                  </w:pPr>
                  <w:r>
                    <w:rPr>
                      <w:color w:val="auto"/>
                      <w:szCs w:val="21"/>
                    </w:rPr>
                    <w:t>加强钱粮湖镇、广兴洲镇、良心堡镇耕地保护，积极开展集中连片的耕地整理，增加有效耕地面积，稳步提高农业综合生产能力。</w:t>
                  </w:r>
                </w:p>
                <w:p w14:paraId="138711A9">
                  <w:pPr>
                    <w:tabs>
                      <w:tab w:val="left" w:pos="1021"/>
                    </w:tabs>
                    <w:adjustRightInd w:val="0"/>
                    <w:snapToGrid w:val="0"/>
                    <w:rPr>
                      <w:color w:val="auto"/>
                      <w:szCs w:val="21"/>
                    </w:rPr>
                  </w:pPr>
                  <w:r>
                    <w:rPr>
                      <w:color w:val="auto"/>
                      <w:szCs w:val="21"/>
                    </w:rPr>
                    <w:t>（1.2）优化调整畜禽养殖结构和布局。鼓励规模以下畜禽养殖户采用“种养结合”等模式消纳畜禽粪污。防治种植业面源污染。</w:t>
                  </w:r>
                </w:p>
                <w:p w14:paraId="3FBD4135">
                  <w:pPr>
                    <w:tabs>
                      <w:tab w:val="left" w:pos="1021"/>
                    </w:tabs>
                    <w:adjustRightInd w:val="0"/>
                    <w:snapToGrid w:val="0"/>
                    <w:rPr>
                      <w:color w:val="auto"/>
                      <w:szCs w:val="21"/>
                    </w:rPr>
                  </w:pPr>
                  <w:r>
                    <w:rPr>
                      <w:color w:val="auto"/>
                      <w:szCs w:val="21"/>
                    </w:rPr>
                    <w:t>（1.3）禁止生产、销售和使用含磷洗涤用品。</w:t>
                  </w:r>
                </w:p>
                <w:p w14:paraId="5A7B6CAA">
                  <w:pPr>
                    <w:jc w:val="center"/>
                    <w:rPr>
                      <w:color w:val="auto"/>
                      <w:szCs w:val="21"/>
                    </w:rPr>
                  </w:pPr>
                  <w:r>
                    <w:rPr>
                      <w:color w:val="auto"/>
                      <w:szCs w:val="21"/>
                    </w:rPr>
                    <w:t>（1.4）禁养区内畜禽养殖场立即关停退养，禁养区外沿江、河、湖、库、排（干）渠渠岸线500米内实施限养管理，禁止新增养殖场和扩大养殖规模，引导现有养殖场逐步退出。天然水域禁止投肥投饵养殖。</w:t>
                  </w:r>
                </w:p>
              </w:tc>
              <w:tc>
                <w:tcPr>
                  <w:tcW w:w="1177" w:type="pct"/>
                  <w:vAlign w:val="center"/>
                </w:tcPr>
                <w:p w14:paraId="4C048A80">
                  <w:pPr>
                    <w:tabs>
                      <w:tab w:val="left" w:pos="1021"/>
                    </w:tabs>
                    <w:adjustRightInd w:val="0"/>
                    <w:snapToGrid w:val="0"/>
                    <w:rPr>
                      <w:color w:val="auto"/>
                      <w:szCs w:val="21"/>
                    </w:rPr>
                  </w:pPr>
                  <w:r>
                    <w:rPr>
                      <w:color w:val="auto"/>
                      <w:szCs w:val="21"/>
                    </w:rPr>
                    <w:t>（1.1）</w:t>
                  </w:r>
                  <w:r>
                    <w:rPr>
                      <w:rFonts w:hint="eastAsia"/>
                      <w:color w:val="auto"/>
                      <w:szCs w:val="21"/>
                    </w:rPr>
                    <w:t>本项目不涉及耕地的开发利用</w:t>
                  </w:r>
                  <w:r>
                    <w:rPr>
                      <w:color w:val="auto"/>
                      <w:szCs w:val="21"/>
                    </w:rPr>
                    <w:t>（1.2）本项目属于水产养殖不涉及畜禽养殖（1.3）本项目不生产、销售和使用含磷洗涤用品。</w:t>
                  </w:r>
                </w:p>
                <w:p w14:paraId="65423B0C">
                  <w:pPr>
                    <w:tabs>
                      <w:tab w:val="left" w:pos="1021"/>
                    </w:tabs>
                    <w:adjustRightInd w:val="0"/>
                    <w:snapToGrid w:val="0"/>
                    <w:rPr>
                      <w:color w:val="auto"/>
                      <w:szCs w:val="21"/>
                      <w:highlight w:val="yellow"/>
                    </w:rPr>
                  </w:pPr>
                  <w:r>
                    <w:rPr>
                      <w:color w:val="auto"/>
                      <w:szCs w:val="21"/>
                      <w:u w:val="single"/>
                    </w:rPr>
                    <w:t>（1.4）</w:t>
                  </w:r>
                  <w:r>
                    <w:rPr>
                      <w:rFonts w:hint="eastAsia"/>
                      <w:color w:val="auto"/>
                      <w:szCs w:val="21"/>
                      <w:u w:val="single"/>
                      <w:lang w:val="en-US" w:eastAsia="zh-CN"/>
                    </w:rPr>
                    <w:t>根据附图9君山区养殖水域滩涂“三区”规划图可知，本项目不属于禁养区及限养区；</w:t>
                  </w:r>
                  <w:r>
                    <w:rPr>
                      <w:rFonts w:hint="eastAsia"/>
                      <w:color w:val="auto"/>
                      <w:szCs w:val="21"/>
                      <w:u w:val="single"/>
                    </w:rPr>
                    <w:t>鱼塘为现有，</w:t>
                  </w:r>
                  <w:r>
                    <w:rPr>
                      <w:color w:val="auto"/>
                      <w:szCs w:val="21"/>
                      <w:u w:val="single"/>
                    </w:rPr>
                    <w:t>不属于天然水域</w:t>
                  </w:r>
                  <w:r>
                    <w:rPr>
                      <w:rFonts w:hint="eastAsia"/>
                      <w:color w:val="auto"/>
                      <w:szCs w:val="21"/>
                      <w:u w:val="single"/>
                    </w:rPr>
                    <w:t>，且项目不进行投肥投饵，仅投喂鱼类、虾类等水产动物</w:t>
                  </w:r>
                  <w:r>
                    <w:rPr>
                      <w:color w:val="auto"/>
                      <w:szCs w:val="21"/>
                      <w:u w:val="single"/>
                    </w:rPr>
                    <w:t>。</w:t>
                  </w:r>
                </w:p>
              </w:tc>
              <w:tc>
                <w:tcPr>
                  <w:tcW w:w="689" w:type="pct"/>
                  <w:vAlign w:val="center"/>
                </w:tcPr>
                <w:p w14:paraId="38E02070">
                  <w:pPr>
                    <w:jc w:val="center"/>
                    <w:rPr>
                      <w:color w:val="auto"/>
                      <w:szCs w:val="21"/>
                    </w:rPr>
                  </w:pPr>
                  <w:r>
                    <w:rPr>
                      <w:color w:val="auto"/>
                      <w:szCs w:val="21"/>
                    </w:rPr>
                    <w:t>符合</w:t>
                  </w:r>
                </w:p>
              </w:tc>
            </w:tr>
            <w:tr w14:paraId="5166A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5ABAE484">
                  <w:pPr>
                    <w:jc w:val="center"/>
                    <w:rPr>
                      <w:color w:val="auto"/>
                      <w:szCs w:val="21"/>
                    </w:rPr>
                  </w:pPr>
                  <w:r>
                    <w:rPr>
                      <w:color w:val="auto"/>
                      <w:szCs w:val="21"/>
                    </w:rPr>
                    <w:t>污染物排放管控</w:t>
                  </w:r>
                </w:p>
              </w:tc>
              <w:tc>
                <w:tcPr>
                  <w:tcW w:w="2438" w:type="pct"/>
                  <w:gridSpan w:val="3"/>
                  <w:vAlign w:val="center"/>
                </w:tcPr>
                <w:p w14:paraId="4EDD7C03">
                  <w:pPr>
                    <w:tabs>
                      <w:tab w:val="left" w:pos="1021"/>
                    </w:tabs>
                    <w:adjustRightInd w:val="0"/>
                    <w:snapToGrid w:val="0"/>
                    <w:rPr>
                      <w:color w:val="auto"/>
                      <w:szCs w:val="21"/>
                    </w:rPr>
                  </w:pPr>
                  <w:r>
                    <w:rPr>
                      <w:color w:val="auto"/>
                      <w:szCs w:val="21"/>
                    </w:rPr>
                    <w:t>（2.1）</w:t>
                  </w:r>
                  <w:r>
                    <w:rPr>
                      <w:b/>
                      <w:bCs/>
                      <w:color w:val="auto"/>
                      <w:szCs w:val="21"/>
                    </w:rPr>
                    <w:t>废气</w:t>
                  </w:r>
                  <w:r>
                    <w:rPr>
                      <w:color w:val="auto"/>
                      <w:szCs w:val="21"/>
                    </w:rPr>
                    <w:t>：聚焦臭氧前体物VOCs和氮氧化物，加快推进含VOCs原辅材料源头替代，实施清洁能源替代，强化工业涂装、包装印刷等重点行业及油品储运销VOCs深度治理。</w:t>
                  </w:r>
                </w:p>
                <w:p w14:paraId="21EB53B0">
                  <w:pPr>
                    <w:tabs>
                      <w:tab w:val="left" w:pos="1021"/>
                    </w:tabs>
                    <w:adjustRightInd w:val="0"/>
                    <w:snapToGrid w:val="0"/>
                    <w:rPr>
                      <w:color w:val="auto"/>
                      <w:szCs w:val="21"/>
                    </w:rPr>
                  </w:pPr>
                  <w:r>
                    <w:rPr>
                      <w:color w:val="auto"/>
                      <w:szCs w:val="21"/>
                    </w:rPr>
                    <w:t>（2.2）</w:t>
                  </w:r>
                  <w:r>
                    <w:rPr>
                      <w:b/>
                      <w:bCs/>
                      <w:color w:val="auto"/>
                      <w:szCs w:val="21"/>
                    </w:rPr>
                    <w:t>废水</w:t>
                  </w:r>
                  <w:r>
                    <w:rPr>
                      <w:color w:val="auto"/>
                      <w:szCs w:val="21"/>
                    </w:rPr>
                    <w:t>：深化城镇污水收集处理提质增效。加速城乡黑臭水体治理。推进农村生活污水治理。推进水产养殖尾水治理和综合利用，枯水期尾水原则上循环综合利用不外排，确须外排时执行总磷浓度≤0.2mg/L的严格标准。</w:t>
                  </w:r>
                </w:p>
                <w:p w14:paraId="5BF63D2F">
                  <w:pPr>
                    <w:tabs>
                      <w:tab w:val="left" w:pos="1021"/>
                    </w:tabs>
                    <w:adjustRightInd w:val="0"/>
                    <w:snapToGrid w:val="0"/>
                    <w:rPr>
                      <w:color w:val="auto"/>
                      <w:szCs w:val="21"/>
                    </w:rPr>
                  </w:pPr>
                  <w:r>
                    <w:rPr>
                      <w:color w:val="auto"/>
                      <w:szCs w:val="21"/>
                    </w:rPr>
                    <w:t>（2.3）</w:t>
                  </w:r>
                  <w:r>
                    <w:rPr>
                      <w:b/>
                      <w:bCs/>
                      <w:color w:val="auto"/>
                      <w:szCs w:val="21"/>
                    </w:rPr>
                    <w:t>固体废物</w:t>
                  </w:r>
                  <w:r>
                    <w:rPr>
                      <w:color w:val="auto"/>
                      <w:szCs w:val="21"/>
                    </w:rPr>
                    <w:t>：推进农村生活垃圾源头分类收集、减量化。推进强化危险废物监管和利用处置能力改革，逐步建立“源头严防、过程严管、后果严惩”危险废物监管体系。</w:t>
                  </w:r>
                </w:p>
                <w:p w14:paraId="10962166">
                  <w:pPr>
                    <w:jc w:val="center"/>
                    <w:rPr>
                      <w:color w:val="auto"/>
                      <w:szCs w:val="21"/>
                    </w:rPr>
                  </w:pPr>
                  <w:r>
                    <w:rPr>
                      <w:color w:val="auto"/>
                      <w:szCs w:val="21"/>
                    </w:rPr>
                    <w:t>（2.4）</w:t>
                  </w:r>
                  <w:r>
                    <w:rPr>
                      <w:b/>
                      <w:bCs/>
                      <w:color w:val="auto"/>
                      <w:szCs w:val="21"/>
                    </w:rPr>
                    <w:t>农业面源</w:t>
                  </w:r>
                  <w:r>
                    <w:rPr>
                      <w:color w:val="auto"/>
                      <w:szCs w:val="21"/>
                    </w:rPr>
                    <w:t>：深入推进化肥农药减量增效。科学用药，提高农药利用率。推进农膜秸秆回收利用。推进以种养结合为重点的畜禽养殖废弃物资源利用，推动畜禽规模养殖场粪污处理设施装备提档升级。积极推广水产生态健康养殖模式。实施池塘标准化改造，推进养殖尾水节水减排。</w:t>
                  </w:r>
                </w:p>
              </w:tc>
              <w:tc>
                <w:tcPr>
                  <w:tcW w:w="1177" w:type="pct"/>
                  <w:vAlign w:val="center"/>
                </w:tcPr>
                <w:p w14:paraId="6A8BFA0D">
                  <w:pPr>
                    <w:tabs>
                      <w:tab w:val="left" w:pos="1021"/>
                    </w:tabs>
                    <w:adjustRightInd w:val="0"/>
                    <w:snapToGrid w:val="0"/>
                    <w:rPr>
                      <w:color w:val="auto"/>
                      <w:szCs w:val="21"/>
                    </w:rPr>
                  </w:pPr>
                  <w:r>
                    <w:rPr>
                      <w:color w:val="auto"/>
                      <w:szCs w:val="21"/>
                    </w:rPr>
                    <w:t>（2.1）</w:t>
                  </w:r>
                  <w:r>
                    <w:rPr>
                      <w:b/>
                      <w:bCs/>
                      <w:color w:val="auto"/>
                      <w:szCs w:val="21"/>
                    </w:rPr>
                    <w:t>废气</w:t>
                  </w:r>
                  <w:r>
                    <w:rPr>
                      <w:color w:val="auto"/>
                      <w:szCs w:val="21"/>
                    </w:rPr>
                    <w:t>：本项目不涉及VOCs和氮氧化物的排放。</w:t>
                  </w:r>
                </w:p>
                <w:p w14:paraId="1704C72D">
                  <w:pPr>
                    <w:tabs>
                      <w:tab w:val="left" w:pos="1021"/>
                    </w:tabs>
                    <w:adjustRightInd w:val="0"/>
                    <w:snapToGrid w:val="0"/>
                    <w:rPr>
                      <w:color w:val="auto"/>
                      <w:szCs w:val="21"/>
                    </w:rPr>
                  </w:pPr>
                  <w:r>
                    <w:rPr>
                      <w:color w:val="auto"/>
                      <w:szCs w:val="21"/>
                    </w:rPr>
                    <w:t>（2.2）</w:t>
                  </w:r>
                  <w:r>
                    <w:rPr>
                      <w:b/>
                      <w:bCs/>
                      <w:color w:val="auto"/>
                      <w:szCs w:val="21"/>
                    </w:rPr>
                    <w:t>废水</w:t>
                  </w:r>
                  <w:r>
                    <w:rPr>
                      <w:color w:val="auto"/>
                      <w:szCs w:val="21"/>
                    </w:rPr>
                    <w:t>：本项目养殖</w:t>
                  </w:r>
                  <w:r>
                    <w:rPr>
                      <w:rFonts w:hint="eastAsia"/>
                      <w:color w:val="auto"/>
                      <w:szCs w:val="21"/>
                    </w:rPr>
                    <w:t>废</w:t>
                  </w:r>
                  <w:r>
                    <w:rPr>
                      <w:color w:val="auto"/>
                      <w:szCs w:val="21"/>
                    </w:rPr>
                    <w:t>水循环使用不外排。（2.3）</w:t>
                  </w:r>
                  <w:r>
                    <w:rPr>
                      <w:b/>
                      <w:bCs/>
                      <w:color w:val="auto"/>
                      <w:szCs w:val="21"/>
                    </w:rPr>
                    <w:t>固体废物</w:t>
                  </w:r>
                  <w:r>
                    <w:rPr>
                      <w:color w:val="auto"/>
                      <w:szCs w:val="21"/>
                    </w:rPr>
                    <w:t>：本项目生活垃圾进行分类收集处理</w:t>
                  </w:r>
                </w:p>
                <w:p w14:paraId="2D59C5E4">
                  <w:pPr>
                    <w:tabs>
                      <w:tab w:val="left" w:pos="1021"/>
                    </w:tabs>
                    <w:adjustRightInd w:val="0"/>
                    <w:snapToGrid w:val="0"/>
                    <w:rPr>
                      <w:color w:val="auto"/>
                    </w:rPr>
                  </w:pPr>
                  <w:r>
                    <w:rPr>
                      <w:color w:val="auto"/>
                      <w:szCs w:val="21"/>
                    </w:rPr>
                    <w:t>（2.4）</w:t>
                  </w:r>
                  <w:r>
                    <w:rPr>
                      <w:b/>
                      <w:bCs/>
                      <w:color w:val="auto"/>
                      <w:szCs w:val="21"/>
                    </w:rPr>
                    <w:t>农业面源</w:t>
                  </w:r>
                  <w:r>
                    <w:rPr>
                      <w:color w:val="auto"/>
                      <w:szCs w:val="21"/>
                    </w:rPr>
                    <w:t>：本项目不使用化肥农药。本项目积极推广水产生态健康养殖模式。实施池塘标准化改造，推进养殖尾水节水减排。</w:t>
                  </w:r>
                </w:p>
              </w:tc>
              <w:tc>
                <w:tcPr>
                  <w:tcW w:w="689" w:type="pct"/>
                  <w:vAlign w:val="center"/>
                </w:tcPr>
                <w:p w14:paraId="68098CAC">
                  <w:pPr>
                    <w:jc w:val="center"/>
                    <w:rPr>
                      <w:color w:val="auto"/>
                      <w:szCs w:val="21"/>
                    </w:rPr>
                  </w:pPr>
                  <w:r>
                    <w:rPr>
                      <w:color w:val="auto"/>
                      <w:szCs w:val="21"/>
                    </w:rPr>
                    <w:t>符合</w:t>
                  </w:r>
                </w:p>
              </w:tc>
            </w:tr>
            <w:tr w14:paraId="5A957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696DAC41">
                  <w:pPr>
                    <w:jc w:val="center"/>
                    <w:rPr>
                      <w:color w:val="auto"/>
                      <w:szCs w:val="21"/>
                    </w:rPr>
                  </w:pPr>
                  <w:r>
                    <w:rPr>
                      <w:color w:val="auto"/>
                      <w:szCs w:val="21"/>
                    </w:rPr>
                    <w:t>环境风险防控</w:t>
                  </w:r>
                </w:p>
              </w:tc>
              <w:tc>
                <w:tcPr>
                  <w:tcW w:w="2438" w:type="pct"/>
                  <w:gridSpan w:val="3"/>
                  <w:vAlign w:val="center"/>
                </w:tcPr>
                <w:p w14:paraId="2F76279C">
                  <w:pPr>
                    <w:jc w:val="center"/>
                    <w:rPr>
                      <w:color w:val="auto"/>
                      <w:szCs w:val="21"/>
                    </w:rPr>
                  </w:pPr>
                  <w:r>
                    <w:rPr>
                      <w:color w:val="auto"/>
                      <w:szCs w:val="21"/>
                    </w:rPr>
                    <w:t>(3.1)全面提升监测能力，统筹水环境质量、生态流量、水生态状况、水环境风险监测监控，建立完善洞庭湖水质水量水生态动态监测预警体系和信息平台。</w:t>
                  </w:r>
                </w:p>
                <w:p w14:paraId="62DA5806">
                  <w:pPr>
                    <w:jc w:val="center"/>
                    <w:rPr>
                      <w:color w:val="auto"/>
                      <w:szCs w:val="21"/>
                    </w:rPr>
                  </w:pPr>
                  <w:r>
                    <w:rPr>
                      <w:color w:val="auto"/>
                      <w:szCs w:val="21"/>
                    </w:rPr>
                    <w:t>(3.2)有效管控建设用地土壤污染风险。严格土壤污染</w:t>
                  </w:r>
                </w:p>
                <w:p w14:paraId="6D6FBB8A">
                  <w:pPr>
                    <w:jc w:val="center"/>
                    <w:rPr>
                      <w:color w:val="auto"/>
                      <w:szCs w:val="21"/>
                    </w:rPr>
                  </w:pPr>
                  <w:r>
                    <w:rPr>
                      <w:color w:val="auto"/>
                      <w:szCs w:val="21"/>
                    </w:rPr>
                    <w:t>重点监管单位用地风险管控。以用途变更为“一住两公”的地块为重点，依法开展土壤污染状况调查和风险评估。对纳入建设用地土壤污染风险管控和修复名录内的地块，移出名录前，不得核发建设工程规划许可证。从严管控农药等行业中重度污染地块规划用途，确需开发利用的，鼓励用于拓展生态空间。对列入优先监管清单的地块，开展土壤污染调查和风险评估，按要求采取风险防控措施。</w:t>
                  </w:r>
                </w:p>
                <w:p w14:paraId="727A8368">
                  <w:pPr>
                    <w:jc w:val="center"/>
                    <w:rPr>
                      <w:color w:val="auto"/>
                      <w:szCs w:val="21"/>
                    </w:rPr>
                  </w:pPr>
                  <w:r>
                    <w:rPr>
                      <w:color w:val="auto"/>
                      <w:szCs w:val="21"/>
                    </w:rPr>
                    <w:t>(3.3)推进农用地土壤污染防治和安全利用。开展受污</w:t>
                  </w:r>
                </w:p>
                <w:p w14:paraId="61102ABC">
                  <w:pPr>
                    <w:jc w:val="center"/>
                    <w:rPr>
                      <w:color w:val="auto"/>
                      <w:szCs w:val="21"/>
                    </w:rPr>
                  </w:pPr>
                  <w:r>
                    <w:rPr>
                      <w:color w:val="auto"/>
                      <w:szCs w:val="21"/>
                    </w:rPr>
                    <w:t>染耕地土壤重金属成因排查试点，督促开展污染源头风险管控。确保受污染耕地安全利用率达到91%。</w:t>
                  </w:r>
                </w:p>
              </w:tc>
              <w:tc>
                <w:tcPr>
                  <w:tcW w:w="1177" w:type="pct"/>
                  <w:vAlign w:val="center"/>
                </w:tcPr>
                <w:p w14:paraId="4444552C">
                  <w:pPr>
                    <w:jc w:val="center"/>
                    <w:rPr>
                      <w:color w:val="auto"/>
                      <w:szCs w:val="21"/>
                    </w:rPr>
                  </w:pPr>
                  <w:r>
                    <w:rPr>
                      <w:color w:val="auto"/>
                      <w:szCs w:val="21"/>
                    </w:rPr>
                    <w:t>(3.1)</w:t>
                  </w:r>
                  <w:r>
                    <w:rPr>
                      <w:rFonts w:hint="eastAsia"/>
                      <w:color w:val="auto"/>
                      <w:szCs w:val="21"/>
                    </w:rPr>
                    <w:t>本项目尾水不外排，不会影响</w:t>
                  </w:r>
                  <w:r>
                    <w:rPr>
                      <w:color w:val="auto"/>
                      <w:szCs w:val="21"/>
                    </w:rPr>
                    <w:t>洞庭湖水质</w:t>
                  </w:r>
                  <w:r>
                    <w:rPr>
                      <w:rFonts w:hint="eastAsia"/>
                      <w:color w:val="auto"/>
                      <w:szCs w:val="21"/>
                    </w:rPr>
                    <w:t>。</w:t>
                  </w:r>
                  <w:r>
                    <w:rPr>
                      <w:color w:val="auto"/>
                      <w:szCs w:val="21"/>
                    </w:rPr>
                    <w:t>(3.2</w:t>
                  </w:r>
                  <w:r>
                    <w:rPr>
                      <w:rFonts w:hint="eastAsia"/>
                      <w:color w:val="auto"/>
                      <w:szCs w:val="21"/>
                    </w:rPr>
                    <w:t>)本项目用地不属于建设用地。</w:t>
                  </w:r>
                </w:p>
                <w:p w14:paraId="0C8461E3">
                  <w:pPr>
                    <w:jc w:val="center"/>
                    <w:rPr>
                      <w:color w:val="auto"/>
                      <w:szCs w:val="21"/>
                      <w:highlight w:val="yellow"/>
                    </w:rPr>
                  </w:pPr>
                  <w:r>
                    <w:rPr>
                      <w:color w:val="auto"/>
                      <w:szCs w:val="21"/>
                    </w:rPr>
                    <w:t>(3.3)</w:t>
                  </w:r>
                  <w:r>
                    <w:rPr>
                      <w:rFonts w:hint="eastAsia"/>
                      <w:color w:val="auto"/>
                      <w:szCs w:val="21"/>
                    </w:rPr>
                    <w:t>本项目利用场区现有池塘进行改造建设，不涉及耕地和种植。</w:t>
                  </w:r>
                </w:p>
              </w:tc>
              <w:tc>
                <w:tcPr>
                  <w:tcW w:w="689" w:type="pct"/>
                  <w:vAlign w:val="center"/>
                </w:tcPr>
                <w:p w14:paraId="4DAC0054">
                  <w:pPr>
                    <w:jc w:val="center"/>
                    <w:rPr>
                      <w:color w:val="auto"/>
                      <w:szCs w:val="21"/>
                    </w:rPr>
                  </w:pPr>
                  <w:r>
                    <w:rPr>
                      <w:color w:val="auto"/>
                      <w:szCs w:val="21"/>
                    </w:rPr>
                    <w:t>符合</w:t>
                  </w:r>
                </w:p>
              </w:tc>
            </w:tr>
            <w:tr w14:paraId="63206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695" w:type="pct"/>
                  <w:vAlign w:val="center"/>
                </w:tcPr>
                <w:p w14:paraId="344BAA7A">
                  <w:pPr>
                    <w:jc w:val="center"/>
                    <w:rPr>
                      <w:color w:val="auto"/>
                      <w:szCs w:val="21"/>
                    </w:rPr>
                  </w:pPr>
                  <w:r>
                    <w:rPr>
                      <w:color w:val="auto"/>
                      <w:szCs w:val="21"/>
                    </w:rPr>
                    <w:t>资源开发效率要求</w:t>
                  </w:r>
                </w:p>
              </w:tc>
              <w:tc>
                <w:tcPr>
                  <w:tcW w:w="2438" w:type="pct"/>
                  <w:gridSpan w:val="3"/>
                  <w:vAlign w:val="center"/>
                </w:tcPr>
                <w:p w14:paraId="55D7EB20">
                  <w:pPr>
                    <w:rPr>
                      <w:color w:val="auto"/>
                      <w:szCs w:val="21"/>
                    </w:rPr>
                  </w:pPr>
                  <w:r>
                    <w:rPr>
                      <w:color w:val="auto"/>
                      <w:szCs w:val="21"/>
                    </w:rPr>
                    <w:t>(4.1)水资源:2025年，君山区用水总量1.215亿立方米，万元地区生产总值用水量比2020年下降27.68%，万元工业增加值用水量比2020年下降13.68%。</w:t>
                  </w:r>
                </w:p>
                <w:p w14:paraId="57641E8A">
                  <w:pPr>
                    <w:rPr>
                      <w:color w:val="auto"/>
                      <w:szCs w:val="21"/>
                    </w:rPr>
                  </w:pPr>
                  <w:r>
                    <w:rPr>
                      <w:color w:val="auto"/>
                      <w:szCs w:val="21"/>
                    </w:rPr>
                    <w:t>(4.2)能源:君山区“十四五”时期能耗强度降低基本目标13%，激励目标13.5%。</w:t>
                  </w:r>
                </w:p>
                <w:p w14:paraId="36F46DE6">
                  <w:pPr>
                    <w:rPr>
                      <w:color w:val="auto"/>
                      <w:szCs w:val="21"/>
                    </w:rPr>
                  </w:pPr>
                  <w:r>
                    <w:rPr>
                      <w:color w:val="auto"/>
                      <w:szCs w:val="21"/>
                    </w:rPr>
                    <w:t>(4.3)土地资源:君山区耕地保有量288.61平方千米，永久基本农田保护面积254.4平方千米，生态保护红线面积139.18平方千米，城镇开发边界29.2平方千米。</w:t>
                  </w:r>
                </w:p>
              </w:tc>
              <w:tc>
                <w:tcPr>
                  <w:tcW w:w="1177" w:type="pct"/>
                  <w:vAlign w:val="center"/>
                </w:tcPr>
                <w:p w14:paraId="5A28DB42">
                  <w:pPr>
                    <w:rPr>
                      <w:color w:val="auto"/>
                    </w:rPr>
                  </w:pPr>
                  <w:r>
                    <w:rPr>
                      <w:rFonts w:hint="eastAsia"/>
                      <w:color w:val="auto"/>
                    </w:rPr>
                    <w:t>（4.1）本项目从采桑湖引水至厂区，消耗水量较少。</w:t>
                  </w:r>
                </w:p>
                <w:p w14:paraId="6C70507C">
                  <w:pPr>
                    <w:jc w:val="center"/>
                    <w:rPr>
                      <w:color w:val="auto"/>
                      <w:szCs w:val="21"/>
                      <w:highlight w:val="yellow"/>
                    </w:rPr>
                  </w:pPr>
                  <w:r>
                    <w:rPr>
                      <w:rFonts w:hint="eastAsia"/>
                      <w:color w:val="auto"/>
                    </w:rPr>
                    <w:t>（4.2）</w:t>
                  </w:r>
                  <w:r>
                    <w:rPr>
                      <w:rFonts w:hint="eastAsia" w:ascii="宋体" w:hAnsi="宋体" w:cs="宋体"/>
                      <w:color w:val="auto"/>
                      <w:szCs w:val="21"/>
                    </w:rPr>
                    <w:t>项目能耗为电，且在能耗控制范围内</w:t>
                  </w:r>
                  <w:r>
                    <w:rPr>
                      <w:rFonts w:hint="eastAsia"/>
                      <w:color w:val="auto"/>
                    </w:rPr>
                    <w:t>（4.3）本项目不涉及基本农田，涉及生态保护红线，《关于申请查询君山区方台湖设施渔业水基项目选址与生态保护红线位置关系的报告》的复函中“原住居民和其他合法权益主体在不扩大现有建设用地、耕地、水产养殖规模和放牧强度(符合草畜平衡管理规定)的前提下，修筑生产生活设施的，附县级人民政府出具的符合生态保护红线内允许有限人为活动的认定意见”，本项目对方台村5组原有鱼塘改造进行集中化管理同时解决原有环境污染问题规范化生产，并没有新增建设用地。</w:t>
                  </w:r>
                </w:p>
              </w:tc>
              <w:tc>
                <w:tcPr>
                  <w:tcW w:w="689" w:type="pct"/>
                  <w:vAlign w:val="center"/>
                </w:tcPr>
                <w:p w14:paraId="2BCC9943">
                  <w:pPr>
                    <w:jc w:val="center"/>
                    <w:rPr>
                      <w:color w:val="auto"/>
                      <w:szCs w:val="21"/>
                    </w:rPr>
                  </w:pPr>
                  <w:r>
                    <w:rPr>
                      <w:color w:val="auto"/>
                      <w:szCs w:val="21"/>
                    </w:rPr>
                    <w:t>符合</w:t>
                  </w:r>
                </w:p>
              </w:tc>
            </w:tr>
          </w:tbl>
          <w:p w14:paraId="6E433D7C">
            <w:pPr>
              <w:adjustRightInd w:val="0"/>
              <w:snapToGrid w:val="0"/>
              <w:spacing w:line="360" w:lineRule="auto"/>
              <w:ind w:firstLine="482" w:firstLineChars="200"/>
              <w:rPr>
                <w:b/>
                <w:bCs/>
                <w:color w:val="auto"/>
                <w:sz w:val="24"/>
                <w:u w:val="single"/>
              </w:rPr>
            </w:pPr>
            <w:r>
              <w:rPr>
                <w:b/>
                <w:bCs/>
                <w:color w:val="auto"/>
                <w:sz w:val="24"/>
                <w:u w:val="single"/>
              </w:rPr>
              <w:t>4、项目与《中华人民共和国自然保护区条例》(2017年修订)符合性分析</w:t>
            </w:r>
          </w:p>
          <w:p w14:paraId="249ABF4D">
            <w:pPr>
              <w:autoSpaceDE w:val="0"/>
              <w:autoSpaceDN w:val="0"/>
              <w:adjustRightInd w:val="0"/>
              <w:snapToGrid w:val="0"/>
              <w:jc w:val="center"/>
              <w:rPr>
                <w:b/>
                <w:bCs/>
                <w:color w:val="auto"/>
                <w:kern w:val="0"/>
                <w:szCs w:val="21"/>
                <w:u w:val="single"/>
              </w:rPr>
            </w:pPr>
            <w:r>
              <w:rPr>
                <w:b/>
                <w:bCs/>
                <w:color w:val="auto"/>
                <w:kern w:val="0"/>
                <w:szCs w:val="21"/>
                <w:u w:val="single"/>
              </w:rPr>
              <w:t>表1-</w:t>
            </w:r>
            <w:r>
              <w:rPr>
                <w:rFonts w:hint="eastAsia"/>
                <w:b/>
                <w:bCs/>
                <w:color w:val="auto"/>
                <w:kern w:val="0"/>
                <w:szCs w:val="21"/>
                <w:u w:val="single"/>
              </w:rPr>
              <w:t>2</w:t>
            </w:r>
            <w:r>
              <w:rPr>
                <w:b/>
                <w:bCs/>
                <w:color w:val="auto"/>
                <w:kern w:val="0"/>
                <w:szCs w:val="21"/>
                <w:u w:val="single"/>
              </w:rPr>
              <w:t xml:space="preserve">   与《中华人民共和国自然保护区条例》符合性一览表</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658"/>
              <w:gridCol w:w="2506"/>
              <w:gridCol w:w="584"/>
            </w:tblGrid>
            <w:tr w14:paraId="700D96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5FA9AD2F">
                  <w:pPr>
                    <w:pStyle w:val="36"/>
                    <w:jc w:val="center"/>
                    <w:rPr>
                      <w:b/>
                      <w:bCs/>
                      <w:color w:val="auto"/>
                      <w:u w:val="single"/>
                    </w:rPr>
                  </w:pPr>
                  <w:r>
                    <w:rPr>
                      <w:b/>
                      <w:bCs/>
                      <w:color w:val="auto"/>
                      <w:u w:val="single"/>
                    </w:rPr>
                    <w:t>《中华人民共和国自然保护区条例》</w:t>
                  </w:r>
                </w:p>
                <w:p w14:paraId="0B65D778">
                  <w:pPr>
                    <w:pStyle w:val="36"/>
                    <w:jc w:val="center"/>
                    <w:rPr>
                      <w:b/>
                      <w:bCs/>
                      <w:color w:val="auto"/>
                      <w:u w:val="single"/>
                    </w:rPr>
                  </w:pPr>
                  <w:r>
                    <w:rPr>
                      <w:b/>
                      <w:bCs/>
                      <w:color w:val="auto"/>
                      <w:u w:val="single"/>
                    </w:rPr>
                    <w:t>要求</w:t>
                  </w:r>
                </w:p>
              </w:tc>
              <w:tc>
                <w:tcPr>
                  <w:tcW w:w="1856" w:type="pct"/>
                  <w:tcBorders>
                    <w:tl2br w:val="nil"/>
                    <w:tr2bl w:val="nil"/>
                  </w:tcBorders>
                  <w:vAlign w:val="center"/>
                </w:tcPr>
                <w:p w14:paraId="5D07BF94">
                  <w:pPr>
                    <w:pStyle w:val="36"/>
                    <w:jc w:val="center"/>
                    <w:rPr>
                      <w:b/>
                      <w:bCs/>
                      <w:color w:val="auto"/>
                      <w:u w:val="single"/>
                    </w:rPr>
                  </w:pPr>
                  <w:r>
                    <w:rPr>
                      <w:b/>
                      <w:bCs/>
                      <w:color w:val="auto"/>
                      <w:u w:val="single"/>
                    </w:rPr>
                    <w:t>本项目情况</w:t>
                  </w:r>
                </w:p>
              </w:tc>
              <w:tc>
                <w:tcPr>
                  <w:tcW w:w="433" w:type="pct"/>
                  <w:tcBorders>
                    <w:tl2br w:val="nil"/>
                    <w:tr2bl w:val="nil"/>
                  </w:tcBorders>
                  <w:vAlign w:val="center"/>
                </w:tcPr>
                <w:p w14:paraId="0D4D7852">
                  <w:pPr>
                    <w:pStyle w:val="36"/>
                    <w:jc w:val="center"/>
                    <w:rPr>
                      <w:b/>
                      <w:bCs/>
                      <w:color w:val="auto"/>
                      <w:u w:val="single"/>
                    </w:rPr>
                  </w:pPr>
                  <w:r>
                    <w:rPr>
                      <w:b/>
                      <w:bCs/>
                      <w:color w:val="auto"/>
                      <w:u w:val="single"/>
                    </w:rPr>
                    <w:t>符合性</w:t>
                  </w:r>
                </w:p>
              </w:tc>
            </w:tr>
            <w:tr w14:paraId="19C54E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544C6190">
                  <w:pPr>
                    <w:pStyle w:val="36"/>
                    <w:jc w:val="center"/>
                    <w:rPr>
                      <w:color w:val="auto"/>
                      <w:u w:val="single"/>
                    </w:rPr>
                  </w:pPr>
                  <w:r>
                    <w:rPr>
                      <w:color w:val="auto"/>
                      <w:u w:val="single"/>
                    </w:rPr>
                    <w:t>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缓冲区外围划为实验区，可以进入从事科学试验、教学实习、参观考察、旅游以及驯化、繁殖珍稀、濒危野生动植物等活动。</w:t>
                  </w:r>
                </w:p>
              </w:tc>
              <w:tc>
                <w:tcPr>
                  <w:tcW w:w="1856" w:type="pct"/>
                  <w:tcBorders>
                    <w:tl2br w:val="nil"/>
                    <w:tr2bl w:val="nil"/>
                  </w:tcBorders>
                  <w:vAlign w:val="center"/>
                </w:tcPr>
                <w:p w14:paraId="1147BDBD">
                  <w:pPr>
                    <w:pStyle w:val="36"/>
                    <w:jc w:val="center"/>
                    <w:rPr>
                      <w:rFonts w:hint="eastAsia" w:eastAsia="宋体"/>
                      <w:color w:val="auto"/>
                      <w:u w:val="single"/>
                      <w:lang w:eastAsia="zh-CN"/>
                    </w:rPr>
                  </w:pPr>
                  <w:r>
                    <w:rPr>
                      <w:color w:val="auto"/>
                      <w:u w:val="single"/>
                    </w:rPr>
                    <w:t>本项目位于湖南省岳阳市君山区钱粮湖镇银杯社区方台村5组</w:t>
                  </w:r>
                  <w:r>
                    <w:rPr>
                      <w:rFonts w:hint="eastAsia"/>
                      <w:color w:val="auto"/>
                      <w:u w:val="single"/>
                      <w:lang w:eastAsia="zh-CN"/>
                    </w:rPr>
                    <w:t>，</w:t>
                  </w:r>
                  <w:r>
                    <w:rPr>
                      <w:color w:val="auto"/>
                      <w:u w:val="single"/>
                    </w:rPr>
                    <w:t>属于东洞庭湖自然保护区实验区范围内，</w:t>
                  </w:r>
                  <w:r>
                    <w:rPr>
                      <w:rFonts w:hint="eastAsia"/>
                      <w:color w:val="auto"/>
                      <w:u w:val="single"/>
                      <w:lang w:val="en-US" w:eastAsia="zh-CN"/>
                    </w:rPr>
                    <w:t>项目建设地</w:t>
                  </w:r>
                  <w:r>
                    <w:rPr>
                      <w:rFonts w:hint="eastAsia"/>
                      <w:color w:val="auto"/>
                      <w:u w:val="single"/>
                    </w:rPr>
                    <w:t>不涉及核心区</w:t>
                  </w:r>
                  <w:r>
                    <w:rPr>
                      <w:rFonts w:hint="eastAsia"/>
                      <w:color w:val="auto"/>
                      <w:u w:val="single"/>
                      <w:lang w:eastAsia="zh-CN"/>
                    </w:rPr>
                    <w:t>、</w:t>
                  </w:r>
                  <w:r>
                    <w:rPr>
                      <w:rFonts w:hint="eastAsia"/>
                      <w:color w:val="auto"/>
                      <w:u w:val="single"/>
                    </w:rPr>
                    <w:t>缓冲区</w:t>
                  </w:r>
                  <w:r>
                    <w:rPr>
                      <w:rStyle w:val="33"/>
                      <w:rFonts w:hint="eastAsia"/>
                      <w:color w:val="auto"/>
                      <w:kern w:val="0"/>
                      <w:lang w:eastAsia="zh-CN"/>
                    </w:rPr>
                    <w:t>。</w:t>
                  </w:r>
                </w:p>
              </w:tc>
              <w:tc>
                <w:tcPr>
                  <w:tcW w:w="433" w:type="pct"/>
                  <w:tcBorders>
                    <w:tl2br w:val="nil"/>
                    <w:tr2bl w:val="nil"/>
                  </w:tcBorders>
                  <w:vAlign w:val="center"/>
                </w:tcPr>
                <w:p w14:paraId="0846A8C5">
                  <w:pPr>
                    <w:pStyle w:val="36"/>
                    <w:jc w:val="center"/>
                    <w:rPr>
                      <w:color w:val="auto"/>
                      <w:u w:val="single"/>
                    </w:rPr>
                  </w:pPr>
                  <w:r>
                    <w:rPr>
                      <w:color w:val="auto"/>
                      <w:u w:val="single"/>
                    </w:rPr>
                    <w:t>符合</w:t>
                  </w:r>
                </w:p>
              </w:tc>
            </w:tr>
            <w:tr w14:paraId="523F95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415CBDA6">
                  <w:pPr>
                    <w:pStyle w:val="36"/>
                    <w:jc w:val="center"/>
                    <w:rPr>
                      <w:color w:val="auto"/>
                      <w:u w:val="single"/>
                    </w:rPr>
                  </w:pPr>
                  <w:r>
                    <w:rPr>
                      <w:color w:val="auto"/>
                      <w:u w:val="single"/>
                    </w:rPr>
                    <w:t>第二十六条禁止在自然保护区内进行砍伐、放牧、狩猎、捕捞、采药、开垦、烧荒、开矿、采石、挖沙等活动；但是，法律、行政法规另有规定的除外。</w:t>
                  </w:r>
                </w:p>
              </w:tc>
              <w:tc>
                <w:tcPr>
                  <w:tcW w:w="1856" w:type="pct"/>
                  <w:tcBorders>
                    <w:tl2br w:val="nil"/>
                    <w:tr2bl w:val="nil"/>
                  </w:tcBorders>
                  <w:vAlign w:val="center"/>
                </w:tcPr>
                <w:p w14:paraId="1DE45E0D">
                  <w:pPr>
                    <w:pStyle w:val="36"/>
                    <w:jc w:val="center"/>
                    <w:rPr>
                      <w:color w:val="auto"/>
                      <w:u w:val="single"/>
                    </w:rPr>
                  </w:pPr>
                  <w:r>
                    <w:rPr>
                      <w:color w:val="auto"/>
                      <w:u w:val="single"/>
                    </w:rPr>
                    <w:t>本项目属于内陆养殖不涉及砍伐、放牧、狩猎、捕捞、采药、开垦、烧荒、开矿、采石、挖沙等活动</w:t>
                  </w:r>
                </w:p>
              </w:tc>
              <w:tc>
                <w:tcPr>
                  <w:tcW w:w="433" w:type="pct"/>
                  <w:tcBorders>
                    <w:tl2br w:val="nil"/>
                    <w:tr2bl w:val="nil"/>
                  </w:tcBorders>
                  <w:vAlign w:val="center"/>
                </w:tcPr>
                <w:p w14:paraId="5CF8DCE8">
                  <w:pPr>
                    <w:pStyle w:val="36"/>
                    <w:jc w:val="center"/>
                    <w:rPr>
                      <w:color w:val="auto"/>
                      <w:u w:val="single"/>
                    </w:rPr>
                  </w:pPr>
                  <w:r>
                    <w:rPr>
                      <w:color w:val="auto"/>
                      <w:u w:val="single"/>
                    </w:rPr>
                    <w:t>符合</w:t>
                  </w:r>
                </w:p>
              </w:tc>
            </w:tr>
            <w:tr w14:paraId="74679C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6C51C588">
                  <w:pPr>
                    <w:pStyle w:val="36"/>
                    <w:jc w:val="center"/>
                    <w:rPr>
                      <w:color w:val="auto"/>
                      <w:u w:val="single"/>
                    </w:rPr>
                  </w:pPr>
                  <w:r>
                    <w:rPr>
                      <w:color w:val="auto"/>
                      <w:u w:val="single"/>
                    </w:rPr>
                    <w:t>第二十八条：禁止在自然保护区的缓冲区开展旅游和生产经营活动。</w:t>
                  </w:r>
                </w:p>
              </w:tc>
              <w:tc>
                <w:tcPr>
                  <w:tcW w:w="1856" w:type="pct"/>
                  <w:tcBorders>
                    <w:tl2br w:val="nil"/>
                    <w:tr2bl w:val="nil"/>
                  </w:tcBorders>
                  <w:vAlign w:val="center"/>
                </w:tcPr>
                <w:p w14:paraId="1813EDD1">
                  <w:pPr>
                    <w:pStyle w:val="36"/>
                    <w:jc w:val="center"/>
                    <w:rPr>
                      <w:color w:val="auto"/>
                      <w:u w:val="single"/>
                    </w:rPr>
                  </w:pPr>
                  <w:r>
                    <w:rPr>
                      <w:color w:val="auto"/>
                      <w:u w:val="single"/>
                    </w:rPr>
                    <w:t>本项目位于湖南省岳阳市君山区钱粮湖镇银杯社区方台村5组属于东洞庭湖自然保护区实验区范围内</w:t>
                  </w:r>
                  <w:r>
                    <w:rPr>
                      <w:rFonts w:hint="eastAsia"/>
                      <w:color w:val="auto"/>
                      <w:u w:val="single"/>
                    </w:rPr>
                    <w:t>，不涉及</w:t>
                  </w:r>
                  <w:r>
                    <w:rPr>
                      <w:color w:val="auto"/>
                      <w:u w:val="single"/>
                    </w:rPr>
                    <w:t>自然保护区缓冲区</w:t>
                  </w:r>
                </w:p>
              </w:tc>
              <w:tc>
                <w:tcPr>
                  <w:tcW w:w="433" w:type="pct"/>
                  <w:tcBorders>
                    <w:tl2br w:val="nil"/>
                    <w:tr2bl w:val="nil"/>
                  </w:tcBorders>
                  <w:vAlign w:val="center"/>
                </w:tcPr>
                <w:p w14:paraId="4F9724B2">
                  <w:pPr>
                    <w:pStyle w:val="36"/>
                    <w:jc w:val="center"/>
                    <w:rPr>
                      <w:color w:val="auto"/>
                      <w:u w:val="single"/>
                    </w:rPr>
                  </w:pPr>
                  <w:r>
                    <w:rPr>
                      <w:color w:val="auto"/>
                      <w:u w:val="single"/>
                    </w:rPr>
                    <w:t>符合</w:t>
                  </w:r>
                </w:p>
              </w:tc>
            </w:tr>
            <w:tr w14:paraId="076D1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45E13590">
                  <w:pPr>
                    <w:pStyle w:val="36"/>
                    <w:jc w:val="center"/>
                    <w:rPr>
                      <w:color w:val="auto"/>
                      <w:u w:val="single"/>
                    </w:rPr>
                  </w:pPr>
                  <w:r>
                    <w:rPr>
                      <w:color w:val="auto"/>
                      <w:u w:val="single"/>
                    </w:rPr>
                    <w:t>第三十二条：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在自然保护区的外围地带建设的项目，不得损害自然保护区内的环境质量；已造成损害的，应当限期治理。</w:t>
                  </w:r>
                </w:p>
              </w:tc>
              <w:tc>
                <w:tcPr>
                  <w:tcW w:w="1856" w:type="pct"/>
                  <w:tcBorders>
                    <w:tl2br w:val="nil"/>
                    <w:tr2bl w:val="nil"/>
                  </w:tcBorders>
                  <w:vAlign w:val="center"/>
                </w:tcPr>
                <w:p w14:paraId="6BD09CB8">
                  <w:pPr>
                    <w:pStyle w:val="36"/>
                    <w:jc w:val="center"/>
                    <w:rPr>
                      <w:color w:val="auto"/>
                      <w:u w:val="single"/>
                    </w:rPr>
                  </w:pPr>
                  <w:r>
                    <w:rPr>
                      <w:color w:val="auto"/>
                      <w:u w:val="single"/>
                    </w:rPr>
                    <w:t>本项目位于湖南省岳阳市君山区钱粮湖镇银杯社区方台村5组属于东洞庭湖自然保护区实验区范围内，</w:t>
                  </w:r>
                  <w:r>
                    <w:rPr>
                      <w:rFonts w:hint="eastAsia"/>
                      <w:color w:val="auto"/>
                      <w:u w:val="single"/>
                      <w:lang w:val="en-US" w:eastAsia="zh-CN"/>
                    </w:rPr>
                    <w:t>根据</w:t>
                  </w:r>
                  <w:r>
                    <w:rPr>
                      <w:color w:val="auto"/>
                      <w:u w:val="single"/>
                    </w:rPr>
                    <w:t>东洞庭湖自然保护区</w:t>
                  </w:r>
                  <w:r>
                    <w:rPr>
                      <w:rFonts w:hint="eastAsia"/>
                      <w:color w:val="auto"/>
                      <w:u w:val="single"/>
                      <w:lang w:val="en-US" w:eastAsia="zh-CN"/>
                    </w:rPr>
                    <w:t>管理局出具的意见可知：</w:t>
                  </w:r>
                  <w:r>
                    <w:rPr>
                      <w:rFonts w:hint="eastAsia"/>
                      <w:color w:val="auto"/>
                      <w:u w:val="single"/>
                    </w:rPr>
                    <w:t>鉴于该项目的实施对于探索减少养殖废水排放、规范渔业养殖、促进君山区水产养殖高质量发展等方面具有重要意义，我局原则支持该项目</w:t>
                  </w:r>
                </w:p>
              </w:tc>
              <w:tc>
                <w:tcPr>
                  <w:tcW w:w="433" w:type="pct"/>
                  <w:tcBorders>
                    <w:tl2br w:val="nil"/>
                    <w:tr2bl w:val="nil"/>
                  </w:tcBorders>
                  <w:vAlign w:val="center"/>
                </w:tcPr>
                <w:p w14:paraId="3D191CA8">
                  <w:pPr>
                    <w:pStyle w:val="36"/>
                    <w:jc w:val="center"/>
                    <w:rPr>
                      <w:b/>
                      <w:bCs/>
                      <w:color w:val="auto"/>
                      <w:u w:val="single"/>
                    </w:rPr>
                  </w:pPr>
                  <w:r>
                    <w:rPr>
                      <w:color w:val="auto"/>
                      <w:u w:val="single"/>
                    </w:rPr>
                    <w:t>符合</w:t>
                  </w:r>
                </w:p>
              </w:tc>
            </w:tr>
          </w:tbl>
          <w:p w14:paraId="7FE70D7A">
            <w:pPr>
              <w:pStyle w:val="36"/>
              <w:numPr>
                <w:ilvl w:val="0"/>
                <w:numId w:val="4"/>
              </w:numPr>
              <w:spacing w:line="360" w:lineRule="auto"/>
              <w:ind w:firstLine="482" w:firstLineChars="200"/>
              <w:jc w:val="left"/>
              <w:rPr>
                <w:b/>
                <w:bCs/>
                <w:color w:val="auto"/>
                <w:sz w:val="24"/>
              </w:rPr>
            </w:pPr>
            <w:r>
              <w:rPr>
                <w:b/>
                <w:bCs/>
                <w:color w:val="auto"/>
                <w:sz w:val="24"/>
              </w:rPr>
              <w:t>项目与《岳阳市东洞庭湖国家级自然保护区条例》</w:t>
            </w:r>
            <w:r>
              <w:rPr>
                <w:rFonts w:hint="eastAsia"/>
                <w:b/>
                <w:bCs/>
                <w:color w:val="auto"/>
                <w:sz w:val="24"/>
              </w:rPr>
              <w:t>（2019年3月1日施行）</w:t>
            </w:r>
            <w:r>
              <w:rPr>
                <w:b/>
                <w:bCs/>
                <w:color w:val="auto"/>
                <w:sz w:val="24"/>
              </w:rPr>
              <w:t>的相符性分析</w:t>
            </w:r>
          </w:p>
          <w:p w14:paraId="5DFD09C3">
            <w:pPr>
              <w:autoSpaceDE w:val="0"/>
              <w:autoSpaceDN w:val="0"/>
              <w:adjustRightInd w:val="0"/>
              <w:snapToGrid w:val="0"/>
              <w:jc w:val="center"/>
              <w:rPr>
                <w:color w:val="auto"/>
              </w:rPr>
            </w:pPr>
            <w:r>
              <w:rPr>
                <w:b/>
                <w:bCs/>
                <w:color w:val="auto"/>
                <w:kern w:val="0"/>
                <w:szCs w:val="21"/>
              </w:rPr>
              <w:t>表1-</w:t>
            </w:r>
            <w:r>
              <w:rPr>
                <w:rFonts w:hint="eastAsia"/>
                <w:b/>
                <w:bCs/>
                <w:color w:val="auto"/>
                <w:kern w:val="0"/>
                <w:szCs w:val="21"/>
              </w:rPr>
              <w:t>3</w:t>
            </w:r>
            <w:r>
              <w:rPr>
                <w:b/>
                <w:bCs/>
                <w:color w:val="auto"/>
                <w:kern w:val="0"/>
                <w:szCs w:val="21"/>
              </w:rPr>
              <w:t xml:space="preserve">   与《岳阳市东洞庭湖国家级自然保护区条例》符合性一览表</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656"/>
              <w:gridCol w:w="2505"/>
              <w:gridCol w:w="587"/>
            </w:tblGrid>
            <w:tr w14:paraId="07A851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4F6C7533">
                  <w:pPr>
                    <w:pStyle w:val="36"/>
                    <w:jc w:val="center"/>
                    <w:rPr>
                      <w:b/>
                      <w:bCs/>
                      <w:color w:val="auto"/>
                    </w:rPr>
                  </w:pPr>
                  <w:r>
                    <w:rPr>
                      <w:b/>
                      <w:bCs/>
                      <w:color w:val="auto"/>
                    </w:rPr>
                    <w:t>《岳阳市东洞庭湖国家级自然保护区条例》要求</w:t>
                  </w:r>
                </w:p>
              </w:tc>
              <w:tc>
                <w:tcPr>
                  <w:tcW w:w="1856" w:type="pct"/>
                  <w:tcBorders>
                    <w:tl2br w:val="nil"/>
                    <w:tr2bl w:val="nil"/>
                  </w:tcBorders>
                  <w:vAlign w:val="center"/>
                </w:tcPr>
                <w:p w14:paraId="0ED90CEF">
                  <w:pPr>
                    <w:pStyle w:val="36"/>
                    <w:jc w:val="center"/>
                    <w:rPr>
                      <w:b/>
                      <w:bCs/>
                      <w:color w:val="auto"/>
                    </w:rPr>
                  </w:pPr>
                  <w:r>
                    <w:rPr>
                      <w:b/>
                      <w:bCs/>
                      <w:color w:val="auto"/>
                    </w:rPr>
                    <w:t>本项目情况</w:t>
                  </w:r>
                </w:p>
              </w:tc>
              <w:tc>
                <w:tcPr>
                  <w:tcW w:w="433" w:type="pct"/>
                  <w:tcBorders>
                    <w:tl2br w:val="nil"/>
                    <w:tr2bl w:val="nil"/>
                  </w:tcBorders>
                  <w:vAlign w:val="center"/>
                </w:tcPr>
                <w:p w14:paraId="37D1D36A">
                  <w:pPr>
                    <w:pStyle w:val="36"/>
                    <w:jc w:val="center"/>
                    <w:rPr>
                      <w:b/>
                      <w:bCs/>
                      <w:color w:val="auto"/>
                    </w:rPr>
                  </w:pPr>
                  <w:r>
                    <w:rPr>
                      <w:b/>
                      <w:bCs/>
                      <w:color w:val="auto"/>
                    </w:rPr>
                    <w:t>符合性</w:t>
                  </w:r>
                </w:p>
              </w:tc>
            </w:tr>
            <w:tr w14:paraId="28B3E2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000" w:type="pct"/>
                  <w:gridSpan w:val="3"/>
                  <w:tcBorders>
                    <w:tl2br w:val="nil"/>
                    <w:tr2bl w:val="nil"/>
                  </w:tcBorders>
                  <w:vAlign w:val="center"/>
                </w:tcPr>
                <w:p w14:paraId="5F5A5D23">
                  <w:pPr>
                    <w:pStyle w:val="36"/>
                    <w:jc w:val="center"/>
                    <w:rPr>
                      <w:color w:val="auto"/>
                    </w:rPr>
                  </w:pPr>
                  <w:r>
                    <w:rPr>
                      <w:color w:val="auto"/>
                    </w:rPr>
                    <w:t>第十八条</w:t>
                  </w:r>
                  <w:r>
                    <w:rPr>
                      <w:rFonts w:hint="eastAsia"/>
                      <w:color w:val="auto"/>
                    </w:rPr>
                    <w:t>：</w:t>
                  </w:r>
                  <w:r>
                    <w:rPr>
                      <w:color w:val="auto"/>
                    </w:rPr>
                    <w:t>保护区范围内禁止下列行为，但法律、法规另有规定的除外：</w:t>
                  </w:r>
                </w:p>
              </w:tc>
            </w:tr>
            <w:tr w14:paraId="3F5727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17FAB519">
                  <w:pPr>
                    <w:pStyle w:val="36"/>
                    <w:jc w:val="center"/>
                    <w:rPr>
                      <w:color w:val="auto"/>
                    </w:rPr>
                  </w:pPr>
                  <w:r>
                    <w:rPr>
                      <w:color w:val="auto"/>
                    </w:rPr>
                    <w:t>（一）从事砍伐、放牧、采药、开垦、烧荒、开矿、采石、挖沙等破坏保护区生态环境活动的；</w:t>
                  </w:r>
                </w:p>
              </w:tc>
              <w:tc>
                <w:tcPr>
                  <w:tcW w:w="1856" w:type="pct"/>
                  <w:tcBorders>
                    <w:tl2br w:val="nil"/>
                    <w:tr2bl w:val="nil"/>
                  </w:tcBorders>
                  <w:vAlign w:val="center"/>
                </w:tcPr>
                <w:p w14:paraId="08023463">
                  <w:pPr>
                    <w:pStyle w:val="36"/>
                    <w:jc w:val="center"/>
                    <w:rPr>
                      <w:color w:val="auto"/>
                    </w:rPr>
                  </w:pPr>
                  <w:r>
                    <w:rPr>
                      <w:color w:val="auto"/>
                    </w:rPr>
                    <w:t>本项目</w:t>
                  </w:r>
                  <w:r>
                    <w:rPr>
                      <w:rFonts w:hint="eastAsia"/>
                      <w:color w:val="auto"/>
                    </w:rPr>
                    <w:t>没有涉及</w:t>
                  </w:r>
                  <w:r>
                    <w:rPr>
                      <w:color w:val="auto"/>
                    </w:rPr>
                    <w:t>砍伐、放牧、采药、开垦、烧荒、开矿、采石、挖沙等活动</w:t>
                  </w:r>
                </w:p>
              </w:tc>
              <w:tc>
                <w:tcPr>
                  <w:tcW w:w="433" w:type="pct"/>
                  <w:tcBorders>
                    <w:tl2br w:val="nil"/>
                    <w:tr2bl w:val="nil"/>
                  </w:tcBorders>
                  <w:vAlign w:val="center"/>
                </w:tcPr>
                <w:p w14:paraId="57A06533">
                  <w:pPr>
                    <w:pStyle w:val="36"/>
                    <w:jc w:val="center"/>
                    <w:rPr>
                      <w:color w:val="auto"/>
                    </w:rPr>
                  </w:pPr>
                  <w:r>
                    <w:rPr>
                      <w:color w:val="auto"/>
                    </w:rPr>
                    <w:t>符合</w:t>
                  </w:r>
                </w:p>
              </w:tc>
            </w:tr>
            <w:tr w14:paraId="451D82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0DA467A0">
                  <w:pPr>
                    <w:pStyle w:val="36"/>
                    <w:jc w:val="center"/>
                    <w:rPr>
                      <w:color w:val="auto"/>
                    </w:rPr>
                  </w:pPr>
                  <w:r>
                    <w:rPr>
                      <w:color w:val="auto"/>
                    </w:rPr>
                    <w:t>（二）向保护区水体和洲滩违法排放污染物、倾倒废弃物的；</w:t>
                  </w:r>
                </w:p>
              </w:tc>
              <w:tc>
                <w:tcPr>
                  <w:tcW w:w="1856" w:type="pct"/>
                  <w:tcBorders>
                    <w:tl2br w:val="nil"/>
                    <w:tr2bl w:val="nil"/>
                  </w:tcBorders>
                  <w:vAlign w:val="center"/>
                </w:tcPr>
                <w:p w14:paraId="77283080">
                  <w:pPr>
                    <w:pStyle w:val="36"/>
                    <w:jc w:val="center"/>
                    <w:rPr>
                      <w:color w:val="auto"/>
                    </w:rPr>
                  </w:pPr>
                  <w:r>
                    <w:rPr>
                      <w:rFonts w:hint="eastAsia"/>
                      <w:color w:val="auto"/>
                    </w:rPr>
                    <w:t>本项目不向</w:t>
                  </w:r>
                  <w:r>
                    <w:rPr>
                      <w:color w:val="auto"/>
                    </w:rPr>
                    <w:t>保护区水体和洲滩违法排放污染物、倾倒废弃物</w:t>
                  </w:r>
                </w:p>
              </w:tc>
              <w:tc>
                <w:tcPr>
                  <w:tcW w:w="433" w:type="pct"/>
                  <w:tcBorders>
                    <w:tl2br w:val="nil"/>
                    <w:tr2bl w:val="nil"/>
                  </w:tcBorders>
                  <w:vAlign w:val="center"/>
                </w:tcPr>
                <w:p w14:paraId="5BD9945C">
                  <w:pPr>
                    <w:pStyle w:val="36"/>
                    <w:jc w:val="center"/>
                    <w:rPr>
                      <w:color w:val="auto"/>
                    </w:rPr>
                  </w:pPr>
                  <w:r>
                    <w:rPr>
                      <w:color w:val="auto"/>
                    </w:rPr>
                    <w:t>符合</w:t>
                  </w:r>
                </w:p>
              </w:tc>
            </w:tr>
            <w:tr w14:paraId="4838D7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1836D72A">
                  <w:pPr>
                    <w:pStyle w:val="36"/>
                    <w:jc w:val="center"/>
                    <w:rPr>
                      <w:color w:val="auto"/>
                    </w:rPr>
                  </w:pPr>
                  <w:r>
                    <w:rPr>
                      <w:color w:val="auto"/>
                    </w:rPr>
                    <w:t>（三）经营水上餐饮以及在湿地洲滩越野、野营、野炊等破坏保护区生态环境的；</w:t>
                  </w:r>
                </w:p>
              </w:tc>
              <w:tc>
                <w:tcPr>
                  <w:tcW w:w="1856" w:type="pct"/>
                  <w:tcBorders>
                    <w:tl2br w:val="nil"/>
                    <w:tr2bl w:val="nil"/>
                  </w:tcBorders>
                  <w:vAlign w:val="center"/>
                </w:tcPr>
                <w:p w14:paraId="0AE92307">
                  <w:pPr>
                    <w:pStyle w:val="36"/>
                    <w:jc w:val="center"/>
                    <w:rPr>
                      <w:color w:val="auto"/>
                    </w:rPr>
                  </w:pPr>
                  <w:r>
                    <w:rPr>
                      <w:color w:val="auto"/>
                    </w:rPr>
                    <w:t>本项目</w:t>
                  </w:r>
                  <w:r>
                    <w:rPr>
                      <w:rFonts w:hint="eastAsia"/>
                      <w:color w:val="auto"/>
                    </w:rPr>
                    <w:t>为养殖项目，不涉及</w:t>
                  </w:r>
                  <w:r>
                    <w:rPr>
                      <w:color w:val="auto"/>
                    </w:rPr>
                    <w:t>水上餐饮以及在湿地洲滩越野、野营、野炊等</w:t>
                  </w:r>
                  <w:r>
                    <w:rPr>
                      <w:rFonts w:hint="eastAsia"/>
                      <w:color w:val="auto"/>
                    </w:rPr>
                    <w:t>活动</w:t>
                  </w:r>
                </w:p>
              </w:tc>
              <w:tc>
                <w:tcPr>
                  <w:tcW w:w="433" w:type="pct"/>
                  <w:tcBorders>
                    <w:tl2br w:val="nil"/>
                    <w:tr2bl w:val="nil"/>
                  </w:tcBorders>
                  <w:vAlign w:val="center"/>
                </w:tcPr>
                <w:p w14:paraId="2CF182EF">
                  <w:pPr>
                    <w:pStyle w:val="36"/>
                    <w:jc w:val="center"/>
                    <w:rPr>
                      <w:color w:val="auto"/>
                    </w:rPr>
                  </w:pPr>
                  <w:r>
                    <w:rPr>
                      <w:color w:val="auto"/>
                    </w:rPr>
                    <w:t>符合</w:t>
                  </w:r>
                </w:p>
              </w:tc>
            </w:tr>
            <w:tr w14:paraId="6E385E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47C0756A">
                  <w:pPr>
                    <w:pStyle w:val="36"/>
                    <w:jc w:val="center"/>
                    <w:rPr>
                      <w:color w:val="auto"/>
                    </w:rPr>
                  </w:pPr>
                  <w:r>
                    <w:rPr>
                      <w:color w:val="auto"/>
                    </w:rPr>
                    <w:t>（四）以损害受保护野生植物物种再生能力或者受保护野生动物的主要生息繁衍场所的方式进行植物采集的；</w:t>
                  </w:r>
                </w:p>
              </w:tc>
              <w:tc>
                <w:tcPr>
                  <w:tcW w:w="1856" w:type="pct"/>
                  <w:tcBorders>
                    <w:tl2br w:val="nil"/>
                    <w:tr2bl w:val="nil"/>
                  </w:tcBorders>
                  <w:vAlign w:val="center"/>
                </w:tcPr>
                <w:p w14:paraId="3D6546F0">
                  <w:pPr>
                    <w:pStyle w:val="36"/>
                    <w:jc w:val="center"/>
                    <w:rPr>
                      <w:color w:val="auto"/>
                    </w:rPr>
                  </w:pPr>
                  <w:r>
                    <w:rPr>
                      <w:color w:val="auto"/>
                    </w:rPr>
                    <w:t>本项目</w:t>
                  </w:r>
                  <w:r>
                    <w:rPr>
                      <w:rFonts w:hint="eastAsia"/>
                      <w:color w:val="auto"/>
                    </w:rPr>
                    <w:t>为养殖项目，没有</w:t>
                  </w:r>
                  <w:r>
                    <w:rPr>
                      <w:color w:val="auto"/>
                    </w:rPr>
                    <w:t>损害受保护野生植物物种再生能力</w:t>
                  </w:r>
                  <w:r>
                    <w:rPr>
                      <w:rFonts w:hint="eastAsia"/>
                      <w:color w:val="auto"/>
                    </w:rPr>
                    <w:t>，不涉及</w:t>
                  </w:r>
                  <w:r>
                    <w:rPr>
                      <w:color w:val="auto"/>
                    </w:rPr>
                    <w:t>植物采集</w:t>
                  </w:r>
                </w:p>
              </w:tc>
              <w:tc>
                <w:tcPr>
                  <w:tcW w:w="433" w:type="pct"/>
                  <w:tcBorders>
                    <w:tl2br w:val="nil"/>
                    <w:tr2bl w:val="nil"/>
                  </w:tcBorders>
                  <w:vAlign w:val="center"/>
                </w:tcPr>
                <w:p w14:paraId="715F4073">
                  <w:pPr>
                    <w:pStyle w:val="36"/>
                    <w:jc w:val="center"/>
                    <w:rPr>
                      <w:b/>
                      <w:bCs/>
                      <w:color w:val="auto"/>
                    </w:rPr>
                  </w:pPr>
                  <w:r>
                    <w:rPr>
                      <w:color w:val="auto"/>
                    </w:rPr>
                    <w:t>符合</w:t>
                  </w:r>
                </w:p>
              </w:tc>
            </w:tr>
            <w:tr w14:paraId="33BE23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0398105F">
                  <w:pPr>
                    <w:pStyle w:val="36"/>
                    <w:jc w:val="center"/>
                    <w:rPr>
                      <w:color w:val="auto"/>
                    </w:rPr>
                  </w:pPr>
                  <w:r>
                    <w:rPr>
                      <w:color w:val="auto"/>
                    </w:rPr>
                    <w:t>(五)以毒杀、电击、枪杀、捕鸟粘网、滚钩、迷魂阵等方式非法狩猎或者捕捞野生动物的；</w:t>
                  </w:r>
                </w:p>
              </w:tc>
              <w:tc>
                <w:tcPr>
                  <w:tcW w:w="1856" w:type="pct"/>
                  <w:tcBorders>
                    <w:tl2br w:val="nil"/>
                    <w:tr2bl w:val="nil"/>
                  </w:tcBorders>
                  <w:vAlign w:val="center"/>
                </w:tcPr>
                <w:p w14:paraId="7BB8C288">
                  <w:pPr>
                    <w:pStyle w:val="36"/>
                    <w:jc w:val="center"/>
                    <w:rPr>
                      <w:color w:val="auto"/>
                    </w:rPr>
                  </w:pPr>
                  <w:r>
                    <w:rPr>
                      <w:color w:val="auto"/>
                    </w:rPr>
                    <w:t>本项目</w:t>
                  </w:r>
                  <w:r>
                    <w:rPr>
                      <w:rFonts w:hint="eastAsia"/>
                      <w:color w:val="auto"/>
                    </w:rPr>
                    <w:t>为养殖项目，本项目不涉及</w:t>
                  </w:r>
                  <w:r>
                    <w:rPr>
                      <w:color w:val="auto"/>
                    </w:rPr>
                    <w:t>毒杀、电击、枪杀、捕鸟粘网、滚钩、迷魂阵等方式非法狩猎或者捕捞野生动物的</w:t>
                  </w:r>
                  <w:r>
                    <w:rPr>
                      <w:rFonts w:hint="eastAsia"/>
                      <w:color w:val="auto"/>
                    </w:rPr>
                    <w:t>行为</w:t>
                  </w:r>
                </w:p>
              </w:tc>
              <w:tc>
                <w:tcPr>
                  <w:tcW w:w="433" w:type="pct"/>
                  <w:tcBorders>
                    <w:tl2br w:val="nil"/>
                    <w:tr2bl w:val="nil"/>
                  </w:tcBorders>
                  <w:vAlign w:val="center"/>
                </w:tcPr>
                <w:p w14:paraId="7A0BDA2F">
                  <w:pPr>
                    <w:pStyle w:val="36"/>
                    <w:jc w:val="center"/>
                    <w:rPr>
                      <w:color w:val="auto"/>
                    </w:rPr>
                  </w:pPr>
                  <w:r>
                    <w:rPr>
                      <w:color w:val="auto"/>
                    </w:rPr>
                    <w:t>符合</w:t>
                  </w:r>
                </w:p>
              </w:tc>
            </w:tr>
            <w:tr w14:paraId="135A2D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20704A83">
                  <w:pPr>
                    <w:pStyle w:val="36"/>
                    <w:jc w:val="center"/>
                    <w:rPr>
                      <w:color w:val="auto"/>
                    </w:rPr>
                  </w:pPr>
                  <w:r>
                    <w:rPr>
                      <w:color w:val="auto"/>
                    </w:rPr>
                    <w:t>（六）候鸟越冬、越夏期，在候鸟主要栖息地捕鱼，捡拾鸟蛋、雏鸟，捣毁鸟巢，以鸣笛、轰赶方式惊吓鸟类等危及鸟类生存、繁衍的；</w:t>
                  </w:r>
                </w:p>
              </w:tc>
              <w:tc>
                <w:tcPr>
                  <w:tcW w:w="1856" w:type="pct"/>
                  <w:tcBorders>
                    <w:tl2br w:val="nil"/>
                    <w:tr2bl w:val="nil"/>
                  </w:tcBorders>
                  <w:vAlign w:val="center"/>
                </w:tcPr>
                <w:p w14:paraId="0EE751AB">
                  <w:pPr>
                    <w:pStyle w:val="36"/>
                    <w:jc w:val="center"/>
                    <w:rPr>
                      <w:color w:val="auto"/>
                    </w:rPr>
                  </w:pPr>
                  <w:r>
                    <w:rPr>
                      <w:color w:val="auto"/>
                    </w:rPr>
                    <w:t>本项目</w:t>
                  </w:r>
                  <w:r>
                    <w:rPr>
                      <w:rFonts w:hint="eastAsia"/>
                      <w:color w:val="auto"/>
                    </w:rPr>
                    <w:t>为养殖项目，本项目不涉及</w:t>
                  </w:r>
                  <w:r>
                    <w:rPr>
                      <w:color w:val="auto"/>
                    </w:rPr>
                    <w:t>捕鱼，捡拾鸟蛋、雏鸟，捣毁鸟巢，以鸣笛、轰赶方式惊吓鸟类等危及鸟类生存、繁衍的</w:t>
                  </w:r>
                  <w:r>
                    <w:rPr>
                      <w:rFonts w:hint="eastAsia"/>
                      <w:color w:val="auto"/>
                    </w:rPr>
                    <w:t>行为</w:t>
                  </w:r>
                </w:p>
              </w:tc>
              <w:tc>
                <w:tcPr>
                  <w:tcW w:w="433" w:type="pct"/>
                  <w:tcBorders>
                    <w:tl2br w:val="nil"/>
                    <w:tr2bl w:val="nil"/>
                  </w:tcBorders>
                  <w:vAlign w:val="center"/>
                </w:tcPr>
                <w:p w14:paraId="5B34CAF0">
                  <w:pPr>
                    <w:pStyle w:val="36"/>
                    <w:jc w:val="center"/>
                    <w:rPr>
                      <w:color w:val="auto"/>
                    </w:rPr>
                  </w:pPr>
                  <w:r>
                    <w:rPr>
                      <w:color w:val="auto"/>
                    </w:rPr>
                    <w:t>符合</w:t>
                  </w:r>
                </w:p>
              </w:tc>
            </w:tr>
            <w:tr w14:paraId="52C0AF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058CCEEB">
                  <w:pPr>
                    <w:pStyle w:val="36"/>
                    <w:jc w:val="center"/>
                    <w:rPr>
                      <w:color w:val="auto"/>
                    </w:rPr>
                  </w:pPr>
                  <w:r>
                    <w:rPr>
                      <w:color w:val="auto"/>
                    </w:rPr>
                    <w:t>（七）破坏鱼类等水生生物洄游通道以及受保护野生动物的主要生息繁衍场所的；</w:t>
                  </w:r>
                </w:p>
              </w:tc>
              <w:tc>
                <w:tcPr>
                  <w:tcW w:w="1856" w:type="pct"/>
                  <w:tcBorders>
                    <w:tl2br w:val="nil"/>
                    <w:tr2bl w:val="nil"/>
                  </w:tcBorders>
                  <w:vAlign w:val="center"/>
                </w:tcPr>
                <w:p w14:paraId="05EAC293">
                  <w:pPr>
                    <w:pStyle w:val="36"/>
                    <w:jc w:val="center"/>
                    <w:rPr>
                      <w:color w:val="auto"/>
                    </w:rPr>
                  </w:pPr>
                  <w:r>
                    <w:rPr>
                      <w:rFonts w:hint="eastAsia"/>
                      <w:color w:val="auto"/>
                    </w:rPr>
                    <w:t>本项目为养殖项目，不会</w:t>
                  </w:r>
                  <w:r>
                    <w:rPr>
                      <w:color w:val="auto"/>
                    </w:rPr>
                    <w:t>破坏鱼类等水生生物洄游通道以及受保护野生动物的主要生息繁衍场所</w:t>
                  </w:r>
                  <w:r>
                    <w:rPr>
                      <w:rFonts w:hint="eastAsia"/>
                      <w:color w:val="auto"/>
                    </w:rPr>
                    <w:t>的行为</w:t>
                  </w:r>
                </w:p>
              </w:tc>
              <w:tc>
                <w:tcPr>
                  <w:tcW w:w="433" w:type="pct"/>
                  <w:tcBorders>
                    <w:tl2br w:val="nil"/>
                    <w:tr2bl w:val="nil"/>
                  </w:tcBorders>
                  <w:vAlign w:val="center"/>
                </w:tcPr>
                <w:p w14:paraId="1A373388">
                  <w:pPr>
                    <w:jc w:val="center"/>
                    <w:rPr>
                      <w:color w:val="auto"/>
                    </w:rPr>
                  </w:pPr>
                  <w:r>
                    <w:rPr>
                      <w:color w:val="auto"/>
                    </w:rPr>
                    <w:t>符合</w:t>
                  </w:r>
                </w:p>
              </w:tc>
            </w:tr>
            <w:tr w14:paraId="280A70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2709" w:type="pct"/>
                  <w:tcBorders>
                    <w:tl2br w:val="nil"/>
                    <w:tr2bl w:val="nil"/>
                  </w:tcBorders>
                  <w:vAlign w:val="center"/>
                </w:tcPr>
                <w:p w14:paraId="4522BC81">
                  <w:pPr>
                    <w:pStyle w:val="36"/>
                    <w:jc w:val="center"/>
                    <w:rPr>
                      <w:color w:val="auto"/>
                    </w:rPr>
                  </w:pPr>
                  <w:r>
                    <w:rPr>
                      <w:color w:val="auto"/>
                    </w:rPr>
                    <w:t>（八）采集、出售、收购、运输、利用国家或者本省重点保护野生动植物及其制品的；</w:t>
                  </w:r>
                </w:p>
              </w:tc>
              <w:tc>
                <w:tcPr>
                  <w:tcW w:w="1856" w:type="pct"/>
                  <w:tcBorders>
                    <w:tl2br w:val="nil"/>
                    <w:tr2bl w:val="nil"/>
                  </w:tcBorders>
                  <w:vAlign w:val="center"/>
                </w:tcPr>
                <w:p w14:paraId="60A66858">
                  <w:pPr>
                    <w:pStyle w:val="36"/>
                    <w:jc w:val="center"/>
                    <w:rPr>
                      <w:color w:val="auto"/>
                    </w:rPr>
                  </w:pPr>
                  <w:r>
                    <w:rPr>
                      <w:rFonts w:hint="eastAsia"/>
                      <w:color w:val="auto"/>
                    </w:rPr>
                    <w:t>本项目为养殖项目，不涉及</w:t>
                  </w:r>
                  <w:r>
                    <w:rPr>
                      <w:color w:val="auto"/>
                    </w:rPr>
                    <w:t>采集、出售、收购、运输、利用国家或者本省重点保护野生动植物及其制品的</w:t>
                  </w:r>
                  <w:r>
                    <w:rPr>
                      <w:rFonts w:hint="eastAsia"/>
                      <w:color w:val="auto"/>
                    </w:rPr>
                    <w:t>的行为</w:t>
                  </w:r>
                </w:p>
              </w:tc>
              <w:tc>
                <w:tcPr>
                  <w:tcW w:w="433" w:type="pct"/>
                  <w:tcBorders>
                    <w:tl2br w:val="nil"/>
                    <w:tr2bl w:val="nil"/>
                  </w:tcBorders>
                  <w:vAlign w:val="center"/>
                </w:tcPr>
                <w:p w14:paraId="6AFDDCBF">
                  <w:pPr>
                    <w:jc w:val="center"/>
                    <w:rPr>
                      <w:color w:val="auto"/>
                    </w:rPr>
                  </w:pPr>
                  <w:r>
                    <w:rPr>
                      <w:color w:val="auto"/>
                    </w:rPr>
                    <w:t>符合</w:t>
                  </w:r>
                </w:p>
              </w:tc>
            </w:tr>
          </w:tbl>
          <w:p w14:paraId="339D7F70">
            <w:pPr>
              <w:adjustRightInd w:val="0"/>
              <w:snapToGrid w:val="0"/>
              <w:spacing w:line="360" w:lineRule="auto"/>
              <w:ind w:firstLine="482" w:firstLineChars="200"/>
              <w:rPr>
                <w:b/>
                <w:bCs/>
                <w:color w:val="auto"/>
                <w:sz w:val="24"/>
                <w:u w:val="single"/>
              </w:rPr>
            </w:pPr>
            <w:r>
              <w:rPr>
                <w:rFonts w:hint="eastAsia"/>
                <w:b/>
                <w:bCs/>
                <w:color w:val="auto"/>
                <w:sz w:val="24"/>
                <w:u w:val="single"/>
              </w:rPr>
              <w:t>6</w:t>
            </w:r>
            <w:r>
              <w:rPr>
                <w:b/>
                <w:bCs/>
                <w:color w:val="auto"/>
                <w:sz w:val="24"/>
                <w:u w:val="single"/>
              </w:rPr>
              <w:t>、项目与《湖南省自然资源厅 湖南省生态环境厅 湖南省林业局关于加强全省生态保护红线管理的通知（试行）》(湘自资规〔2024〕1号)符合性分析</w:t>
            </w:r>
          </w:p>
          <w:p w14:paraId="3C2ECA3F">
            <w:pPr>
              <w:autoSpaceDE w:val="0"/>
              <w:autoSpaceDN w:val="0"/>
              <w:adjustRightInd w:val="0"/>
              <w:snapToGrid w:val="0"/>
              <w:jc w:val="center"/>
              <w:rPr>
                <w:b/>
                <w:bCs/>
                <w:color w:val="auto"/>
                <w:kern w:val="0"/>
                <w:szCs w:val="21"/>
              </w:rPr>
            </w:pPr>
            <w:r>
              <w:rPr>
                <w:b/>
                <w:bCs/>
                <w:color w:val="auto"/>
                <w:kern w:val="0"/>
                <w:szCs w:val="21"/>
              </w:rPr>
              <w:t>表1-</w:t>
            </w:r>
            <w:r>
              <w:rPr>
                <w:rFonts w:hint="eastAsia"/>
                <w:b/>
                <w:bCs/>
                <w:color w:val="auto"/>
                <w:kern w:val="0"/>
                <w:szCs w:val="21"/>
              </w:rPr>
              <w:t>4</w:t>
            </w:r>
            <w:r>
              <w:rPr>
                <w:b/>
                <w:bCs/>
                <w:color w:val="auto"/>
                <w:kern w:val="0"/>
                <w:szCs w:val="21"/>
              </w:rPr>
              <w:t xml:space="preserve">   与《湖南省自然资源厅 湖南省生态环境厅 湖南省林业局关于加强全省生态保护红线管理的通知（试行）》(湘自资规〔2024〕1号)</w:t>
            </w:r>
          </w:p>
          <w:p w14:paraId="6A11B591">
            <w:pPr>
              <w:autoSpaceDE w:val="0"/>
              <w:autoSpaceDN w:val="0"/>
              <w:adjustRightInd w:val="0"/>
              <w:snapToGrid w:val="0"/>
              <w:jc w:val="center"/>
              <w:rPr>
                <w:color w:val="auto"/>
              </w:rPr>
            </w:pPr>
            <w:r>
              <w:rPr>
                <w:b/>
                <w:bCs/>
                <w:color w:val="auto"/>
                <w:kern w:val="0"/>
                <w:szCs w:val="21"/>
              </w:rPr>
              <w:t>符合性一览表</w:t>
            </w:r>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597"/>
              <w:gridCol w:w="2471"/>
              <w:gridCol w:w="682"/>
            </w:tblGrid>
            <w:tr w14:paraId="47A46E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664" w:type="pct"/>
                  <w:tcBorders>
                    <w:tl2br w:val="nil"/>
                    <w:tr2bl w:val="nil"/>
                  </w:tcBorders>
                  <w:vAlign w:val="center"/>
                </w:tcPr>
                <w:p w14:paraId="446F5DFB">
                  <w:pPr>
                    <w:pStyle w:val="36"/>
                    <w:jc w:val="center"/>
                    <w:rPr>
                      <w:b/>
                      <w:bCs/>
                      <w:color w:val="auto"/>
                      <w:u w:val="single"/>
                    </w:rPr>
                  </w:pPr>
                  <w:r>
                    <w:rPr>
                      <w:b/>
                      <w:bCs/>
                      <w:color w:val="auto"/>
                      <w:u w:val="single"/>
                    </w:rPr>
                    <w:t>(湘自资规〔2024〕1号)要求</w:t>
                  </w:r>
                </w:p>
              </w:tc>
              <w:tc>
                <w:tcPr>
                  <w:tcW w:w="1830" w:type="pct"/>
                  <w:tcBorders>
                    <w:tl2br w:val="nil"/>
                    <w:tr2bl w:val="nil"/>
                  </w:tcBorders>
                  <w:vAlign w:val="center"/>
                </w:tcPr>
                <w:p w14:paraId="7F754C02">
                  <w:pPr>
                    <w:pStyle w:val="36"/>
                    <w:jc w:val="center"/>
                    <w:rPr>
                      <w:b/>
                      <w:bCs/>
                      <w:color w:val="auto"/>
                      <w:u w:val="single"/>
                    </w:rPr>
                  </w:pPr>
                  <w:r>
                    <w:rPr>
                      <w:b/>
                      <w:bCs/>
                      <w:color w:val="auto"/>
                      <w:u w:val="single"/>
                    </w:rPr>
                    <w:t>本项目情况</w:t>
                  </w:r>
                </w:p>
              </w:tc>
              <w:tc>
                <w:tcPr>
                  <w:tcW w:w="505" w:type="pct"/>
                  <w:tcBorders>
                    <w:tl2br w:val="nil"/>
                    <w:tr2bl w:val="nil"/>
                  </w:tcBorders>
                  <w:vAlign w:val="center"/>
                </w:tcPr>
                <w:p w14:paraId="51F1E329">
                  <w:pPr>
                    <w:pStyle w:val="36"/>
                    <w:jc w:val="center"/>
                    <w:rPr>
                      <w:b/>
                      <w:bCs/>
                      <w:color w:val="auto"/>
                      <w:u w:val="single"/>
                    </w:rPr>
                  </w:pPr>
                  <w:r>
                    <w:rPr>
                      <w:b/>
                      <w:bCs/>
                      <w:color w:val="auto"/>
                      <w:u w:val="single"/>
                    </w:rPr>
                    <w:t>符合性</w:t>
                  </w:r>
                </w:p>
              </w:tc>
            </w:tr>
            <w:tr w14:paraId="67A2F0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664" w:type="pct"/>
                  <w:tcBorders>
                    <w:tl2br w:val="nil"/>
                    <w:tr2bl w:val="nil"/>
                  </w:tcBorders>
                  <w:vAlign w:val="center"/>
                </w:tcPr>
                <w:p w14:paraId="0A260BE8">
                  <w:pPr>
                    <w:pStyle w:val="36"/>
                    <w:jc w:val="center"/>
                    <w:rPr>
                      <w:color w:val="auto"/>
                      <w:u w:val="single"/>
                    </w:rPr>
                  </w:pPr>
                  <w:r>
                    <w:rPr>
                      <w:color w:val="auto"/>
                      <w:u w:val="single"/>
                    </w:rPr>
                    <w:t>生态保护红线内，自然保护地核心保护区原则上禁止人为活动，其他区域禁止开发性、生产性建设活动，在符合法律法规的前提下，仅允许对生态功能不造成破坏的有限人为活动。允许有限人为活动准入目录见附件1。上述活动涉及自然保护地的，应征求林业主管部门或自然保护地管理机构意见。生态保护红线内自然保护区、风景名胜区、饮用水水源保护区等区域，依照法律法规执行。生态保护红线内纳入《建设项目环境影响评价分类管理名录》的项目，应当依法开展环境影响评价。</w:t>
                  </w:r>
                </w:p>
              </w:tc>
              <w:tc>
                <w:tcPr>
                  <w:tcW w:w="1830" w:type="pct"/>
                  <w:tcBorders>
                    <w:tl2br w:val="nil"/>
                    <w:tr2bl w:val="nil"/>
                  </w:tcBorders>
                  <w:vAlign w:val="center"/>
                </w:tcPr>
                <w:p w14:paraId="70A36C6A">
                  <w:pPr>
                    <w:pStyle w:val="36"/>
                    <w:jc w:val="center"/>
                    <w:rPr>
                      <w:color w:val="auto"/>
                      <w:u w:val="single"/>
                    </w:rPr>
                  </w:pPr>
                  <w:r>
                    <w:rPr>
                      <w:rFonts w:hint="eastAsia"/>
                      <w:color w:val="auto"/>
                      <w:u w:val="single"/>
                    </w:rPr>
                    <w:t>本项目位于东洞庭湖自然保护区实验区范围内，不在核心保护区范围内；本项目在不扩大现有建设用地、水产养殖规模的前提下，利用现有鱼塘开展建设，符合通知中附件1的准入目录要求；本项目选址已取得农业农村部门及东洞庭湖管理部门的同意。</w:t>
                  </w:r>
                </w:p>
              </w:tc>
              <w:tc>
                <w:tcPr>
                  <w:tcW w:w="505" w:type="pct"/>
                  <w:tcBorders>
                    <w:tl2br w:val="nil"/>
                    <w:tr2bl w:val="nil"/>
                  </w:tcBorders>
                  <w:vAlign w:val="center"/>
                </w:tcPr>
                <w:p w14:paraId="488313FF">
                  <w:pPr>
                    <w:pStyle w:val="36"/>
                    <w:jc w:val="center"/>
                    <w:rPr>
                      <w:color w:val="auto"/>
                      <w:u w:val="single"/>
                    </w:rPr>
                  </w:pPr>
                  <w:r>
                    <w:rPr>
                      <w:color w:val="auto"/>
                      <w:u w:val="single"/>
                    </w:rPr>
                    <w:t>符合</w:t>
                  </w:r>
                </w:p>
              </w:tc>
            </w:tr>
            <w:tr w14:paraId="6DE48B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664" w:type="pct"/>
                  <w:tcBorders>
                    <w:tl2br w:val="nil"/>
                    <w:tr2bl w:val="nil"/>
                  </w:tcBorders>
                  <w:vAlign w:val="center"/>
                </w:tcPr>
                <w:p w14:paraId="70E8E168">
                  <w:pPr>
                    <w:pStyle w:val="36"/>
                    <w:jc w:val="center"/>
                    <w:rPr>
                      <w:color w:val="auto"/>
                      <w:u w:val="single"/>
                    </w:rPr>
                  </w:pPr>
                  <w:r>
                    <w:rPr>
                      <w:color w:val="auto"/>
                      <w:u w:val="single"/>
                    </w:rPr>
                    <w:t>生态保护红线内允许有限人为活动之外，确需占用生态保护红线的国家重大项目（附件4），按规定由自然资源部进行用地预审后，报国务院批准农用地转用。国家重大项目占用生态保护红线不可避让论证纳入规划选址综合论证，在农用地转用、土地征收报批时，附省人民政府出具的不可避让论证意见，说明占用生态保护红线的必要性、节约集约和减缓生态环境影响措施。</w:t>
                  </w:r>
                </w:p>
              </w:tc>
              <w:tc>
                <w:tcPr>
                  <w:tcW w:w="1830" w:type="pct"/>
                  <w:tcBorders>
                    <w:tl2br w:val="nil"/>
                    <w:tr2bl w:val="nil"/>
                  </w:tcBorders>
                  <w:vAlign w:val="center"/>
                </w:tcPr>
                <w:p w14:paraId="311C3829">
                  <w:pPr>
                    <w:pStyle w:val="36"/>
                    <w:jc w:val="center"/>
                    <w:rPr>
                      <w:color w:val="auto"/>
                      <w:u w:val="single"/>
                    </w:rPr>
                  </w:pPr>
                  <w:r>
                    <w:rPr>
                      <w:rFonts w:hint="eastAsia"/>
                      <w:color w:val="auto"/>
                      <w:u w:val="single"/>
                    </w:rPr>
                    <w:t>本项目不属于国家重大项目范围</w:t>
                  </w:r>
                </w:p>
              </w:tc>
              <w:tc>
                <w:tcPr>
                  <w:tcW w:w="505" w:type="pct"/>
                  <w:tcBorders>
                    <w:tl2br w:val="nil"/>
                    <w:tr2bl w:val="nil"/>
                  </w:tcBorders>
                  <w:vAlign w:val="center"/>
                </w:tcPr>
                <w:p w14:paraId="22A34D98">
                  <w:pPr>
                    <w:pStyle w:val="36"/>
                    <w:jc w:val="center"/>
                    <w:rPr>
                      <w:color w:val="auto"/>
                      <w:u w:val="single"/>
                    </w:rPr>
                  </w:pPr>
                  <w:r>
                    <w:rPr>
                      <w:color w:val="auto"/>
                      <w:u w:val="single"/>
                    </w:rPr>
                    <w:t>符合</w:t>
                  </w:r>
                </w:p>
              </w:tc>
            </w:tr>
            <w:tr w14:paraId="7F9AB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664" w:type="pct"/>
                  <w:tcBorders>
                    <w:tl2br w:val="nil"/>
                    <w:tr2bl w:val="nil"/>
                  </w:tcBorders>
                  <w:vAlign w:val="center"/>
                </w:tcPr>
                <w:p w14:paraId="73D1FBD2">
                  <w:pPr>
                    <w:pStyle w:val="36"/>
                    <w:jc w:val="center"/>
                    <w:rPr>
                      <w:color w:val="auto"/>
                      <w:u w:val="single"/>
                    </w:rPr>
                  </w:pPr>
                  <w:r>
                    <w:rPr>
                      <w:color w:val="auto"/>
                      <w:u w:val="single"/>
                    </w:rPr>
                    <w:t>生态保护红线内申请办理临时用地的，主体项目应已取得符合生态保护红线内允许有限人为活动的认定意见或不可避让论证意见。生态保护红线内允许的有限人为活动和国家重大项目所必需的临时用地，应尽量避让生态保护红线；确实无法避让的，由市州自然资源主管部门，按照自然资源部关于规范临时用地管理的使用范围、选址、使用期限等有关要求，参照临时占用永久基本农田规定办理，严格落实恢复责任。涉及国家级自然保护地的，应征求省级林业主管部门意见。涉及占用耕地、林地、草地、湿地等地类的，应依法办理相关审批（审核）手续。</w:t>
                  </w:r>
                </w:p>
              </w:tc>
              <w:tc>
                <w:tcPr>
                  <w:tcW w:w="1830" w:type="pct"/>
                  <w:tcBorders>
                    <w:tl2br w:val="nil"/>
                    <w:tr2bl w:val="nil"/>
                  </w:tcBorders>
                  <w:vAlign w:val="center"/>
                </w:tcPr>
                <w:p w14:paraId="59B6949C">
                  <w:pPr>
                    <w:pStyle w:val="36"/>
                    <w:jc w:val="center"/>
                    <w:rPr>
                      <w:rFonts w:hint="eastAsia" w:eastAsia="宋体"/>
                      <w:color w:val="auto"/>
                      <w:u w:val="single"/>
                      <w:lang w:val="en-US" w:eastAsia="zh-CN"/>
                    </w:rPr>
                  </w:pPr>
                  <w:r>
                    <w:rPr>
                      <w:rFonts w:hint="eastAsia"/>
                      <w:color w:val="auto"/>
                      <w:u w:val="single"/>
                      <w:lang w:val="en-US" w:eastAsia="zh-CN"/>
                    </w:rPr>
                    <w:t>本项目位于</w:t>
                  </w:r>
                  <w:r>
                    <w:rPr>
                      <w:color w:val="auto"/>
                      <w:u w:val="single"/>
                    </w:rPr>
                    <w:t>生态保护红线内</w:t>
                  </w:r>
                  <w:r>
                    <w:rPr>
                      <w:rFonts w:hint="eastAsia"/>
                      <w:color w:val="auto"/>
                      <w:u w:val="single"/>
                      <w:lang w:eastAsia="zh-CN"/>
                    </w:rPr>
                    <w:t>，</w:t>
                  </w:r>
                  <w:r>
                    <w:rPr>
                      <w:rFonts w:hint="eastAsia"/>
                      <w:color w:val="auto"/>
                      <w:u w:val="single"/>
                      <w:lang w:val="en-US" w:eastAsia="zh-CN"/>
                    </w:rPr>
                    <w:t>在项目实施前，建设单位</w:t>
                  </w:r>
                  <w:r>
                    <w:rPr>
                      <w:color w:val="auto"/>
                      <w:u w:val="single"/>
                    </w:rPr>
                    <w:t>应取得符合生态保护红线内允许有限人为活动的认定意见或不可避让论证意见。</w:t>
                  </w:r>
                </w:p>
              </w:tc>
              <w:tc>
                <w:tcPr>
                  <w:tcW w:w="505" w:type="pct"/>
                  <w:tcBorders>
                    <w:tl2br w:val="nil"/>
                    <w:tr2bl w:val="nil"/>
                  </w:tcBorders>
                  <w:vAlign w:val="center"/>
                </w:tcPr>
                <w:p w14:paraId="4C6FFF1C">
                  <w:pPr>
                    <w:jc w:val="center"/>
                    <w:rPr>
                      <w:color w:val="auto"/>
                      <w:u w:val="single"/>
                    </w:rPr>
                  </w:pPr>
                  <w:r>
                    <w:rPr>
                      <w:rFonts w:hint="eastAsia"/>
                      <w:color w:val="auto"/>
                      <w:u w:val="single"/>
                      <w:lang w:val="en-US" w:eastAsia="zh-CN"/>
                    </w:rPr>
                    <w:t>建设单位拟在项目实施前完成有限人为认定意见</w:t>
                  </w:r>
                  <w:r>
                    <w:rPr>
                      <w:color w:val="auto"/>
                      <w:u w:val="single"/>
                    </w:rPr>
                    <w:t>或不可避让论证意见</w:t>
                  </w:r>
                  <w:r>
                    <w:rPr>
                      <w:rFonts w:hint="eastAsia"/>
                      <w:color w:val="auto"/>
                      <w:u w:val="single"/>
                      <w:lang w:val="en-US" w:eastAsia="zh-CN"/>
                    </w:rPr>
                    <w:t>的</w:t>
                  </w:r>
                  <w:r>
                    <w:rPr>
                      <w:rFonts w:hint="eastAsia" w:ascii="Times New Roman" w:eastAsia="宋体"/>
                      <w:color w:val="auto"/>
                      <w:u w:val="single"/>
                      <w:lang w:val="en-US" w:eastAsia="zh-CN"/>
                    </w:rPr>
                    <w:t>办理</w:t>
                  </w:r>
                </w:p>
              </w:tc>
            </w:tr>
          </w:tbl>
          <w:p w14:paraId="6D9A67DA">
            <w:pPr>
              <w:adjustRightInd w:val="0"/>
              <w:snapToGrid w:val="0"/>
              <w:spacing w:line="360" w:lineRule="auto"/>
              <w:ind w:firstLine="482" w:firstLineChars="200"/>
              <w:rPr>
                <w:b/>
                <w:bCs/>
                <w:color w:val="auto"/>
                <w:sz w:val="24"/>
                <w:u w:val="single"/>
              </w:rPr>
            </w:pPr>
            <w:r>
              <w:rPr>
                <w:rFonts w:hint="eastAsia"/>
                <w:b/>
                <w:bCs/>
                <w:color w:val="auto"/>
                <w:sz w:val="24"/>
                <w:u w:val="single"/>
              </w:rPr>
              <w:t>7</w:t>
            </w:r>
            <w:r>
              <w:rPr>
                <w:b/>
                <w:bCs/>
                <w:color w:val="auto"/>
                <w:sz w:val="24"/>
                <w:u w:val="single"/>
              </w:rPr>
              <w:t>、项目与《岳阳市城市规划区山体水体保护条例》(2018年5月1日)符合性分析</w:t>
            </w:r>
          </w:p>
          <w:p w14:paraId="578F0DDB">
            <w:pPr>
              <w:autoSpaceDE w:val="0"/>
              <w:autoSpaceDN w:val="0"/>
              <w:adjustRightInd w:val="0"/>
              <w:snapToGrid w:val="0"/>
              <w:jc w:val="center"/>
              <w:rPr>
                <w:b/>
                <w:bCs/>
                <w:color w:val="auto"/>
                <w:kern w:val="0"/>
                <w:szCs w:val="21"/>
                <w:u w:val="single"/>
              </w:rPr>
            </w:pPr>
            <w:r>
              <w:rPr>
                <w:b/>
                <w:bCs/>
                <w:color w:val="auto"/>
                <w:kern w:val="0"/>
                <w:szCs w:val="21"/>
                <w:u w:val="single"/>
              </w:rPr>
              <w:t>表1-</w:t>
            </w:r>
            <w:r>
              <w:rPr>
                <w:rFonts w:hint="eastAsia"/>
                <w:b/>
                <w:bCs/>
                <w:color w:val="auto"/>
                <w:kern w:val="0"/>
                <w:szCs w:val="21"/>
                <w:u w:val="single"/>
              </w:rPr>
              <w:t>5</w:t>
            </w:r>
            <w:r>
              <w:rPr>
                <w:b/>
                <w:bCs/>
                <w:color w:val="auto"/>
                <w:kern w:val="0"/>
                <w:szCs w:val="21"/>
                <w:u w:val="single"/>
              </w:rPr>
              <w:t xml:space="preserve">   与《岳阳市城市规划区山体水体保护条例》(2018年5月1日)</w:t>
            </w:r>
          </w:p>
          <w:p w14:paraId="2613678C">
            <w:pPr>
              <w:autoSpaceDE w:val="0"/>
              <w:autoSpaceDN w:val="0"/>
              <w:adjustRightInd w:val="0"/>
              <w:snapToGrid w:val="0"/>
              <w:jc w:val="center"/>
              <w:rPr>
                <w:color w:val="auto"/>
                <w:u w:val="single"/>
              </w:rPr>
            </w:pPr>
            <w:r>
              <w:rPr>
                <w:b/>
                <w:bCs/>
                <w:color w:val="auto"/>
                <w:kern w:val="0"/>
                <w:szCs w:val="21"/>
                <w:u w:val="single"/>
              </w:rPr>
              <w:t>符合性一览表</w:t>
            </w:r>
          </w:p>
          <w:tbl>
            <w:tblPr>
              <w:tblStyle w:val="28"/>
              <w:tblW w:w="6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767"/>
              <w:gridCol w:w="1912"/>
              <w:gridCol w:w="1102"/>
            </w:tblGrid>
            <w:tr w14:paraId="69B1A5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c>
                <w:tcPr>
                  <w:tcW w:w="3767" w:type="dxa"/>
                  <w:tcBorders>
                    <w:tl2br w:val="nil"/>
                    <w:tr2bl w:val="nil"/>
                  </w:tcBorders>
                  <w:vAlign w:val="center"/>
                </w:tcPr>
                <w:p w14:paraId="5178294B">
                  <w:pPr>
                    <w:pStyle w:val="36"/>
                    <w:jc w:val="center"/>
                    <w:rPr>
                      <w:b/>
                      <w:bCs/>
                      <w:color w:val="auto"/>
                      <w:szCs w:val="21"/>
                      <w:u w:val="single"/>
                    </w:rPr>
                  </w:pPr>
                  <w:r>
                    <w:rPr>
                      <w:b/>
                      <w:bCs/>
                      <w:color w:val="auto"/>
                      <w:szCs w:val="21"/>
                      <w:u w:val="single"/>
                    </w:rPr>
                    <w:t>《岳阳市城市规划区山体水体保护条例》要求</w:t>
                  </w:r>
                </w:p>
              </w:tc>
              <w:tc>
                <w:tcPr>
                  <w:tcW w:w="1912" w:type="dxa"/>
                  <w:tcBorders>
                    <w:tl2br w:val="nil"/>
                    <w:tr2bl w:val="nil"/>
                  </w:tcBorders>
                  <w:vAlign w:val="center"/>
                </w:tcPr>
                <w:p w14:paraId="09D50E5F">
                  <w:pPr>
                    <w:pStyle w:val="36"/>
                    <w:jc w:val="center"/>
                    <w:rPr>
                      <w:b/>
                      <w:bCs/>
                      <w:color w:val="auto"/>
                      <w:szCs w:val="21"/>
                      <w:u w:val="single"/>
                    </w:rPr>
                  </w:pPr>
                  <w:r>
                    <w:rPr>
                      <w:b/>
                      <w:bCs/>
                      <w:color w:val="auto"/>
                      <w:szCs w:val="21"/>
                      <w:u w:val="single"/>
                    </w:rPr>
                    <w:t>本项目情况</w:t>
                  </w:r>
                </w:p>
              </w:tc>
              <w:tc>
                <w:tcPr>
                  <w:tcW w:w="1102" w:type="dxa"/>
                  <w:tcBorders>
                    <w:tl2br w:val="nil"/>
                    <w:tr2bl w:val="nil"/>
                  </w:tcBorders>
                  <w:vAlign w:val="center"/>
                </w:tcPr>
                <w:p w14:paraId="4D950A1C">
                  <w:pPr>
                    <w:pStyle w:val="36"/>
                    <w:jc w:val="center"/>
                    <w:rPr>
                      <w:b/>
                      <w:bCs/>
                      <w:color w:val="auto"/>
                      <w:szCs w:val="21"/>
                      <w:u w:val="single"/>
                    </w:rPr>
                  </w:pPr>
                  <w:r>
                    <w:rPr>
                      <w:b/>
                      <w:bCs/>
                      <w:color w:val="auto"/>
                      <w:szCs w:val="21"/>
                      <w:u w:val="single"/>
                    </w:rPr>
                    <w:t>符合性</w:t>
                  </w:r>
                </w:p>
              </w:tc>
            </w:tr>
            <w:tr w14:paraId="0C545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3767" w:type="dxa"/>
                  <w:tcBorders>
                    <w:tl2br w:val="nil"/>
                    <w:tr2bl w:val="nil"/>
                  </w:tcBorders>
                  <w:vAlign w:val="center"/>
                </w:tcPr>
                <w:p w14:paraId="5F25C981">
                  <w:pPr>
                    <w:pStyle w:val="36"/>
                    <w:jc w:val="center"/>
                    <w:rPr>
                      <w:color w:val="auto"/>
                      <w:szCs w:val="21"/>
                      <w:u w:val="single"/>
                    </w:rPr>
                  </w:pPr>
                  <w:r>
                    <w:rPr>
                      <w:color w:val="auto"/>
                      <w:szCs w:val="21"/>
                      <w:u w:val="single"/>
                    </w:rPr>
                    <w:t>第十四条 在一级保护山体范围内禁止实施下列行为：</w:t>
                  </w:r>
                </w:p>
                <w:p w14:paraId="47B03CB2">
                  <w:pPr>
                    <w:pStyle w:val="36"/>
                    <w:jc w:val="center"/>
                    <w:rPr>
                      <w:color w:val="auto"/>
                      <w:szCs w:val="21"/>
                      <w:u w:val="single"/>
                    </w:rPr>
                  </w:pPr>
                  <w:r>
                    <w:rPr>
                      <w:color w:val="auto"/>
                      <w:szCs w:val="21"/>
                      <w:u w:val="single"/>
                    </w:rPr>
                    <w:t>（一）倾倒或者堆放垃圾、工业废渣等废弃物；</w:t>
                  </w:r>
                </w:p>
                <w:p w14:paraId="4F15428B">
                  <w:pPr>
                    <w:pStyle w:val="36"/>
                    <w:jc w:val="center"/>
                    <w:rPr>
                      <w:color w:val="auto"/>
                      <w:szCs w:val="21"/>
                      <w:u w:val="single"/>
                    </w:rPr>
                  </w:pPr>
                  <w:r>
                    <w:rPr>
                      <w:color w:val="auto"/>
                      <w:szCs w:val="21"/>
                      <w:u w:val="single"/>
                    </w:rPr>
                    <w:t>（二）采伐、移植、毁坏林木，采挖重点保护野生植物，非法狩猎；</w:t>
                  </w:r>
                </w:p>
                <w:p w14:paraId="7DA6AC14">
                  <w:pPr>
                    <w:pStyle w:val="36"/>
                    <w:jc w:val="center"/>
                    <w:rPr>
                      <w:color w:val="auto"/>
                      <w:szCs w:val="21"/>
                      <w:u w:val="single"/>
                    </w:rPr>
                  </w:pPr>
                  <w:r>
                    <w:rPr>
                      <w:color w:val="auto"/>
                      <w:szCs w:val="21"/>
                      <w:u w:val="single"/>
                    </w:rPr>
                    <w:t>（三）修建储存爆炸性、易燃性、放射性、毒害性、腐蚀性物品的设施；</w:t>
                  </w:r>
                </w:p>
                <w:p w14:paraId="7E247672">
                  <w:pPr>
                    <w:pStyle w:val="36"/>
                    <w:jc w:val="center"/>
                    <w:rPr>
                      <w:color w:val="auto"/>
                      <w:szCs w:val="21"/>
                      <w:u w:val="single"/>
                    </w:rPr>
                  </w:pPr>
                  <w:r>
                    <w:rPr>
                      <w:color w:val="auto"/>
                      <w:szCs w:val="21"/>
                      <w:u w:val="single"/>
                    </w:rPr>
                    <w:t>（四）在森林防火区内野外用火；</w:t>
                  </w:r>
                </w:p>
                <w:p w14:paraId="57E0E4EE">
                  <w:pPr>
                    <w:pStyle w:val="36"/>
                    <w:jc w:val="center"/>
                    <w:rPr>
                      <w:color w:val="auto"/>
                      <w:szCs w:val="21"/>
                      <w:u w:val="single"/>
                    </w:rPr>
                  </w:pPr>
                  <w:r>
                    <w:rPr>
                      <w:color w:val="auto"/>
                      <w:szCs w:val="21"/>
                      <w:u w:val="single"/>
                    </w:rPr>
                    <w:t>（五）挖山、开矿、采石、采砂、毁林开垦；</w:t>
                  </w:r>
                </w:p>
                <w:p w14:paraId="69BB5F7E">
                  <w:pPr>
                    <w:pStyle w:val="36"/>
                    <w:jc w:val="center"/>
                    <w:rPr>
                      <w:color w:val="auto"/>
                      <w:szCs w:val="21"/>
                      <w:u w:val="single"/>
                    </w:rPr>
                  </w:pPr>
                  <w:r>
                    <w:rPr>
                      <w:color w:val="auto"/>
                      <w:szCs w:val="21"/>
                      <w:u w:val="single"/>
                    </w:rPr>
                    <w:t>（六）擅自新建、改建、扩建建筑物、构筑物和设施；</w:t>
                  </w:r>
                </w:p>
                <w:p w14:paraId="544B473A">
                  <w:pPr>
                    <w:pStyle w:val="36"/>
                    <w:jc w:val="center"/>
                    <w:rPr>
                      <w:color w:val="auto"/>
                      <w:szCs w:val="21"/>
                      <w:u w:val="single"/>
                    </w:rPr>
                  </w:pPr>
                  <w:r>
                    <w:rPr>
                      <w:color w:val="auto"/>
                      <w:szCs w:val="21"/>
                      <w:u w:val="single"/>
                    </w:rPr>
                    <w:t>（七）新建、改建、扩建墓地；</w:t>
                  </w:r>
                </w:p>
                <w:p w14:paraId="66F86FD5">
                  <w:pPr>
                    <w:pStyle w:val="36"/>
                    <w:jc w:val="center"/>
                    <w:rPr>
                      <w:color w:val="auto"/>
                      <w:szCs w:val="21"/>
                      <w:u w:val="single"/>
                    </w:rPr>
                  </w:pPr>
                  <w:r>
                    <w:rPr>
                      <w:color w:val="auto"/>
                      <w:szCs w:val="21"/>
                      <w:u w:val="single"/>
                    </w:rPr>
                    <w:t>（八）其他破坏山体生态、景观的行为。</w:t>
                  </w:r>
                </w:p>
              </w:tc>
              <w:tc>
                <w:tcPr>
                  <w:tcW w:w="1912" w:type="dxa"/>
                  <w:tcBorders>
                    <w:tl2br w:val="nil"/>
                    <w:tr2bl w:val="nil"/>
                  </w:tcBorders>
                  <w:vAlign w:val="center"/>
                </w:tcPr>
                <w:p w14:paraId="63E73091">
                  <w:pPr>
                    <w:pStyle w:val="36"/>
                    <w:jc w:val="center"/>
                    <w:rPr>
                      <w:color w:val="auto"/>
                      <w:szCs w:val="21"/>
                      <w:u w:val="single"/>
                    </w:rPr>
                  </w:pPr>
                  <w:r>
                    <w:rPr>
                      <w:rFonts w:hint="eastAsia"/>
                      <w:color w:val="auto"/>
                      <w:szCs w:val="21"/>
                      <w:u w:val="single"/>
                    </w:rPr>
                    <w:t>本项目位于湖南省岳阳市君山区钱粮湖镇银杯社区方台村5组，根据附图7本项目不涉及</w:t>
                  </w:r>
                  <w:r>
                    <w:rPr>
                      <w:color w:val="auto"/>
                      <w:szCs w:val="21"/>
                      <w:u w:val="single"/>
                    </w:rPr>
                    <w:t>一级保护山体范围</w:t>
                  </w:r>
                </w:p>
              </w:tc>
              <w:tc>
                <w:tcPr>
                  <w:tcW w:w="1102" w:type="dxa"/>
                  <w:tcBorders>
                    <w:tl2br w:val="nil"/>
                    <w:tr2bl w:val="nil"/>
                  </w:tcBorders>
                  <w:vAlign w:val="center"/>
                </w:tcPr>
                <w:p w14:paraId="373F23FC">
                  <w:pPr>
                    <w:pStyle w:val="36"/>
                    <w:jc w:val="center"/>
                    <w:rPr>
                      <w:color w:val="auto"/>
                      <w:szCs w:val="21"/>
                      <w:u w:val="single"/>
                    </w:rPr>
                  </w:pPr>
                  <w:r>
                    <w:rPr>
                      <w:rFonts w:hint="eastAsia"/>
                      <w:color w:val="auto"/>
                      <w:szCs w:val="21"/>
                      <w:u w:val="single"/>
                    </w:rPr>
                    <w:t>符合</w:t>
                  </w:r>
                </w:p>
              </w:tc>
            </w:tr>
            <w:tr w14:paraId="2781D7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3767" w:type="dxa"/>
                  <w:tcBorders>
                    <w:tl2br w:val="nil"/>
                    <w:tr2bl w:val="nil"/>
                  </w:tcBorders>
                  <w:vAlign w:val="center"/>
                </w:tcPr>
                <w:p w14:paraId="1AA64698">
                  <w:pPr>
                    <w:pStyle w:val="36"/>
                    <w:jc w:val="center"/>
                    <w:rPr>
                      <w:color w:val="auto"/>
                      <w:szCs w:val="21"/>
                      <w:u w:val="single"/>
                    </w:rPr>
                  </w:pPr>
                  <w:r>
                    <w:rPr>
                      <w:color w:val="auto"/>
                      <w:szCs w:val="21"/>
                      <w:u w:val="single"/>
                    </w:rPr>
                    <w:t>在二级保护山体范围内禁止实施上述规定的第三项、第四项和第五项行为；未经相关行政主管部门同意，不得实施上述规定的第一项、第二项、第六项、第七项和第八项行为。</w:t>
                  </w:r>
                </w:p>
              </w:tc>
              <w:tc>
                <w:tcPr>
                  <w:tcW w:w="1912" w:type="dxa"/>
                  <w:tcBorders>
                    <w:tl2br w:val="nil"/>
                    <w:tr2bl w:val="nil"/>
                  </w:tcBorders>
                  <w:vAlign w:val="center"/>
                </w:tcPr>
                <w:p w14:paraId="77EF0756">
                  <w:pPr>
                    <w:pStyle w:val="36"/>
                    <w:jc w:val="center"/>
                    <w:rPr>
                      <w:color w:val="auto"/>
                      <w:szCs w:val="21"/>
                      <w:u w:val="single"/>
                    </w:rPr>
                  </w:pPr>
                  <w:r>
                    <w:rPr>
                      <w:rFonts w:hint="eastAsia"/>
                      <w:color w:val="auto"/>
                      <w:szCs w:val="21"/>
                      <w:u w:val="single"/>
                    </w:rPr>
                    <w:t>本项目位于湖南省岳阳市君山区钱粮湖镇银杯社区方台村5组，根据附图7本项目不涉及二</w:t>
                  </w:r>
                  <w:r>
                    <w:rPr>
                      <w:color w:val="auto"/>
                      <w:szCs w:val="21"/>
                      <w:u w:val="single"/>
                    </w:rPr>
                    <w:t>级保护山体范围</w:t>
                  </w:r>
                </w:p>
              </w:tc>
              <w:tc>
                <w:tcPr>
                  <w:tcW w:w="1102" w:type="dxa"/>
                  <w:tcBorders>
                    <w:tl2br w:val="nil"/>
                    <w:tr2bl w:val="nil"/>
                  </w:tcBorders>
                  <w:vAlign w:val="center"/>
                </w:tcPr>
                <w:p w14:paraId="27F97172">
                  <w:pPr>
                    <w:pStyle w:val="36"/>
                    <w:jc w:val="center"/>
                    <w:rPr>
                      <w:color w:val="auto"/>
                      <w:szCs w:val="21"/>
                      <w:u w:val="single"/>
                    </w:rPr>
                  </w:pPr>
                  <w:r>
                    <w:rPr>
                      <w:rFonts w:hint="eastAsia"/>
                      <w:color w:val="auto"/>
                      <w:szCs w:val="21"/>
                      <w:u w:val="single"/>
                    </w:rPr>
                    <w:t>符合</w:t>
                  </w:r>
                </w:p>
              </w:tc>
            </w:tr>
          </w:tbl>
          <w:p w14:paraId="3B47D9E1">
            <w:pPr>
              <w:adjustRightInd w:val="0"/>
              <w:snapToGrid w:val="0"/>
              <w:spacing w:line="360" w:lineRule="auto"/>
              <w:ind w:firstLine="482" w:firstLineChars="200"/>
              <w:rPr>
                <w:b/>
                <w:bCs/>
                <w:color w:val="auto"/>
                <w:sz w:val="24"/>
                <w:u w:val="single"/>
              </w:rPr>
            </w:pPr>
            <w:r>
              <w:rPr>
                <w:rFonts w:hint="eastAsia"/>
                <w:b/>
                <w:bCs/>
                <w:color w:val="auto"/>
                <w:sz w:val="24"/>
                <w:u w:val="single"/>
              </w:rPr>
              <w:t>8</w:t>
            </w:r>
            <w:r>
              <w:rPr>
                <w:b/>
                <w:bCs/>
                <w:color w:val="auto"/>
                <w:sz w:val="24"/>
                <w:u w:val="single"/>
              </w:rPr>
              <w:t>、项目与</w:t>
            </w:r>
            <w:r>
              <w:rPr>
                <w:rFonts w:hint="eastAsia"/>
                <w:b/>
                <w:bCs/>
                <w:color w:val="auto"/>
                <w:sz w:val="24"/>
                <w:u w:val="single"/>
              </w:rPr>
              <w:t>《</w:t>
            </w:r>
            <w:r>
              <w:rPr>
                <w:b/>
                <w:bCs/>
                <w:color w:val="auto"/>
                <w:sz w:val="24"/>
                <w:u w:val="single"/>
              </w:rPr>
              <w:t>岳阳市君山区养殖水域滩涂规划</w:t>
            </w:r>
            <w:r>
              <w:rPr>
                <w:rFonts w:hint="eastAsia"/>
                <w:b/>
                <w:bCs/>
                <w:color w:val="auto"/>
                <w:sz w:val="24"/>
                <w:u w:val="single"/>
              </w:rPr>
              <w:t>》</w:t>
            </w:r>
            <w:r>
              <w:rPr>
                <w:b/>
                <w:bCs/>
                <w:color w:val="auto"/>
                <w:sz w:val="24"/>
                <w:u w:val="single"/>
              </w:rPr>
              <w:t>(2023-2030年)符合性分析</w:t>
            </w:r>
          </w:p>
          <w:p w14:paraId="1853B251">
            <w:pPr>
              <w:wordWrap w:val="0"/>
              <w:autoSpaceDE w:val="0"/>
              <w:autoSpaceDN w:val="0"/>
              <w:spacing w:line="360" w:lineRule="auto"/>
              <w:ind w:firstLine="480" w:firstLineChars="200"/>
              <w:jc w:val="left"/>
              <w:rPr>
                <w:color w:val="auto"/>
                <w:sz w:val="24"/>
                <w:u w:val="single"/>
              </w:rPr>
            </w:pPr>
            <w:r>
              <w:rPr>
                <w:color w:val="auto"/>
                <w:sz w:val="24"/>
                <w:u w:val="single"/>
              </w:rPr>
              <w:t>规划目标：</w:t>
            </w:r>
            <w:r>
              <w:rPr>
                <w:rFonts w:hint="eastAsia"/>
                <w:color w:val="auto"/>
                <w:sz w:val="24"/>
                <w:u w:val="single"/>
              </w:rPr>
              <w:t>贯彻“创新、协调、绿色、开放、共享”新发展理念，统筹推进“五位一体”总体布局，有效落实生态保护红线制度，在科学评价水域滩涂资源禀赋和环境承载力的基础上，科学划定全区各类水域功能区，合理布局渔业生产，稳定池塘养殖面积，推进大水面生态渔业，规范稻渔综合种养，保障渔民合法权益，保护水域生态环境，加强监测监管力度，确保有效供给、环境生态安全和产品质量安全，实现全区渔业高质量发展。全区规划可养殖水域（限养区和养殖区）面积基本稳定在</w:t>
            </w:r>
            <w:r>
              <w:rPr>
                <w:rFonts w:hint="eastAsia"/>
                <w:color w:val="auto"/>
                <w:sz w:val="24"/>
                <w:u w:val="single"/>
                <w:lang w:val="en-US" w:eastAsia="zh-CN"/>
              </w:rPr>
              <w:t>0.8</w:t>
            </w:r>
            <w:r>
              <w:rPr>
                <w:rFonts w:hint="eastAsia"/>
                <w:color w:val="auto"/>
                <w:sz w:val="24"/>
                <w:u w:val="single"/>
              </w:rPr>
              <w:t xml:space="preserve">万公顷左右、稻田综合种养面积保持1.5万公顷，渔业生产能力保持在5万吨左右。 </w:t>
            </w:r>
          </w:p>
          <w:p w14:paraId="62154EBB">
            <w:pPr>
              <w:pStyle w:val="36"/>
              <w:spacing w:line="360" w:lineRule="auto"/>
              <w:ind w:firstLine="480" w:firstLineChars="200"/>
              <w:jc w:val="left"/>
              <w:rPr>
                <w:color w:val="auto"/>
                <w:sz w:val="24"/>
              </w:rPr>
            </w:pPr>
            <w:r>
              <w:rPr>
                <w:rFonts w:hint="eastAsia"/>
                <w:color w:val="auto"/>
                <w:sz w:val="24"/>
                <w:u w:val="single"/>
              </w:rPr>
              <w:t>符合性分析：本项目位于湖南省岳阳市君山区钱粮湖镇银杯社区方台村5组，</w:t>
            </w:r>
            <w:r>
              <w:rPr>
                <w:rFonts w:hint="eastAsia"/>
                <w:color w:val="auto"/>
                <w:sz w:val="24"/>
                <w:u w:val="single"/>
                <w:lang w:val="en-US" w:eastAsia="zh-CN"/>
              </w:rPr>
              <w:t>根据附图9</w:t>
            </w:r>
            <w:r>
              <w:rPr>
                <w:rFonts w:hint="eastAsia" w:ascii="Times New Roman" w:eastAsia="宋体"/>
                <w:color w:val="auto"/>
                <w:kern w:val="0"/>
                <w:sz w:val="24"/>
                <w:u w:val="single"/>
                <w:lang w:val="en-US" w:eastAsia="zh-CN" w:bidi="ar"/>
              </w:rPr>
              <w:t>君山区养殖水域滩涂“三区”规划图可知，</w:t>
            </w:r>
            <w:r>
              <w:rPr>
                <w:rFonts w:hint="eastAsia"/>
                <w:color w:val="auto"/>
                <w:sz w:val="24"/>
                <w:u w:val="single"/>
                <w:lang w:val="en-US" w:eastAsia="zh-CN"/>
              </w:rPr>
              <w:t>本项目不属于规划中的禁养区及限养区，属于</w:t>
            </w:r>
            <w:r>
              <w:rPr>
                <w:rFonts w:hint="eastAsia" w:ascii="Times New Roman" w:eastAsia="宋体"/>
                <w:color w:val="auto"/>
                <w:kern w:val="0"/>
                <w:sz w:val="24"/>
                <w:u w:val="single"/>
                <w:lang w:val="en-US" w:eastAsia="zh-CN" w:bidi="ar"/>
              </w:rPr>
              <w:t>规划中的养殖区。工程建成后，可示范带动周边广大养殖户调整产业结构和养殖结构，示范推广新型“零排放”绿色高效“圈养”技术与模式，实现渔业增产、渔民增收。</w:t>
            </w:r>
            <w:r>
              <w:rPr>
                <w:rFonts w:hint="eastAsia"/>
                <w:color w:val="auto"/>
                <w:sz w:val="24"/>
                <w:u w:val="single"/>
              </w:rPr>
              <w:t>因此，项目与《岳阳市君山区养殖水域滩涂规划》(2023-2030 年)相符。</w:t>
            </w:r>
          </w:p>
        </w:tc>
      </w:tr>
    </w:tbl>
    <w:p w14:paraId="79C9BA76">
      <w:pPr>
        <w:spacing w:line="360" w:lineRule="auto"/>
        <w:outlineLvl w:val="0"/>
        <w:rPr>
          <w:rFonts w:eastAsia="黑体"/>
          <w:color w:val="auto"/>
          <w:sz w:val="30"/>
        </w:rPr>
        <w:sectPr>
          <w:headerReference r:id="rId10" w:type="default"/>
          <w:footerReference r:id="rId11" w:type="default"/>
          <w:pgSz w:w="11906" w:h="16838"/>
          <w:pgMar w:top="1701" w:right="1531" w:bottom="1701" w:left="1531" w:header="851" w:footer="1077" w:gutter="0"/>
          <w:pgNumType w:start="1"/>
          <w:cols w:space="720" w:num="1"/>
          <w:docGrid w:linePitch="312" w:charSpace="0"/>
        </w:sectPr>
      </w:pPr>
    </w:p>
    <w:p w14:paraId="4B032FD6">
      <w:pPr>
        <w:pStyle w:val="23"/>
        <w:jc w:val="center"/>
        <w:outlineLvl w:val="0"/>
        <w:rPr>
          <w:rFonts w:hint="eastAsia" w:ascii="黑体" w:hAnsi="黑体" w:eastAsia="黑体"/>
          <w:snapToGrid w:val="0"/>
          <w:color w:val="auto"/>
          <w:sz w:val="30"/>
          <w:szCs w:val="30"/>
        </w:rPr>
      </w:pPr>
      <w:bookmarkStart w:id="17" w:name="_Toc11838"/>
      <w:bookmarkStart w:id="18" w:name="_Toc17557"/>
      <w:bookmarkStart w:id="19" w:name="_Toc29062"/>
      <w:r>
        <w:rPr>
          <w:rFonts w:hint="eastAsia" w:ascii="黑体" w:hAnsi="黑体" w:eastAsia="黑体"/>
          <w:snapToGrid w:val="0"/>
          <w:color w:val="auto"/>
          <w:sz w:val="30"/>
          <w:szCs w:val="30"/>
        </w:rPr>
        <w:t>二、建设内容</w:t>
      </w:r>
      <w:bookmarkEnd w:id="17"/>
      <w:bookmarkEnd w:id="18"/>
      <w:bookmarkEnd w:id="19"/>
    </w:p>
    <w:tbl>
      <w:tblPr>
        <w:tblStyle w:val="27"/>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074"/>
      </w:tblGrid>
      <w:tr w14:paraId="499FE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3" w:type="dxa"/>
            <w:vAlign w:val="center"/>
          </w:tcPr>
          <w:p w14:paraId="544EFF08">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地理位置</w:t>
            </w:r>
          </w:p>
        </w:tc>
        <w:tc>
          <w:tcPr>
            <w:tcW w:w="8069" w:type="dxa"/>
            <w:vAlign w:val="center"/>
          </w:tcPr>
          <w:p w14:paraId="759AAB06">
            <w:pPr>
              <w:wordWrap w:val="0"/>
              <w:adjustRightInd w:val="0"/>
              <w:snapToGrid w:val="0"/>
              <w:spacing w:line="360" w:lineRule="auto"/>
              <w:ind w:firstLine="480" w:firstLineChars="200"/>
              <w:jc w:val="left"/>
              <w:rPr>
                <w:rFonts w:hint="eastAsia" w:ascii="宋体" w:hAnsi="宋体" w:cs="宋体"/>
                <w:color w:val="auto"/>
                <w:kern w:val="0"/>
                <w:sz w:val="24"/>
              </w:rPr>
            </w:pPr>
            <w:r>
              <w:rPr>
                <w:color w:val="auto"/>
                <w:sz w:val="24"/>
              </w:rPr>
              <w:t>君山区方台湖设施渔业水基项目（一期）坐落于湖南省岳阳市君山区钱粮湖镇银杯社区方台村</w:t>
            </w:r>
            <w:r>
              <w:rPr>
                <w:rFonts w:hint="eastAsia"/>
                <w:color w:val="auto"/>
                <w:sz w:val="24"/>
              </w:rPr>
              <w:t>5</w:t>
            </w:r>
            <w:r>
              <w:rPr>
                <w:color w:val="auto"/>
                <w:sz w:val="24"/>
              </w:rPr>
              <w:t>组。从项目区周边地理方位来看，其东侧毗邻采桑湖，西侧与方台村养殖区相邻，项目区东侧区域与西侧区域之间通过一条堤坝相隔。项目地理坐标：东经112°47'50.981"，北纬29°29'43.888"。</w:t>
            </w:r>
          </w:p>
        </w:tc>
      </w:tr>
      <w:tr w14:paraId="3C704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14:paraId="17357DCE">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项目组成及规模</w:t>
            </w:r>
          </w:p>
        </w:tc>
        <w:tc>
          <w:tcPr>
            <w:tcW w:w="8069" w:type="dxa"/>
            <w:vAlign w:val="center"/>
          </w:tcPr>
          <w:p w14:paraId="7A28056C">
            <w:pPr>
              <w:pStyle w:val="4"/>
              <w:numPr>
                <w:ilvl w:val="0"/>
                <w:numId w:val="0"/>
              </w:numPr>
              <w:rPr>
                <w:rFonts w:cs="Times New Roman"/>
                <w:b/>
                <w:bCs w:val="0"/>
                <w:color w:val="auto"/>
                <w:sz w:val="24"/>
                <w:szCs w:val="24"/>
              </w:rPr>
            </w:pPr>
            <w:r>
              <w:rPr>
                <w:rFonts w:hint="eastAsia" w:cs="Times New Roman"/>
                <w:b/>
                <w:bCs w:val="0"/>
                <w:color w:val="auto"/>
                <w:sz w:val="24"/>
                <w:szCs w:val="24"/>
              </w:rPr>
              <w:t>1、项目由来及建设背景</w:t>
            </w:r>
          </w:p>
          <w:p w14:paraId="6C650C46">
            <w:pPr>
              <w:spacing w:line="360" w:lineRule="auto"/>
              <w:ind w:firstLine="480" w:firstLineChars="200"/>
              <w:rPr>
                <w:color w:val="auto"/>
                <w:sz w:val="24"/>
              </w:rPr>
            </w:pPr>
            <w:r>
              <w:rPr>
                <w:color w:val="auto"/>
                <w:sz w:val="24"/>
              </w:rPr>
              <w:t>为深入贯彻习近平总书记关于“三农”工作重要论述，湖南省积极推进现代设施渔业建设。2024年3月21日，湖南省农业农村厅和财政厅制定《湖南省推进现代设施渔业高质量发展的若干措施（2024—2026 年）（试行）》，鼓励新建封闭式工厂化循环水养殖场和池塘工程化循环水养殖场等。</w:t>
            </w:r>
          </w:p>
          <w:p w14:paraId="7B94C5FF">
            <w:pPr>
              <w:spacing w:line="360" w:lineRule="auto"/>
              <w:ind w:firstLine="480" w:firstLineChars="200"/>
              <w:rPr>
                <w:color w:val="auto"/>
                <w:sz w:val="24"/>
              </w:rPr>
            </w:pPr>
            <w:r>
              <w:rPr>
                <w:color w:val="auto"/>
                <w:sz w:val="24"/>
              </w:rPr>
              <w:t>为积极推进水产养殖业转型升级，加快产业高质量发展步伐，君山区委、君山区人民政府对此项工作予以高度重视，并于2022年5月正式印发《君山区水产养殖场转型升级工作方案》，方案明确提出，君山区需充分依托本地大湖水面资源禀赋与比较优势，大力培育和发展特色水产养殖产业，构建现代化水产养殖体系。为落实方案要求，君山区在原有区水产养殖场的基础上，统筹资源整合与机制创新，新组建湖南君山生态渔业集团有限公司（以下简称“君山生态渔业集团”）。</w:t>
            </w:r>
          </w:p>
          <w:p w14:paraId="157CCF7C">
            <w:pPr>
              <w:spacing w:line="360" w:lineRule="auto"/>
              <w:ind w:firstLine="480" w:firstLineChars="200"/>
              <w:rPr>
                <w:color w:val="auto"/>
                <w:sz w:val="24"/>
                <w:u w:val="single"/>
              </w:rPr>
            </w:pPr>
            <w:r>
              <w:rPr>
                <w:color w:val="auto"/>
                <w:sz w:val="24"/>
                <w:u w:val="single"/>
              </w:rPr>
              <w:t>君山生态渔业集团立足区域发展实际，提出建设君山区方台湖设施渔业水基项目。该项目拟选址于方台湖片区及方台村5组片区，规划建设总面积62.3亩的水基养殖基地，以特色水产养殖作为核心主营业务。项目将采用高密度圈养桶养殖技术，通过标准化、集约化养殖模式，提升水产品产量与质量，为岳阳市乃至湖南省各地区稳定供应优质鱼产品。此外，通过科学养殖模式与生态保护措施的协同推进，将有效改善和提升整个</w:t>
            </w:r>
            <w:r>
              <w:rPr>
                <w:rFonts w:ascii="宋体" w:hAnsi="宋体" w:cs="宋体"/>
                <w:color w:val="auto"/>
                <w:sz w:val="24"/>
                <w:u w:val="single"/>
              </w:rPr>
              <w:t>湖区的生态系统功能，实现经济效益、社会效益与生态效益的有机统一。</w:t>
            </w:r>
          </w:p>
          <w:p w14:paraId="703087A9">
            <w:pPr>
              <w:widowControl/>
              <w:spacing w:line="360" w:lineRule="auto"/>
              <w:ind w:firstLine="480" w:firstLineChars="200"/>
              <w:jc w:val="left"/>
              <w:rPr>
                <w:color w:val="auto"/>
                <w:kern w:val="0"/>
                <w:sz w:val="24"/>
                <w:u w:val="single"/>
                <w:lang w:bidi="ar"/>
              </w:rPr>
            </w:pPr>
            <w:r>
              <w:rPr>
                <w:color w:val="auto"/>
                <w:sz w:val="24"/>
                <w:u w:val="single"/>
              </w:rPr>
              <w:t>君山区方台湖设施渔业水基项目分为两期建设，一期位于岳阳市君山区钱粮湖镇银杯社区方台村5组，</w:t>
            </w:r>
            <w:r>
              <w:rPr>
                <w:color w:val="auto"/>
                <w:kern w:val="0"/>
                <w:sz w:val="24"/>
                <w:u w:val="single"/>
                <w:lang w:bidi="ar"/>
              </w:rPr>
              <w:t>建设1处水基养殖基地(即9#区域)，并配套水基智能投饵系统和轨道系统等；</w:t>
            </w:r>
            <w:r>
              <w:rPr>
                <w:color w:val="auto"/>
                <w:sz w:val="24"/>
                <w:u w:val="single"/>
              </w:rPr>
              <w:t>二期项目位于岳阳市君山区钱粮湖镇银杯社区方台湖，</w:t>
            </w:r>
            <w:r>
              <w:rPr>
                <w:color w:val="auto"/>
                <w:kern w:val="0"/>
                <w:sz w:val="24"/>
                <w:u w:val="single"/>
                <w:lang w:bidi="ar"/>
              </w:rPr>
              <w:t>在方台湖片区西侧的3个区域(分别为6#、7#、8#区域)建设3处水基养殖基地。一期</w:t>
            </w:r>
            <w:r>
              <w:rPr>
                <w:rFonts w:hint="eastAsia"/>
                <w:color w:val="auto"/>
                <w:kern w:val="0"/>
                <w:sz w:val="24"/>
                <w:u w:val="single"/>
                <w:lang w:bidi="ar"/>
              </w:rPr>
              <w:t>、</w:t>
            </w:r>
            <w:r>
              <w:rPr>
                <w:color w:val="auto"/>
                <w:kern w:val="0"/>
                <w:sz w:val="24"/>
                <w:u w:val="single"/>
                <w:lang w:bidi="ar"/>
              </w:rPr>
              <w:t>二期项目位置</w:t>
            </w:r>
            <w:r>
              <w:rPr>
                <w:color w:val="auto"/>
                <w:sz w:val="24"/>
                <w:u w:val="single"/>
              </w:rPr>
              <w:t>均</w:t>
            </w:r>
            <w:r>
              <w:rPr>
                <w:color w:val="auto"/>
                <w:kern w:val="0"/>
                <w:sz w:val="24"/>
                <w:u w:val="single"/>
                <w:lang w:bidi="ar"/>
              </w:rPr>
              <w:t>属于湖南东洞庭湖国家自然保护区的实验区，本评价仅对一期项目进行评价。</w:t>
            </w:r>
          </w:p>
          <w:p w14:paraId="10D14067">
            <w:pPr>
              <w:spacing w:line="360" w:lineRule="auto"/>
              <w:ind w:firstLine="480" w:firstLineChars="200"/>
              <w:rPr>
                <w:color w:val="auto"/>
                <w:sz w:val="24"/>
              </w:rPr>
            </w:pPr>
            <w:r>
              <w:rPr>
                <w:color w:val="auto"/>
                <w:sz w:val="24"/>
              </w:rPr>
              <w:t>根据《中华人民共和国环境影响评价法》、《建设项目环境保护管理条例》的有关规定，项目需进行环评影响评价。根据《湖南东洞庭湖国家级自然保护区功能分区图》，本项目位于</w:t>
            </w:r>
            <w:r>
              <w:rPr>
                <w:color w:val="auto"/>
                <w:kern w:val="0"/>
                <w:sz w:val="24"/>
                <w:lang w:bidi="ar"/>
              </w:rPr>
              <w:t>湖南东洞庭湖国家自然保护区的实验区</w:t>
            </w:r>
            <w:r>
              <w:rPr>
                <w:color w:val="auto"/>
                <w:sz w:val="24"/>
              </w:rPr>
              <w:t>，对照《建设项目环境影响评价分类管理名录（2021年版）》，本项目属于“三、渔业（04）5内陆养殖（0412）网箱、围网投饵养殖；涉及环境敏感区的”，属于需编制环境影响报告表。为此，建设单位湖南君山生态渔业集团有限公司委托湖南京帝环保科技研究院有限公司承担了环境影响评价工作，环评编制单位接受委托后，认真研究该项目的有关材料，并进行实地踏勘，初步调研，收集和核实了有关材料，并在此基础上编制完成了《君山区方台湖设施渔业水基项目（一期）环境影响报告表》。</w:t>
            </w:r>
          </w:p>
          <w:p w14:paraId="46A0795F">
            <w:pPr>
              <w:adjustRightInd w:val="0"/>
              <w:snapToGrid w:val="0"/>
              <w:spacing w:line="360" w:lineRule="auto"/>
              <w:rPr>
                <w:b/>
                <w:bCs/>
                <w:color w:val="auto"/>
                <w:sz w:val="24"/>
              </w:rPr>
            </w:pPr>
            <w:r>
              <w:rPr>
                <w:rFonts w:hint="eastAsia"/>
                <w:b/>
                <w:bCs/>
                <w:color w:val="auto"/>
                <w:sz w:val="24"/>
              </w:rPr>
              <w:t>2、项目概况</w:t>
            </w:r>
          </w:p>
          <w:p w14:paraId="155D1612">
            <w:pPr>
              <w:adjustRightInd w:val="0"/>
              <w:snapToGrid w:val="0"/>
              <w:spacing w:line="360" w:lineRule="auto"/>
              <w:ind w:firstLine="482" w:firstLineChars="200"/>
              <w:rPr>
                <w:b/>
                <w:bCs/>
                <w:color w:val="auto"/>
                <w:sz w:val="24"/>
              </w:rPr>
            </w:pPr>
            <w:r>
              <w:rPr>
                <w:rFonts w:hint="eastAsia"/>
                <w:b/>
                <w:bCs/>
                <w:color w:val="auto"/>
                <w:sz w:val="24"/>
              </w:rPr>
              <w:t>2.1项目名称及性质</w:t>
            </w:r>
          </w:p>
          <w:p w14:paraId="2F245AE0">
            <w:pPr>
              <w:adjustRightInd w:val="0"/>
              <w:snapToGrid w:val="0"/>
              <w:spacing w:line="360" w:lineRule="auto"/>
              <w:ind w:firstLine="480" w:firstLineChars="200"/>
              <w:rPr>
                <w:rFonts w:hint="eastAsia" w:ascii="宋体" w:hAnsi="宋体" w:cs="宋体"/>
                <w:color w:val="auto"/>
                <w:sz w:val="24"/>
              </w:rPr>
            </w:pPr>
            <w:r>
              <w:rPr>
                <w:rFonts w:hint="eastAsia"/>
                <w:color w:val="auto"/>
                <w:sz w:val="24"/>
              </w:rPr>
              <w:t>项目名称：</w:t>
            </w:r>
            <w:r>
              <w:rPr>
                <w:rFonts w:hint="eastAsia" w:ascii="宋体" w:hAnsi="宋体" w:cs="宋体"/>
                <w:color w:val="auto"/>
                <w:sz w:val="24"/>
              </w:rPr>
              <w:t>君山区方台湖设施渔业水基项目（一期）；</w:t>
            </w:r>
          </w:p>
          <w:p w14:paraId="20BF0EE8">
            <w:pPr>
              <w:adjustRightInd w:val="0"/>
              <w:snapToGrid w:val="0"/>
              <w:spacing w:line="360" w:lineRule="auto"/>
              <w:ind w:firstLine="480" w:firstLineChars="200"/>
              <w:rPr>
                <w:color w:val="auto"/>
                <w:sz w:val="24"/>
              </w:rPr>
            </w:pPr>
            <w:r>
              <w:rPr>
                <w:rFonts w:hint="eastAsia"/>
                <w:color w:val="auto"/>
                <w:sz w:val="24"/>
              </w:rPr>
              <w:t>建设单位：湖南君山生态渔业集团有限公司；</w:t>
            </w:r>
          </w:p>
          <w:p w14:paraId="5CAB915A">
            <w:pPr>
              <w:adjustRightInd w:val="0"/>
              <w:snapToGrid w:val="0"/>
              <w:spacing w:line="360" w:lineRule="auto"/>
              <w:ind w:firstLine="480" w:firstLineChars="200"/>
              <w:rPr>
                <w:color w:val="auto"/>
                <w:sz w:val="24"/>
              </w:rPr>
            </w:pPr>
            <w:r>
              <w:rPr>
                <w:rFonts w:hint="eastAsia"/>
                <w:color w:val="auto"/>
                <w:sz w:val="24"/>
              </w:rPr>
              <w:t>建设地点：岳阳市君山区钱粮湖镇银杯社区方台村5组；</w:t>
            </w:r>
          </w:p>
          <w:p w14:paraId="3CF416F1">
            <w:pPr>
              <w:adjustRightInd w:val="0"/>
              <w:snapToGrid w:val="0"/>
              <w:spacing w:line="360" w:lineRule="auto"/>
              <w:ind w:firstLine="480" w:firstLineChars="200"/>
              <w:rPr>
                <w:color w:val="auto"/>
                <w:sz w:val="24"/>
              </w:rPr>
            </w:pPr>
            <w:r>
              <w:rPr>
                <w:rFonts w:hint="eastAsia"/>
                <w:color w:val="auto"/>
                <w:sz w:val="24"/>
              </w:rPr>
              <w:t>具体坐标：东经112°47'50.981",北纬29°29'43.888"；</w:t>
            </w:r>
          </w:p>
          <w:p w14:paraId="7B20EEF1">
            <w:pPr>
              <w:adjustRightInd w:val="0"/>
              <w:snapToGrid w:val="0"/>
              <w:spacing w:line="360" w:lineRule="auto"/>
              <w:ind w:firstLine="480" w:firstLineChars="200"/>
              <w:rPr>
                <w:color w:val="auto"/>
                <w:sz w:val="24"/>
              </w:rPr>
            </w:pPr>
            <w:r>
              <w:rPr>
                <w:rFonts w:hint="eastAsia"/>
                <w:color w:val="auto"/>
                <w:sz w:val="24"/>
              </w:rPr>
              <w:t>项目性质：新建；</w:t>
            </w:r>
          </w:p>
          <w:p w14:paraId="397B9A1F">
            <w:pPr>
              <w:pStyle w:val="9"/>
              <w:spacing w:before="0" w:after="0" w:line="360" w:lineRule="auto"/>
              <w:ind w:right="0" w:firstLine="480" w:firstLineChars="200"/>
              <w:rPr>
                <w:rFonts w:hint="eastAsia" w:ascii="宋体" w:hAnsi="宋体" w:cs="宋体"/>
                <w:color w:val="auto"/>
                <w:sz w:val="24"/>
                <w:u w:val="single"/>
              </w:rPr>
            </w:pPr>
            <w:r>
              <w:rPr>
                <w:rFonts w:hint="eastAsia"/>
                <w:color w:val="auto"/>
                <w:kern w:val="2"/>
                <w:sz w:val="24"/>
                <w:szCs w:val="24"/>
                <w:u w:val="single"/>
              </w:rPr>
              <w:t>建设内容：</w:t>
            </w:r>
            <w:r>
              <w:rPr>
                <w:color w:val="auto"/>
                <w:sz w:val="24"/>
                <w:u w:val="single"/>
              </w:rPr>
              <w:t>一期水基圈养设置在9#养殖区域中，9#区域水域面积50亩，在该区域中放置80个</w:t>
            </w:r>
            <w:r>
              <w:rPr>
                <w:rFonts w:hint="eastAsia"/>
                <w:color w:val="auto"/>
                <w:sz w:val="24"/>
                <w:u w:val="single"/>
              </w:rPr>
              <w:t>马口鱼</w:t>
            </w:r>
            <w:r>
              <w:rPr>
                <w:color w:val="auto"/>
                <w:sz w:val="24"/>
                <w:u w:val="single"/>
              </w:rPr>
              <w:t>圈养桶，每单元40个共2单元，均东西向布置</w:t>
            </w:r>
            <w:r>
              <w:rPr>
                <w:rFonts w:hint="eastAsia"/>
                <w:color w:val="auto"/>
                <w:sz w:val="24"/>
                <w:u w:val="single"/>
              </w:rPr>
              <w:t>，12个观赏鱼养殖桶，</w:t>
            </w:r>
            <w:r>
              <w:rPr>
                <w:rFonts w:hint="eastAsia"/>
                <w:color w:val="auto"/>
                <w:kern w:val="2"/>
                <w:sz w:val="24"/>
                <w:szCs w:val="24"/>
                <w:u w:val="single"/>
              </w:rPr>
              <w:t>同时配套建设人工湿地、尾水设备、增氧系统、供电设备及道路等辅助工程；具体建设内容如下：</w:t>
            </w:r>
          </w:p>
          <w:p w14:paraId="55D479CB">
            <w:pPr>
              <w:pStyle w:val="9"/>
              <w:spacing w:before="0" w:after="0" w:line="240" w:lineRule="auto"/>
              <w:ind w:right="0"/>
              <w:jc w:val="center"/>
              <w:rPr>
                <w:color w:val="auto"/>
              </w:rPr>
            </w:pPr>
            <w:r>
              <w:rPr>
                <w:rFonts w:hint="eastAsia"/>
                <w:b/>
                <w:bCs/>
                <w:color w:val="auto"/>
                <w:kern w:val="2"/>
                <w:sz w:val="24"/>
                <w:szCs w:val="24"/>
              </w:rPr>
              <w:t>表2-1   项目建设内容一览表</w:t>
            </w:r>
          </w:p>
          <w:tbl>
            <w:tblPr>
              <w:tblStyle w:val="28"/>
              <w:tblW w:w="782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26"/>
              <w:gridCol w:w="1036"/>
              <w:gridCol w:w="4485"/>
              <w:gridCol w:w="1176"/>
            </w:tblGrid>
            <w:tr w14:paraId="1E1A13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26" w:type="dxa"/>
                  <w:tcBorders>
                    <w:tl2br w:val="nil"/>
                    <w:tr2bl w:val="nil"/>
                  </w:tcBorders>
                  <w:vAlign w:val="center"/>
                </w:tcPr>
                <w:p w14:paraId="5351351D">
                  <w:pPr>
                    <w:pStyle w:val="62"/>
                    <w:rPr>
                      <w:b/>
                      <w:bCs/>
                      <w:color w:val="auto"/>
                      <w:szCs w:val="21"/>
                      <w:u w:val="single"/>
                    </w:rPr>
                  </w:pPr>
                  <w:r>
                    <w:rPr>
                      <w:b/>
                      <w:bCs/>
                      <w:color w:val="auto"/>
                      <w:szCs w:val="21"/>
                      <w:u w:val="single"/>
                    </w:rPr>
                    <w:t>项目分类</w:t>
                  </w:r>
                </w:p>
              </w:tc>
              <w:tc>
                <w:tcPr>
                  <w:tcW w:w="1036" w:type="dxa"/>
                  <w:tcBorders>
                    <w:tl2br w:val="nil"/>
                    <w:tr2bl w:val="nil"/>
                  </w:tcBorders>
                  <w:vAlign w:val="center"/>
                </w:tcPr>
                <w:p w14:paraId="6D6F879A">
                  <w:pPr>
                    <w:pStyle w:val="62"/>
                    <w:rPr>
                      <w:b/>
                      <w:bCs/>
                      <w:color w:val="auto"/>
                      <w:szCs w:val="21"/>
                      <w:u w:val="single"/>
                    </w:rPr>
                  </w:pPr>
                  <w:r>
                    <w:rPr>
                      <w:b/>
                      <w:bCs/>
                      <w:color w:val="auto"/>
                      <w:szCs w:val="21"/>
                      <w:u w:val="single"/>
                    </w:rPr>
                    <w:t>名称</w:t>
                  </w:r>
                </w:p>
              </w:tc>
              <w:tc>
                <w:tcPr>
                  <w:tcW w:w="4485" w:type="dxa"/>
                  <w:tcBorders>
                    <w:tl2br w:val="nil"/>
                    <w:tr2bl w:val="nil"/>
                  </w:tcBorders>
                  <w:vAlign w:val="center"/>
                </w:tcPr>
                <w:p w14:paraId="6AB218A0">
                  <w:pPr>
                    <w:pStyle w:val="62"/>
                    <w:rPr>
                      <w:b/>
                      <w:bCs/>
                      <w:color w:val="auto"/>
                      <w:szCs w:val="21"/>
                      <w:u w:val="single"/>
                    </w:rPr>
                  </w:pPr>
                  <w:r>
                    <w:rPr>
                      <w:b/>
                      <w:bCs/>
                      <w:color w:val="auto"/>
                      <w:szCs w:val="21"/>
                      <w:u w:val="single"/>
                    </w:rPr>
                    <w:t>建设内容及规模</w:t>
                  </w:r>
                </w:p>
              </w:tc>
              <w:tc>
                <w:tcPr>
                  <w:tcW w:w="1176" w:type="dxa"/>
                  <w:tcBorders>
                    <w:tl2br w:val="nil"/>
                    <w:tr2bl w:val="nil"/>
                  </w:tcBorders>
                  <w:vAlign w:val="center"/>
                </w:tcPr>
                <w:p w14:paraId="4D67B1BA">
                  <w:pPr>
                    <w:pStyle w:val="62"/>
                    <w:rPr>
                      <w:b/>
                      <w:bCs/>
                      <w:color w:val="auto"/>
                      <w:szCs w:val="21"/>
                      <w:u w:val="single"/>
                    </w:rPr>
                  </w:pPr>
                  <w:r>
                    <w:rPr>
                      <w:b/>
                      <w:bCs/>
                      <w:color w:val="auto"/>
                      <w:szCs w:val="21"/>
                      <w:u w:val="single"/>
                    </w:rPr>
                    <w:t>备注</w:t>
                  </w:r>
                </w:p>
              </w:tc>
            </w:tr>
            <w:tr w14:paraId="38D5B1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26" w:type="dxa"/>
                  <w:vMerge w:val="restart"/>
                  <w:tcBorders>
                    <w:tl2br w:val="nil"/>
                    <w:tr2bl w:val="nil"/>
                  </w:tcBorders>
                  <w:vAlign w:val="center"/>
                </w:tcPr>
                <w:p w14:paraId="696045B3">
                  <w:pPr>
                    <w:pStyle w:val="62"/>
                    <w:rPr>
                      <w:color w:val="auto"/>
                      <w:szCs w:val="21"/>
                      <w:u w:val="single"/>
                    </w:rPr>
                  </w:pPr>
                  <w:r>
                    <w:rPr>
                      <w:color w:val="auto"/>
                      <w:szCs w:val="21"/>
                      <w:u w:val="single"/>
                    </w:rPr>
                    <w:t>主体工程</w:t>
                  </w:r>
                </w:p>
              </w:tc>
              <w:tc>
                <w:tcPr>
                  <w:tcW w:w="1036" w:type="dxa"/>
                  <w:vMerge w:val="restart"/>
                  <w:tcBorders>
                    <w:tl2br w:val="nil"/>
                    <w:tr2bl w:val="nil"/>
                  </w:tcBorders>
                  <w:vAlign w:val="center"/>
                </w:tcPr>
                <w:p w14:paraId="2D5ED59F">
                  <w:pPr>
                    <w:pStyle w:val="62"/>
                    <w:rPr>
                      <w:color w:val="auto"/>
                      <w:szCs w:val="21"/>
                      <w:u w:val="single"/>
                    </w:rPr>
                  </w:pPr>
                  <w:r>
                    <w:rPr>
                      <w:color w:val="auto"/>
                      <w:szCs w:val="21"/>
                      <w:u w:val="single"/>
                    </w:rPr>
                    <w:t>50亩水基食源地</w:t>
                  </w:r>
                </w:p>
              </w:tc>
              <w:tc>
                <w:tcPr>
                  <w:tcW w:w="4485" w:type="dxa"/>
                  <w:tcBorders>
                    <w:tl2br w:val="nil"/>
                    <w:tr2bl w:val="nil"/>
                  </w:tcBorders>
                  <w:vAlign w:val="center"/>
                </w:tcPr>
                <w:p w14:paraId="2A35F653">
                  <w:pPr>
                    <w:pStyle w:val="62"/>
                    <w:wordWrap w:val="0"/>
                    <w:rPr>
                      <w:color w:val="auto"/>
                      <w:kern w:val="2"/>
                      <w:szCs w:val="21"/>
                      <w:u w:val="single"/>
                    </w:rPr>
                  </w:pPr>
                  <w:r>
                    <w:rPr>
                      <w:rFonts w:hint="eastAsia"/>
                      <w:color w:val="auto"/>
                      <w:kern w:val="2"/>
                      <w:szCs w:val="21"/>
                      <w:u w:val="single"/>
                      <w:lang w:val="en-US" w:eastAsia="zh-CN"/>
                    </w:rPr>
                    <w:t>马口鱼养殖区域：</w:t>
                  </w:r>
                  <w:r>
                    <w:rPr>
                      <w:rFonts w:hint="eastAsia"/>
                      <w:color w:val="auto"/>
                      <w:kern w:val="2"/>
                      <w:szCs w:val="21"/>
                      <w:u w:val="single"/>
                    </w:rPr>
                    <w:t>西北区域约10亩范围，</w:t>
                  </w:r>
                  <w:r>
                    <w:rPr>
                      <w:color w:val="auto"/>
                      <w:kern w:val="2"/>
                      <w:szCs w:val="21"/>
                      <w:u w:val="single"/>
                    </w:rPr>
                    <w:t>建设2个标准单元的圈养系统，</w:t>
                  </w:r>
                  <w:r>
                    <w:rPr>
                      <w:rFonts w:hint="eastAsia"/>
                      <w:color w:val="auto"/>
                      <w:kern w:val="2"/>
                      <w:szCs w:val="21"/>
                      <w:u w:val="single"/>
                    </w:rPr>
                    <w:t>共设</w:t>
                  </w:r>
                  <w:r>
                    <w:rPr>
                      <w:color w:val="auto"/>
                      <w:kern w:val="2"/>
                      <w:szCs w:val="21"/>
                      <w:u w:val="single"/>
                    </w:rPr>
                    <w:t>80个（高4m，直径6m）</w:t>
                  </w:r>
                  <w:r>
                    <w:rPr>
                      <w:rFonts w:hint="eastAsia"/>
                      <w:color w:val="auto"/>
                      <w:kern w:val="2"/>
                      <w:szCs w:val="21"/>
                      <w:u w:val="single"/>
                    </w:rPr>
                    <w:t>PE圈养桶，内设固定式防逃网和活动式捕捞网隔，并配备</w:t>
                  </w:r>
                  <w:r>
                    <w:rPr>
                      <w:color w:val="auto"/>
                      <w:szCs w:val="21"/>
                      <w:u w:val="single"/>
                    </w:rPr>
                    <w:t>增氧系统</w:t>
                  </w:r>
                  <w:r>
                    <w:rPr>
                      <w:rFonts w:hint="eastAsia"/>
                      <w:color w:val="auto"/>
                      <w:szCs w:val="21"/>
                      <w:u w:val="single"/>
                    </w:rPr>
                    <w:t>，</w:t>
                  </w:r>
                  <w:r>
                    <w:rPr>
                      <w:color w:val="auto"/>
                      <w:kern w:val="2"/>
                      <w:szCs w:val="21"/>
                      <w:u w:val="single"/>
                    </w:rPr>
                    <w:t>用于养殖马口鱼</w:t>
                  </w:r>
                </w:p>
              </w:tc>
              <w:tc>
                <w:tcPr>
                  <w:tcW w:w="1176" w:type="dxa"/>
                  <w:vMerge w:val="restart"/>
                  <w:tcBorders>
                    <w:tl2br w:val="nil"/>
                    <w:tr2bl w:val="nil"/>
                  </w:tcBorders>
                  <w:vAlign w:val="center"/>
                </w:tcPr>
                <w:p w14:paraId="7337A584">
                  <w:pPr>
                    <w:jc w:val="center"/>
                    <w:rPr>
                      <w:color w:val="auto"/>
                      <w:szCs w:val="21"/>
                      <w:u w:val="single"/>
                    </w:rPr>
                  </w:pPr>
                  <w:r>
                    <w:rPr>
                      <w:color w:val="auto"/>
                      <w:szCs w:val="21"/>
                      <w:u w:val="single"/>
                    </w:rPr>
                    <w:t>利用原有鱼塘建设</w:t>
                  </w:r>
                </w:p>
              </w:tc>
            </w:tr>
            <w:tr w14:paraId="7CAAF9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1126" w:type="dxa"/>
                  <w:vMerge w:val="continue"/>
                  <w:tcBorders>
                    <w:tl2br w:val="nil"/>
                    <w:tr2bl w:val="nil"/>
                  </w:tcBorders>
                  <w:vAlign w:val="center"/>
                </w:tcPr>
                <w:p w14:paraId="78FC52FC">
                  <w:pPr>
                    <w:pStyle w:val="62"/>
                    <w:rPr>
                      <w:color w:val="auto"/>
                      <w:szCs w:val="21"/>
                      <w:u w:val="single"/>
                    </w:rPr>
                  </w:pPr>
                </w:p>
              </w:tc>
              <w:tc>
                <w:tcPr>
                  <w:tcW w:w="1036" w:type="dxa"/>
                  <w:vMerge w:val="continue"/>
                  <w:tcBorders>
                    <w:tl2br w:val="nil"/>
                    <w:tr2bl w:val="nil"/>
                  </w:tcBorders>
                  <w:vAlign w:val="center"/>
                </w:tcPr>
                <w:p w14:paraId="03087CBF">
                  <w:pPr>
                    <w:pStyle w:val="62"/>
                    <w:rPr>
                      <w:color w:val="auto"/>
                      <w:szCs w:val="21"/>
                      <w:u w:val="single"/>
                    </w:rPr>
                  </w:pPr>
                </w:p>
              </w:tc>
              <w:tc>
                <w:tcPr>
                  <w:tcW w:w="4485" w:type="dxa"/>
                  <w:tcBorders>
                    <w:tl2br w:val="nil"/>
                    <w:tr2bl w:val="nil"/>
                  </w:tcBorders>
                  <w:vAlign w:val="center"/>
                </w:tcPr>
                <w:p w14:paraId="77A64DC7">
                  <w:pPr>
                    <w:pStyle w:val="62"/>
                    <w:rPr>
                      <w:color w:val="auto"/>
                      <w:szCs w:val="21"/>
                      <w:u w:val="single"/>
                    </w:rPr>
                  </w:pPr>
                  <w:r>
                    <w:rPr>
                      <w:rFonts w:hint="eastAsia"/>
                      <w:color w:val="auto"/>
                      <w:szCs w:val="21"/>
                      <w:u w:val="single"/>
                      <w:lang w:val="en-US" w:eastAsia="zh-CN"/>
                    </w:rPr>
                    <w:t>观赏鱼养殖区域：</w:t>
                  </w:r>
                  <w:r>
                    <w:rPr>
                      <w:rFonts w:hint="eastAsia"/>
                      <w:color w:val="auto"/>
                      <w:szCs w:val="21"/>
                      <w:u w:val="single"/>
                    </w:rPr>
                    <w:t>自南侧道路架设连廊，连接马口鱼养殖区，连廊两侧</w:t>
                  </w:r>
                  <w:r>
                    <w:rPr>
                      <w:color w:val="auto"/>
                      <w:szCs w:val="21"/>
                      <w:u w:val="single"/>
                    </w:rPr>
                    <w:t>配置12个</w:t>
                  </w:r>
                  <w:r>
                    <w:rPr>
                      <w:rFonts w:hint="eastAsia"/>
                      <w:color w:val="auto"/>
                      <w:szCs w:val="21"/>
                      <w:u w:val="single"/>
                    </w:rPr>
                    <w:t>养殖桶</w:t>
                  </w:r>
                  <w:r>
                    <w:rPr>
                      <w:color w:val="auto"/>
                      <w:kern w:val="2"/>
                      <w:szCs w:val="21"/>
                      <w:u w:val="single"/>
                    </w:rPr>
                    <w:t>（高4m，直径</w:t>
                  </w:r>
                  <w:r>
                    <w:rPr>
                      <w:rFonts w:hint="eastAsia"/>
                      <w:color w:val="auto"/>
                      <w:kern w:val="2"/>
                      <w:szCs w:val="21"/>
                      <w:u w:val="single"/>
                    </w:rPr>
                    <w:t>3</w:t>
                  </w:r>
                  <w:r>
                    <w:rPr>
                      <w:color w:val="auto"/>
                      <w:kern w:val="2"/>
                      <w:szCs w:val="21"/>
                      <w:u w:val="single"/>
                    </w:rPr>
                    <w:t>m）</w:t>
                  </w:r>
                  <w:r>
                    <w:rPr>
                      <w:rFonts w:hint="eastAsia"/>
                      <w:color w:val="auto"/>
                      <w:kern w:val="2"/>
                      <w:szCs w:val="21"/>
                      <w:u w:val="single"/>
                    </w:rPr>
                    <w:t>，内设固定式防逃网和活动式捕捞网隔，并配备</w:t>
                  </w:r>
                  <w:r>
                    <w:rPr>
                      <w:color w:val="auto"/>
                      <w:szCs w:val="21"/>
                      <w:u w:val="single"/>
                    </w:rPr>
                    <w:t>增氧系统</w:t>
                  </w:r>
                  <w:r>
                    <w:rPr>
                      <w:rFonts w:hint="eastAsia"/>
                      <w:color w:val="auto"/>
                      <w:szCs w:val="21"/>
                      <w:u w:val="single"/>
                    </w:rPr>
                    <w:t>，</w:t>
                  </w:r>
                  <w:r>
                    <w:rPr>
                      <w:color w:val="auto"/>
                      <w:szCs w:val="21"/>
                      <w:u w:val="single"/>
                    </w:rPr>
                    <w:t>用于养殖观赏鱼</w:t>
                  </w:r>
                </w:p>
              </w:tc>
              <w:tc>
                <w:tcPr>
                  <w:tcW w:w="1176" w:type="dxa"/>
                  <w:vMerge w:val="continue"/>
                  <w:tcBorders>
                    <w:tl2br w:val="nil"/>
                    <w:tr2bl w:val="nil"/>
                  </w:tcBorders>
                  <w:vAlign w:val="center"/>
                </w:tcPr>
                <w:p w14:paraId="4202B372">
                  <w:pPr>
                    <w:jc w:val="center"/>
                    <w:rPr>
                      <w:color w:val="auto"/>
                      <w:szCs w:val="21"/>
                      <w:u w:val="single"/>
                    </w:rPr>
                  </w:pPr>
                </w:p>
              </w:tc>
            </w:tr>
            <w:tr w14:paraId="166EA5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5" w:hRule="atLeast"/>
                <w:jc w:val="center"/>
              </w:trPr>
              <w:tc>
                <w:tcPr>
                  <w:tcW w:w="1126" w:type="dxa"/>
                  <w:vMerge w:val="continue"/>
                  <w:tcBorders>
                    <w:tl2br w:val="nil"/>
                    <w:tr2bl w:val="nil"/>
                  </w:tcBorders>
                  <w:vAlign w:val="center"/>
                </w:tcPr>
                <w:p w14:paraId="462EA7DA">
                  <w:pPr>
                    <w:pStyle w:val="62"/>
                    <w:rPr>
                      <w:color w:val="auto"/>
                      <w:szCs w:val="21"/>
                      <w:u w:val="single"/>
                    </w:rPr>
                  </w:pPr>
                </w:p>
              </w:tc>
              <w:tc>
                <w:tcPr>
                  <w:tcW w:w="1036" w:type="dxa"/>
                  <w:vMerge w:val="continue"/>
                  <w:tcBorders>
                    <w:tl2br w:val="nil"/>
                    <w:tr2bl w:val="nil"/>
                  </w:tcBorders>
                  <w:vAlign w:val="center"/>
                </w:tcPr>
                <w:p w14:paraId="06EA4252">
                  <w:pPr>
                    <w:pStyle w:val="62"/>
                    <w:rPr>
                      <w:color w:val="auto"/>
                      <w:szCs w:val="21"/>
                      <w:u w:val="single"/>
                    </w:rPr>
                  </w:pPr>
                </w:p>
              </w:tc>
              <w:tc>
                <w:tcPr>
                  <w:tcW w:w="4485" w:type="dxa"/>
                  <w:tcBorders>
                    <w:tl2br w:val="nil"/>
                    <w:tr2bl w:val="nil"/>
                  </w:tcBorders>
                  <w:vAlign w:val="center"/>
                </w:tcPr>
                <w:p w14:paraId="63FEFB62">
                  <w:pPr>
                    <w:pStyle w:val="62"/>
                    <w:rPr>
                      <w:color w:val="auto"/>
                      <w:szCs w:val="21"/>
                      <w:u w:val="single"/>
                    </w:rPr>
                  </w:pPr>
                  <w:r>
                    <w:rPr>
                      <w:rFonts w:hint="eastAsia"/>
                      <w:color w:val="auto"/>
                      <w:szCs w:val="21"/>
                      <w:u w:val="single"/>
                      <w:lang w:val="en-US" w:eastAsia="zh-CN"/>
                    </w:rPr>
                    <w:t>水质净化区域：</w:t>
                  </w:r>
                  <w:r>
                    <w:rPr>
                      <w:rFonts w:hint="eastAsia"/>
                      <w:color w:val="auto"/>
                      <w:szCs w:val="21"/>
                      <w:u w:val="single"/>
                    </w:rPr>
                    <w:t>南侧区域建设约20亩人工湿地（水位24.0m），人工湿地主要由三部分组成：植物（苦草、狐尾藻等沉水植物、水葫芦等浮水植物）、生物刷、火山石，可强化水体的自净能力</w:t>
                  </w:r>
                </w:p>
              </w:tc>
              <w:tc>
                <w:tcPr>
                  <w:tcW w:w="1176" w:type="dxa"/>
                  <w:vMerge w:val="continue"/>
                  <w:tcBorders>
                    <w:tl2br w:val="nil"/>
                    <w:tr2bl w:val="nil"/>
                  </w:tcBorders>
                  <w:vAlign w:val="center"/>
                </w:tcPr>
                <w:p w14:paraId="47FED643">
                  <w:pPr>
                    <w:jc w:val="center"/>
                    <w:rPr>
                      <w:color w:val="auto"/>
                      <w:szCs w:val="21"/>
                      <w:u w:val="single"/>
                    </w:rPr>
                  </w:pPr>
                </w:p>
              </w:tc>
            </w:tr>
            <w:tr w14:paraId="628698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1126" w:type="dxa"/>
                  <w:vMerge w:val="restart"/>
                  <w:tcBorders>
                    <w:tl2br w:val="nil"/>
                    <w:tr2bl w:val="nil"/>
                  </w:tcBorders>
                  <w:vAlign w:val="center"/>
                </w:tcPr>
                <w:p w14:paraId="2DC66B15">
                  <w:pPr>
                    <w:pStyle w:val="62"/>
                    <w:rPr>
                      <w:color w:val="auto"/>
                      <w:szCs w:val="21"/>
                      <w:u w:val="single"/>
                    </w:rPr>
                  </w:pPr>
                  <w:r>
                    <w:rPr>
                      <w:color w:val="auto"/>
                      <w:szCs w:val="21"/>
                      <w:u w:val="single"/>
                    </w:rPr>
                    <w:t>辅助工程</w:t>
                  </w:r>
                </w:p>
              </w:tc>
              <w:tc>
                <w:tcPr>
                  <w:tcW w:w="1036" w:type="dxa"/>
                  <w:tcBorders>
                    <w:tl2br w:val="nil"/>
                    <w:tr2bl w:val="nil"/>
                  </w:tcBorders>
                  <w:vAlign w:val="center"/>
                </w:tcPr>
                <w:p w14:paraId="3006CE82">
                  <w:pPr>
                    <w:widowControl/>
                    <w:jc w:val="center"/>
                    <w:textAlignment w:val="center"/>
                    <w:rPr>
                      <w:color w:val="auto"/>
                      <w:szCs w:val="21"/>
                      <w:u w:val="single"/>
                    </w:rPr>
                  </w:pPr>
                  <w:r>
                    <w:rPr>
                      <w:color w:val="auto"/>
                      <w:szCs w:val="21"/>
                      <w:u w:val="single"/>
                    </w:rPr>
                    <w:t>食源仓库</w:t>
                  </w:r>
                </w:p>
              </w:tc>
              <w:tc>
                <w:tcPr>
                  <w:tcW w:w="4485" w:type="dxa"/>
                  <w:tcBorders>
                    <w:tl2br w:val="nil"/>
                    <w:tr2bl w:val="nil"/>
                  </w:tcBorders>
                  <w:vAlign w:val="center"/>
                </w:tcPr>
                <w:p w14:paraId="102D2ED1">
                  <w:pPr>
                    <w:pStyle w:val="62"/>
                    <w:rPr>
                      <w:color w:val="auto"/>
                      <w:szCs w:val="21"/>
                      <w:u w:val="single"/>
                    </w:rPr>
                  </w:pPr>
                  <w:r>
                    <w:rPr>
                      <w:color w:val="auto"/>
                      <w:szCs w:val="21"/>
                      <w:u w:val="single"/>
                    </w:rPr>
                    <w:t>占地面积300</w:t>
                  </w:r>
                  <w:r>
                    <w:rPr>
                      <w:rFonts w:hint="eastAsia"/>
                      <w:color w:val="auto"/>
                      <w:szCs w:val="21"/>
                      <w:u w:val="single"/>
                    </w:rPr>
                    <w:t>m</w:t>
                  </w:r>
                  <w:r>
                    <w:rPr>
                      <w:rFonts w:hint="eastAsia"/>
                      <w:color w:val="auto"/>
                      <w:szCs w:val="21"/>
                      <w:u w:val="single"/>
                      <w:vertAlign w:val="superscript"/>
                    </w:rPr>
                    <w:t>2</w:t>
                  </w:r>
                  <w:r>
                    <w:rPr>
                      <w:rFonts w:hint="eastAsia"/>
                      <w:color w:val="auto"/>
                      <w:szCs w:val="21"/>
                      <w:u w:val="single"/>
                    </w:rPr>
                    <w:t>，彩钢结构</w:t>
                  </w:r>
                </w:p>
              </w:tc>
              <w:tc>
                <w:tcPr>
                  <w:tcW w:w="1176" w:type="dxa"/>
                  <w:tcBorders>
                    <w:tl2br w:val="nil"/>
                    <w:tr2bl w:val="nil"/>
                  </w:tcBorders>
                  <w:vAlign w:val="center"/>
                </w:tcPr>
                <w:p w14:paraId="3069B662">
                  <w:pPr>
                    <w:jc w:val="center"/>
                    <w:rPr>
                      <w:color w:val="auto"/>
                      <w:szCs w:val="21"/>
                      <w:u w:val="single"/>
                    </w:rPr>
                  </w:pPr>
                  <w:r>
                    <w:rPr>
                      <w:color w:val="auto"/>
                      <w:szCs w:val="21"/>
                      <w:u w:val="single"/>
                    </w:rPr>
                    <w:t>原有建筑</w:t>
                  </w:r>
                  <w:r>
                    <w:rPr>
                      <w:rFonts w:hint="eastAsia"/>
                      <w:color w:val="auto"/>
                      <w:szCs w:val="21"/>
                      <w:u w:val="single"/>
                    </w:rPr>
                    <w:t>（位于一荷三虾基地）</w:t>
                  </w:r>
                </w:p>
              </w:tc>
            </w:tr>
            <w:tr w14:paraId="087EBA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1126" w:type="dxa"/>
                  <w:vMerge w:val="continue"/>
                  <w:tcBorders>
                    <w:tl2br w:val="nil"/>
                    <w:tr2bl w:val="nil"/>
                  </w:tcBorders>
                  <w:vAlign w:val="center"/>
                </w:tcPr>
                <w:p w14:paraId="609F0512">
                  <w:pPr>
                    <w:pStyle w:val="62"/>
                    <w:rPr>
                      <w:color w:val="auto"/>
                      <w:szCs w:val="21"/>
                      <w:u w:val="single"/>
                    </w:rPr>
                  </w:pPr>
                </w:p>
              </w:tc>
              <w:tc>
                <w:tcPr>
                  <w:tcW w:w="1036" w:type="dxa"/>
                  <w:tcBorders>
                    <w:tl2br w:val="nil"/>
                    <w:tr2bl w:val="nil"/>
                  </w:tcBorders>
                  <w:vAlign w:val="center"/>
                </w:tcPr>
                <w:p w14:paraId="4F925F07">
                  <w:pPr>
                    <w:widowControl/>
                    <w:jc w:val="center"/>
                    <w:textAlignment w:val="center"/>
                    <w:rPr>
                      <w:color w:val="auto"/>
                      <w:szCs w:val="21"/>
                      <w:u w:val="single"/>
                    </w:rPr>
                  </w:pPr>
                  <w:r>
                    <w:rPr>
                      <w:color w:val="auto"/>
                      <w:szCs w:val="21"/>
                      <w:u w:val="single"/>
                    </w:rPr>
                    <w:t>管理房</w:t>
                  </w:r>
                </w:p>
              </w:tc>
              <w:tc>
                <w:tcPr>
                  <w:tcW w:w="4485" w:type="dxa"/>
                  <w:tcBorders>
                    <w:tl2br w:val="nil"/>
                    <w:tr2bl w:val="nil"/>
                  </w:tcBorders>
                  <w:vAlign w:val="center"/>
                </w:tcPr>
                <w:p w14:paraId="3D546111">
                  <w:pPr>
                    <w:pStyle w:val="62"/>
                    <w:rPr>
                      <w:color w:val="auto"/>
                      <w:szCs w:val="21"/>
                      <w:u w:val="single"/>
                    </w:rPr>
                  </w:pPr>
                  <w:r>
                    <w:rPr>
                      <w:color w:val="auto"/>
                      <w:szCs w:val="21"/>
                      <w:u w:val="single"/>
                    </w:rPr>
                    <w:t>占地面积130</w:t>
                  </w:r>
                  <w:r>
                    <w:rPr>
                      <w:rFonts w:hint="eastAsia"/>
                      <w:color w:val="auto"/>
                      <w:szCs w:val="21"/>
                      <w:u w:val="single"/>
                    </w:rPr>
                    <w:t>m</w:t>
                  </w:r>
                  <w:r>
                    <w:rPr>
                      <w:rFonts w:hint="eastAsia"/>
                      <w:color w:val="auto"/>
                      <w:szCs w:val="21"/>
                      <w:u w:val="single"/>
                      <w:vertAlign w:val="superscript"/>
                    </w:rPr>
                    <w:t>2</w:t>
                  </w:r>
                  <w:r>
                    <w:rPr>
                      <w:rFonts w:hint="eastAsia"/>
                      <w:color w:val="auto"/>
                      <w:szCs w:val="21"/>
                      <w:u w:val="single"/>
                    </w:rPr>
                    <w:t>，彩钢结构</w:t>
                  </w:r>
                </w:p>
              </w:tc>
              <w:tc>
                <w:tcPr>
                  <w:tcW w:w="1176" w:type="dxa"/>
                  <w:tcBorders>
                    <w:tl2br w:val="nil"/>
                    <w:tr2bl w:val="nil"/>
                  </w:tcBorders>
                  <w:vAlign w:val="center"/>
                </w:tcPr>
                <w:p w14:paraId="691C94A0">
                  <w:pPr>
                    <w:jc w:val="center"/>
                    <w:rPr>
                      <w:color w:val="auto"/>
                      <w:szCs w:val="21"/>
                      <w:u w:val="single"/>
                    </w:rPr>
                  </w:pPr>
                  <w:r>
                    <w:rPr>
                      <w:color w:val="auto"/>
                      <w:szCs w:val="21"/>
                      <w:u w:val="single"/>
                    </w:rPr>
                    <w:t>原有建筑</w:t>
                  </w:r>
                  <w:r>
                    <w:rPr>
                      <w:rFonts w:hint="eastAsia"/>
                      <w:color w:val="auto"/>
                      <w:szCs w:val="21"/>
                      <w:u w:val="single"/>
                    </w:rPr>
                    <w:t>（位于一荷三虾基地）</w:t>
                  </w:r>
                </w:p>
              </w:tc>
            </w:tr>
            <w:tr w14:paraId="474DE2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1126" w:type="dxa"/>
                  <w:vMerge w:val="continue"/>
                  <w:tcBorders>
                    <w:tl2br w:val="nil"/>
                    <w:tr2bl w:val="nil"/>
                  </w:tcBorders>
                  <w:vAlign w:val="center"/>
                </w:tcPr>
                <w:p w14:paraId="00D71403">
                  <w:pPr>
                    <w:pStyle w:val="62"/>
                    <w:rPr>
                      <w:color w:val="auto"/>
                      <w:szCs w:val="21"/>
                      <w:u w:val="single"/>
                    </w:rPr>
                  </w:pPr>
                </w:p>
              </w:tc>
              <w:tc>
                <w:tcPr>
                  <w:tcW w:w="1036" w:type="dxa"/>
                  <w:tcBorders>
                    <w:tl2br w:val="nil"/>
                    <w:tr2bl w:val="nil"/>
                  </w:tcBorders>
                  <w:vAlign w:val="center"/>
                </w:tcPr>
                <w:p w14:paraId="562763BF">
                  <w:pPr>
                    <w:widowControl/>
                    <w:jc w:val="center"/>
                    <w:textAlignment w:val="center"/>
                    <w:rPr>
                      <w:color w:val="auto"/>
                      <w:kern w:val="0"/>
                      <w:szCs w:val="21"/>
                      <w:u w:val="single"/>
                      <w:lang w:bidi="ar"/>
                    </w:rPr>
                  </w:pPr>
                  <w:r>
                    <w:rPr>
                      <w:color w:val="auto"/>
                      <w:szCs w:val="21"/>
                      <w:u w:val="single"/>
                    </w:rPr>
                    <w:t>道路</w:t>
                  </w:r>
                </w:p>
              </w:tc>
              <w:tc>
                <w:tcPr>
                  <w:tcW w:w="4485" w:type="dxa"/>
                  <w:tcBorders>
                    <w:tl2br w:val="nil"/>
                    <w:tr2bl w:val="nil"/>
                  </w:tcBorders>
                  <w:vAlign w:val="center"/>
                </w:tcPr>
                <w:p w14:paraId="402A7A1E">
                  <w:pPr>
                    <w:pStyle w:val="62"/>
                    <w:rPr>
                      <w:color w:val="auto"/>
                      <w:szCs w:val="21"/>
                      <w:u w:val="single"/>
                      <w:lang w:bidi="ar"/>
                    </w:rPr>
                  </w:pPr>
                  <w:r>
                    <w:rPr>
                      <w:rFonts w:hint="eastAsia"/>
                      <w:color w:val="auto"/>
                      <w:szCs w:val="21"/>
                      <w:u w:val="single"/>
                    </w:rPr>
                    <w:t>建设</w:t>
                  </w:r>
                  <w:r>
                    <w:rPr>
                      <w:color w:val="auto"/>
                      <w:szCs w:val="21"/>
                      <w:u w:val="single"/>
                    </w:rPr>
                    <w:t>4.0米宽长180m水泥路，20cm厚C30砼</w:t>
                  </w:r>
                </w:p>
              </w:tc>
              <w:tc>
                <w:tcPr>
                  <w:tcW w:w="1176" w:type="dxa"/>
                  <w:tcBorders>
                    <w:tl2br w:val="nil"/>
                    <w:tr2bl w:val="nil"/>
                  </w:tcBorders>
                  <w:vAlign w:val="center"/>
                </w:tcPr>
                <w:p w14:paraId="389BAD23">
                  <w:pPr>
                    <w:jc w:val="center"/>
                    <w:rPr>
                      <w:color w:val="auto"/>
                      <w:szCs w:val="21"/>
                      <w:u w:val="single"/>
                    </w:rPr>
                  </w:pPr>
                  <w:r>
                    <w:rPr>
                      <w:rFonts w:hint="eastAsia"/>
                      <w:color w:val="auto"/>
                      <w:szCs w:val="21"/>
                      <w:u w:val="single"/>
                    </w:rPr>
                    <w:t>硬化原有道路</w:t>
                  </w:r>
                </w:p>
              </w:tc>
            </w:tr>
            <w:tr w14:paraId="608949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1126" w:type="dxa"/>
                  <w:vMerge w:val="continue"/>
                  <w:tcBorders>
                    <w:tl2br w:val="nil"/>
                    <w:tr2bl w:val="nil"/>
                  </w:tcBorders>
                  <w:vAlign w:val="center"/>
                </w:tcPr>
                <w:p w14:paraId="11EB60C6">
                  <w:pPr>
                    <w:pStyle w:val="62"/>
                    <w:rPr>
                      <w:color w:val="auto"/>
                      <w:szCs w:val="21"/>
                      <w:u w:val="single"/>
                    </w:rPr>
                  </w:pPr>
                </w:p>
              </w:tc>
              <w:tc>
                <w:tcPr>
                  <w:tcW w:w="1036" w:type="dxa"/>
                  <w:tcBorders>
                    <w:tl2br w:val="nil"/>
                    <w:tr2bl w:val="nil"/>
                  </w:tcBorders>
                  <w:vAlign w:val="center"/>
                </w:tcPr>
                <w:p w14:paraId="0DEC3FC9">
                  <w:pPr>
                    <w:widowControl/>
                    <w:jc w:val="center"/>
                    <w:textAlignment w:val="center"/>
                    <w:rPr>
                      <w:color w:val="auto"/>
                      <w:kern w:val="0"/>
                      <w:szCs w:val="21"/>
                      <w:u w:val="single"/>
                      <w:lang w:bidi="ar"/>
                    </w:rPr>
                  </w:pPr>
                  <w:r>
                    <w:rPr>
                      <w:color w:val="auto"/>
                      <w:kern w:val="0"/>
                      <w:szCs w:val="21"/>
                      <w:u w:val="single"/>
                      <w:lang w:bidi="ar"/>
                    </w:rPr>
                    <w:t>清淤</w:t>
                  </w:r>
                </w:p>
              </w:tc>
              <w:tc>
                <w:tcPr>
                  <w:tcW w:w="4485" w:type="dxa"/>
                  <w:tcBorders>
                    <w:tl2br w:val="nil"/>
                    <w:tr2bl w:val="nil"/>
                  </w:tcBorders>
                  <w:vAlign w:val="center"/>
                </w:tcPr>
                <w:p w14:paraId="3B57A9CF">
                  <w:pPr>
                    <w:pStyle w:val="62"/>
                    <w:rPr>
                      <w:color w:val="auto"/>
                      <w:szCs w:val="21"/>
                      <w:u w:val="single"/>
                      <w:lang w:bidi="ar"/>
                    </w:rPr>
                  </w:pPr>
                  <w:r>
                    <w:rPr>
                      <w:color w:val="auto"/>
                      <w:szCs w:val="21"/>
                      <w:u w:val="single"/>
                      <w:lang w:bidi="ar"/>
                    </w:rPr>
                    <w:t>对养殖区域进行清淤，清淤深度达到满足养殖需求</w:t>
                  </w:r>
                  <w:r>
                    <w:rPr>
                      <w:rFonts w:hint="eastAsia"/>
                      <w:color w:val="auto"/>
                      <w:szCs w:val="21"/>
                      <w:u w:val="single"/>
                      <w:lang w:bidi="ar"/>
                    </w:rPr>
                    <w:t>，清淤工程</w:t>
                  </w:r>
                  <w:r>
                    <w:rPr>
                      <w:color w:val="auto"/>
                      <w:szCs w:val="21"/>
                      <w:u w:val="single"/>
                      <w:lang w:bidi="ar"/>
                    </w:rPr>
                    <w:t>8000</w:t>
                  </w:r>
                  <w:r>
                    <w:rPr>
                      <w:color w:val="auto"/>
                      <w:szCs w:val="21"/>
                      <w:u w:val="single"/>
                    </w:rPr>
                    <w:t>m³</w:t>
                  </w:r>
                </w:p>
              </w:tc>
              <w:tc>
                <w:tcPr>
                  <w:tcW w:w="1176" w:type="dxa"/>
                  <w:tcBorders>
                    <w:tl2br w:val="nil"/>
                    <w:tr2bl w:val="nil"/>
                  </w:tcBorders>
                  <w:vAlign w:val="center"/>
                </w:tcPr>
                <w:p w14:paraId="2D1A2EFC">
                  <w:pPr>
                    <w:jc w:val="center"/>
                    <w:rPr>
                      <w:color w:val="auto"/>
                      <w:szCs w:val="21"/>
                      <w:u w:val="single"/>
                    </w:rPr>
                  </w:pPr>
                  <w:r>
                    <w:rPr>
                      <w:rFonts w:hint="eastAsia"/>
                      <w:color w:val="auto"/>
                      <w:szCs w:val="21"/>
                      <w:u w:val="single"/>
                    </w:rPr>
                    <w:t>/</w:t>
                  </w:r>
                </w:p>
              </w:tc>
            </w:tr>
            <w:tr w14:paraId="2216E1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9" w:hRule="atLeast"/>
                <w:jc w:val="center"/>
              </w:trPr>
              <w:tc>
                <w:tcPr>
                  <w:tcW w:w="1126" w:type="dxa"/>
                  <w:vMerge w:val="continue"/>
                  <w:tcBorders>
                    <w:tl2br w:val="nil"/>
                    <w:tr2bl w:val="nil"/>
                  </w:tcBorders>
                  <w:vAlign w:val="center"/>
                </w:tcPr>
                <w:p w14:paraId="0DDB1F74">
                  <w:pPr>
                    <w:pStyle w:val="62"/>
                    <w:rPr>
                      <w:color w:val="auto"/>
                      <w:szCs w:val="21"/>
                      <w:u w:val="single"/>
                    </w:rPr>
                  </w:pPr>
                </w:p>
              </w:tc>
              <w:tc>
                <w:tcPr>
                  <w:tcW w:w="1036" w:type="dxa"/>
                  <w:tcBorders>
                    <w:tl2br w:val="nil"/>
                    <w:tr2bl w:val="nil"/>
                  </w:tcBorders>
                  <w:vAlign w:val="center"/>
                </w:tcPr>
                <w:p w14:paraId="2A5256D2">
                  <w:pPr>
                    <w:widowControl/>
                    <w:jc w:val="center"/>
                    <w:textAlignment w:val="center"/>
                    <w:rPr>
                      <w:color w:val="auto"/>
                      <w:kern w:val="0"/>
                      <w:szCs w:val="21"/>
                      <w:u w:val="single"/>
                      <w:lang w:bidi="ar"/>
                    </w:rPr>
                  </w:pPr>
                  <w:r>
                    <w:rPr>
                      <w:rFonts w:hint="eastAsia"/>
                      <w:color w:val="auto"/>
                      <w:kern w:val="0"/>
                      <w:szCs w:val="21"/>
                      <w:u w:val="single"/>
                      <w:lang w:bidi="ar"/>
                    </w:rPr>
                    <w:t>临时堆土场</w:t>
                  </w:r>
                </w:p>
              </w:tc>
              <w:tc>
                <w:tcPr>
                  <w:tcW w:w="4485" w:type="dxa"/>
                  <w:tcBorders>
                    <w:tl2br w:val="nil"/>
                    <w:tr2bl w:val="nil"/>
                  </w:tcBorders>
                  <w:vAlign w:val="center"/>
                </w:tcPr>
                <w:p w14:paraId="33D97A2D">
                  <w:pPr>
                    <w:pStyle w:val="78"/>
                    <w:widowControl w:val="0"/>
                    <w:jc w:val="center"/>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u w:val="single"/>
                      <w:lang w:eastAsia="zh-CN"/>
                    </w:rPr>
                    <w:t>剥离表土临时堆置在鱼塘附近的空闲地，占地面积约80m</w:t>
                  </w:r>
                  <w:r>
                    <w:rPr>
                      <w:rFonts w:ascii="Times New Roman" w:hAnsi="Times New Roman" w:eastAsia="宋体" w:cs="Times New Roman"/>
                      <w:color w:val="auto"/>
                      <w:sz w:val="21"/>
                      <w:szCs w:val="21"/>
                      <w:u w:val="single"/>
                      <w:vertAlign w:val="superscript"/>
                      <w:lang w:eastAsia="zh-CN"/>
                    </w:rPr>
                    <w:t>2</w:t>
                  </w:r>
                  <w:r>
                    <w:rPr>
                      <w:rFonts w:ascii="Times New Roman" w:hAnsi="Times New Roman" w:eastAsia="宋体" w:cs="Times New Roman"/>
                      <w:color w:val="auto"/>
                      <w:sz w:val="21"/>
                      <w:szCs w:val="21"/>
                      <w:u w:val="single"/>
                      <w:lang w:eastAsia="zh-CN"/>
                    </w:rPr>
                    <w:t>，最大堆高1.5m</w:t>
                  </w:r>
                </w:p>
              </w:tc>
              <w:tc>
                <w:tcPr>
                  <w:tcW w:w="1176" w:type="dxa"/>
                  <w:tcBorders>
                    <w:tl2br w:val="nil"/>
                    <w:tr2bl w:val="nil"/>
                  </w:tcBorders>
                  <w:vAlign w:val="center"/>
                </w:tcPr>
                <w:p w14:paraId="3930D98E">
                  <w:pPr>
                    <w:jc w:val="center"/>
                    <w:rPr>
                      <w:color w:val="auto"/>
                      <w:szCs w:val="21"/>
                    </w:rPr>
                  </w:pPr>
                  <w:r>
                    <w:rPr>
                      <w:color w:val="auto"/>
                      <w:szCs w:val="21"/>
                      <w:u w:val="single"/>
                    </w:rPr>
                    <w:t>新增</w:t>
                  </w:r>
                </w:p>
              </w:tc>
            </w:tr>
            <w:tr w14:paraId="2ED244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9" w:hRule="atLeast"/>
                <w:jc w:val="center"/>
              </w:trPr>
              <w:tc>
                <w:tcPr>
                  <w:tcW w:w="1126" w:type="dxa"/>
                  <w:vMerge w:val="restart"/>
                  <w:tcBorders>
                    <w:tl2br w:val="nil"/>
                    <w:tr2bl w:val="nil"/>
                  </w:tcBorders>
                  <w:vAlign w:val="center"/>
                </w:tcPr>
                <w:p w14:paraId="62E208D5">
                  <w:pPr>
                    <w:pStyle w:val="62"/>
                    <w:rPr>
                      <w:color w:val="auto"/>
                      <w:szCs w:val="21"/>
                      <w:u w:val="single"/>
                    </w:rPr>
                  </w:pPr>
                  <w:r>
                    <w:rPr>
                      <w:color w:val="auto"/>
                      <w:szCs w:val="21"/>
                      <w:u w:val="single"/>
                    </w:rPr>
                    <w:t>公用工程</w:t>
                  </w:r>
                </w:p>
              </w:tc>
              <w:tc>
                <w:tcPr>
                  <w:tcW w:w="1036" w:type="dxa"/>
                  <w:tcBorders>
                    <w:tl2br w:val="nil"/>
                    <w:tr2bl w:val="nil"/>
                  </w:tcBorders>
                  <w:vAlign w:val="center"/>
                </w:tcPr>
                <w:p w14:paraId="1479C187">
                  <w:pPr>
                    <w:pStyle w:val="62"/>
                    <w:rPr>
                      <w:color w:val="auto"/>
                      <w:szCs w:val="21"/>
                      <w:u w:val="single"/>
                    </w:rPr>
                  </w:pPr>
                  <w:r>
                    <w:rPr>
                      <w:color w:val="auto"/>
                      <w:szCs w:val="21"/>
                      <w:u w:val="single"/>
                    </w:rPr>
                    <w:t>供电</w:t>
                  </w:r>
                </w:p>
              </w:tc>
              <w:tc>
                <w:tcPr>
                  <w:tcW w:w="4485" w:type="dxa"/>
                  <w:tcBorders>
                    <w:tl2br w:val="nil"/>
                    <w:tr2bl w:val="nil"/>
                  </w:tcBorders>
                  <w:vAlign w:val="center"/>
                </w:tcPr>
                <w:p w14:paraId="1E020BF8">
                  <w:pPr>
                    <w:jc w:val="center"/>
                    <w:rPr>
                      <w:color w:val="auto"/>
                      <w:szCs w:val="21"/>
                      <w:u w:val="single"/>
                    </w:rPr>
                  </w:pPr>
                  <w:r>
                    <w:rPr>
                      <w:rFonts w:hint="eastAsia"/>
                      <w:color w:val="auto"/>
                      <w:szCs w:val="21"/>
                      <w:u w:val="single"/>
                    </w:rPr>
                    <w:t>电力</w:t>
                  </w:r>
                  <w:r>
                    <w:rPr>
                      <w:color w:val="auto"/>
                      <w:szCs w:val="21"/>
                      <w:u w:val="single"/>
                    </w:rPr>
                    <w:t>由市政电网引入</w:t>
                  </w:r>
                  <w:r>
                    <w:rPr>
                      <w:rFonts w:hint="eastAsia"/>
                      <w:color w:val="auto"/>
                      <w:szCs w:val="21"/>
                      <w:u w:val="single"/>
                    </w:rPr>
                    <w:t>，新建</w:t>
                  </w:r>
                  <w:r>
                    <w:rPr>
                      <w:color w:val="auto"/>
                      <w:szCs w:val="21"/>
                      <w:u w:val="single"/>
                    </w:rPr>
                    <w:t>发电平台，占地面积80</w:t>
                  </w:r>
                  <w:r>
                    <w:rPr>
                      <w:rFonts w:hint="eastAsia"/>
                      <w:color w:val="auto"/>
                      <w:szCs w:val="21"/>
                      <w:u w:val="single"/>
                    </w:rPr>
                    <w:t>m</w:t>
                  </w:r>
                  <w:r>
                    <w:rPr>
                      <w:rFonts w:hint="eastAsia"/>
                      <w:color w:val="auto"/>
                      <w:szCs w:val="21"/>
                      <w:u w:val="single"/>
                      <w:vertAlign w:val="superscript"/>
                    </w:rPr>
                    <w:t>2</w:t>
                  </w:r>
                </w:p>
              </w:tc>
              <w:tc>
                <w:tcPr>
                  <w:tcW w:w="1176" w:type="dxa"/>
                  <w:tcBorders>
                    <w:tl2br w:val="nil"/>
                    <w:tr2bl w:val="nil"/>
                  </w:tcBorders>
                  <w:vAlign w:val="center"/>
                </w:tcPr>
                <w:p w14:paraId="4F91FE36">
                  <w:pPr>
                    <w:jc w:val="center"/>
                    <w:rPr>
                      <w:color w:val="auto"/>
                      <w:szCs w:val="21"/>
                      <w:u w:val="single"/>
                    </w:rPr>
                  </w:pPr>
                  <w:r>
                    <w:rPr>
                      <w:color w:val="auto"/>
                      <w:szCs w:val="21"/>
                      <w:u w:val="single"/>
                    </w:rPr>
                    <w:t>/</w:t>
                  </w:r>
                </w:p>
              </w:tc>
            </w:tr>
            <w:tr w14:paraId="438737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26" w:type="dxa"/>
                  <w:vMerge w:val="continue"/>
                  <w:tcBorders>
                    <w:tl2br w:val="nil"/>
                    <w:tr2bl w:val="nil"/>
                  </w:tcBorders>
                  <w:vAlign w:val="center"/>
                </w:tcPr>
                <w:p w14:paraId="53A03E6A">
                  <w:pPr>
                    <w:pStyle w:val="62"/>
                    <w:rPr>
                      <w:color w:val="auto"/>
                      <w:szCs w:val="21"/>
                      <w:u w:val="single"/>
                    </w:rPr>
                  </w:pPr>
                </w:p>
              </w:tc>
              <w:tc>
                <w:tcPr>
                  <w:tcW w:w="1036" w:type="dxa"/>
                  <w:tcBorders>
                    <w:tl2br w:val="nil"/>
                    <w:tr2bl w:val="nil"/>
                  </w:tcBorders>
                  <w:vAlign w:val="center"/>
                </w:tcPr>
                <w:p w14:paraId="4587457E">
                  <w:pPr>
                    <w:pStyle w:val="62"/>
                    <w:rPr>
                      <w:color w:val="auto"/>
                      <w:szCs w:val="21"/>
                      <w:u w:val="single"/>
                    </w:rPr>
                  </w:pPr>
                  <w:r>
                    <w:rPr>
                      <w:rFonts w:hint="eastAsia"/>
                      <w:color w:val="auto"/>
                      <w:szCs w:val="21"/>
                      <w:u w:val="single"/>
                    </w:rPr>
                    <w:t>供水</w:t>
                  </w:r>
                </w:p>
              </w:tc>
              <w:tc>
                <w:tcPr>
                  <w:tcW w:w="4485" w:type="dxa"/>
                  <w:tcBorders>
                    <w:tl2br w:val="nil"/>
                    <w:tr2bl w:val="nil"/>
                  </w:tcBorders>
                  <w:vAlign w:val="center"/>
                </w:tcPr>
                <w:p w14:paraId="7181DC92">
                  <w:pPr>
                    <w:jc w:val="center"/>
                    <w:rPr>
                      <w:color w:val="auto"/>
                      <w:szCs w:val="21"/>
                      <w:u w:val="single"/>
                    </w:rPr>
                  </w:pPr>
                  <w:r>
                    <w:rPr>
                      <w:color w:val="auto"/>
                      <w:kern w:val="0"/>
                      <w:szCs w:val="21"/>
                      <w:u w:val="single"/>
                    </w:rPr>
                    <w:t>生活用水由乡镇供水管网引入项目区</w:t>
                  </w:r>
                  <w:r>
                    <w:rPr>
                      <w:rFonts w:hint="eastAsia"/>
                      <w:color w:val="auto"/>
                      <w:kern w:val="0"/>
                      <w:szCs w:val="21"/>
                      <w:u w:val="single"/>
                    </w:rPr>
                    <w:t>；</w:t>
                  </w:r>
                  <w:r>
                    <w:rPr>
                      <w:color w:val="auto"/>
                      <w:szCs w:val="21"/>
                      <w:u w:val="single"/>
                    </w:rPr>
                    <w:t>养殖用水由项目周边沟渠提供</w:t>
                  </w:r>
                </w:p>
              </w:tc>
              <w:tc>
                <w:tcPr>
                  <w:tcW w:w="1176" w:type="dxa"/>
                  <w:tcBorders>
                    <w:tl2br w:val="nil"/>
                    <w:tr2bl w:val="nil"/>
                  </w:tcBorders>
                  <w:vAlign w:val="center"/>
                </w:tcPr>
                <w:p w14:paraId="1DF7B92A">
                  <w:pPr>
                    <w:jc w:val="center"/>
                    <w:rPr>
                      <w:b/>
                      <w:bCs/>
                      <w:color w:val="auto"/>
                      <w:szCs w:val="21"/>
                      <w:u w:val="single"/>
                    </w:rPr>
                  </w:pPr>
                  <w:r>
                    <w:rPr>
                      <w:color w:val="auto"/>
                      <w:szCs w:val="21"/>
                      <w:u w:val="single"/>
                    </w:rPr>
                    <w:t>/</w:t>
                  </w:r>
                </w:p>
              </w:tc>
            </w:tr>
            <w:tr w14:paraId="3B48BE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04" w:hRule="atLeast"/>
                <w:jc w:val="center"/>
              </w:trPr>
              <w:tc>
                <w:tcPr>
                  <w:tcW w:w="1126" w:type="dxa"/>
                  <w:vMerge w:val="restart"/>
                  <w:tcBorders>
                    <w:tl2br w:val="nil"/>
                    <w:tr2bl w:val="nil"/>
                  </w:tcBorders>
                  <w:vAlign w:val="center"/>
                </w:tcPr>
                <w:p w14:paraId="35797DBA">
                  <w:pPr>
                    <w:pStyle w:val="62"/>
                    <w:rPr>
                      <w:color w:val="auto"/>
                      <w:szCs w:val="21"/>
                      <w:u w:val="single"/>
                    </w:rPr>
                  </w:pPr>
                  <w:r>
                    <w:rPr>
                      <w:color w:val="auto"/>
                      <w:szCs w:val="21"/>
                      <w:u w:val="single"/>
                    </w:rPr>
                    <w:t>环保工程</w:t>
                  </w:r>
                </w:p>
              </w:tc>
              <w:tc>
                <w:tcPr>
                  <w:tcW w:w="1036" w:type="dxa"/>
                  <w:tcBorders>
                    <w:tl2br w:val="nil"/>
                    <w:tr2bl w:val="nil"/>
                  </w:tcBorders>
                  <w:vAlign w:val="center"/>
                </w:tcPr>
                <w:p w14:paraId="10D9215D">
                  <w:pPr>
                    <w:jc w:val="center"/>
                    <w:rPr>
                      <w:color w:val="auto"/>
                      <w:szCs w:val="21"/>
                      <w:u w:val="single"/>
                    </w:rPr>
                  </w:pPr>
                  <w:r>
                    <w:rPr>
                      <w:color w:val="auto"/>
                      <w:szCs w:val="21"/>
                      <w:u w:val="single"/>
                    </w:rPr>
                    <w:t>废水</w:t>
                  </w:r>
                </w:p>
              </w:tc>
              <w:tc>
                <w:tcPr>
                  <w:tcW w:w="4485" w:type="dxa"/>
                  <w:tcBorders>
                    <w:tl2br w:val="nil"/>
                    <w:tr2bl w:val="nil"/>
                  </w:tcBorders>
                  <w:vAlign w:val="center"/>
                </w:tcPr>
                <w:p w14:paraId="74E1A9A0">
                  <w:pPr>
                    <w:wordWrap w:val="0"/>
                    <w:jc w:val="center"/>
                    <w:rPr>
                      <w:color w:val="auto"/>
                      <w:szCs w:val="21"/>
                      <w:u w:val="single"/>
                    </w:rPr>
                  </w:pPr>
                  <w:r>
                    <w:rPr>
                      <w:color w:val="auto"/>
                      <w:szCs w:val="21"/>
                      <w:u w:val="single"/>
                    </w:rPr>
                    <w:t>①生活污水经过</w:t>
                  </w:r>
                  <w:r>
                    <w:rPr>
                      <w:rFonts w:hint="eastAsia"/>
                      <w:color w:val="auto"/>
                      <w:szCs w:val="21"/>
                      <w:u w:val="single"/>
                    </w:rPr>
                    <w:t>管理用房现有</w:t>
                  </w:r>
                  <w:r>
                    <w:rPr>
                      <w:color w:val="auto"/>
                      <w:szCs w:val="21"/>
                      <w:u w:val="single"/>
                    </w:rPr>
                    <w:t>化粪池处理后用于农田施肥，不外排；</w:t>
                  </w:r>
                </w:p>
                <w:p w14:paraId="10354BD9">
                  <w:pPr>
                    <w:wordWrap w:val="0"/>
                    <w:jc w:val="center"/>
                    <w:rPr>
                      <w:color w:val="auto"/>
                      <w:szCs w:val="21"/>
                      <w:u w:val="single"/>
                    </w:rPr>
                  </w:pPr>
                  <w:r>
                    <w:rPr>
                      <w:rFonts w:hint="eastAsia" w:ascii="宋体" w:hAnsi="宋体" w:eastAsia="宋体" w:cs="宋体"/>
                      <w:color w:val="0000FF"/>
                      <w:szCs w:val="21"/>
                      <w:u w:val="single"/>
                    </w:rPr>
                    <w:t>②</w:t>
                  </w:r>
                  <w:r>
                    <w:rPr>
                      <w:rFonts w:hint="eastAsia"/>
                      <w:color w:val="0000FF"/>
                      <w:szCs w:val="21"/>
                      <w:u w:val="single"/>
                    </w:rPr>
                    <w:t>马口鱼圈养桶底部前5分钟抽出的</w:t>
                  </w:r>
                  <w:r>
                    <w:rPr>
                      <w:color w:val="0000FF"/>
                      <w:szCs w:val="21"/>
                      <w:u w:val="single"/>
                    </w:rPr>
                    <w:t>养殖黑水</w:t>
                  </w:r>
                  <w:r>
                    <w:rPr>
                      <w:rFonts w:hint="eastAsia"/>
                      <w:color w:val="0000FF"/>
                      <w:szCs w:val="21"/>
                      <w:u w:val="single"/>
                    </w:rPr>
                    <w:t>经</w:t>
                  </w:r>
                  <w:r>
                    <w:rPr>
                      <w:color w:val="0000FF"/>
                      <w:szCs w:val="21"/>
                      <w:u w:val="single"/>
                    </w:rPr>
                    <w:t>尾水塔+人工湿地处理满足《渔业水质标准》（GB11607-89)</w:t>
                  </w:r>
                  <w:r>
                    <w:rPr>
                      <w:rFonts w:hint="eastAsia"/>
                      <w:color w:val="0000FF"/>
                      <w:szCs w:val="21"/>
                      <w:u w:val="single"/>
                    </w:rPr>
                    <w:t>限值要求</w:t>
                  </w:r>
                  <w:r>
                    <w:rPr>
                      <w:color w:val="0000FF"/>
                      <w:szCs w:val="21"/>
                      <w:u w:val="single"/>
                    </w:rPr>
                    <w:t>后回用</w:t>
                  </w:r>
                  <w:r>
                    <w:rPr>
                      <w:rFonts w:hint="eastAsia"/>
                      <w:color w:val="0000FF"/>
                      <w:szCs w:val="21"/>
                      <w:u w:val="single"/>
                    </w:rPr>
                    <w:t>（观赏鱼不产生养殖黑水）</w:t>
                  </w:r>
                  <w:r>
                    <w:rPr>
                      <w:color w:val="0000FF"/>
                      <w:szCs w:val="21"/>
                      <w:u w:val="single"/>
                    </w:rPr>
                    <w:t>。</w:t>
                  </w:r>
                  <w:r>
                    <w:rPr>
                      <w:rFonts w:hint="eastAsia"/>
                      <w:color w:val="0000FF"/>
                      <w:szCs w:val="21"/>
                      <w:u w:val="single"/>
                    </w:rPr>
                    <w:t>后续抽出的其他</w:t>
                  </w:r>
                  <w:r>
                    <w:rPr>
                      <w:color w:val="0000FF"/>
                      <w:szCs w:val="21"/>
                      <w:u w:val="single"/>
                    </w:rPr>
                    <w:t>养殖尾水</w:t>
                  </w:r>
                  <w:r>
                    <w:rPr>
                      <w:rFonts w:hint="eastAsia"/>
                      <w:color w:val="0000FF"/>
                      <w:szCs w:val="21"/>
                      <w:u w:val="single"/>
                    </w:rPr>
                    <w:t>（包括观赏鱼养殖桶全部养殖水）直接进入</w:t>
                  </w:r>
                  <w:r>
                    <w:rPr>
                      <w:color w:val="0000FF"/>
                      <w:szCs w:val="21"/>
                      <w:u w:val="single"/>
                    </w:rPr>
                    <w:t>人工湿地处理满足《渔业水质标准》（GB11607-89)</w:t>
                  </w:r>
                  <w:r>
                    <w:rPr>
                      <w:rFonts w:hint="eastAsia"/>
                      <w:color w:val="0000FF"/>
                      <w:szCs w:val="21"/>
                      <w:u w:val="single"/>
                    </w:rPr>
                    <w:t>限值要求</w:t>
                  </w:r>
                  <w:r>
                    <w:rPr>
                      <w:color w:val="0000FF"/>
                      <w:szCs w:val="21"/>
                      <w:u w:val="single"/>
                    </w:rPr>
                    <w:t>后回用</w:t>
                  </w:r>
                </w:p>
              </w:tc>
              <w:tc>
                <w:tcPr>
                  <w:tcW w:w="1176" w:type="dxa"/>
                  <w:tcBorders>
                    <w:tl2br w:val="nil"/>
                    <w:tr2bl w:val="nil"/>
                  </w:tcBorders>
                  <w:vAlign w:val="center"/>
                </w:tcPr>
                <w:p w14:paraId="67AB8CE3">
                  <w:pPr>
                    <w:jc w:val="center"/>
                    <w:rPr>
                      <w:color w:val="auto"/>
                      <w:szCs w:val="21"/>
                      <w:u w:val="single"/>
                    </w:rPr>
                  </w:pPr>
                  <w:r>
                    <w:rPr>
                      <w:rFonts w:hint="eastAsia"/>
                      <w:color w:val="auto"/>
                      <w:szCs w:val="21"/>
                      <w:u w:val="single"/>
                    </w:rPr>
                    <w:t>新建</w:t>
                  </w:r>
                </w:p>
              </w:tc>
            </w:tr>
            <w:tr w14:paraId="03E50B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1126" w:type="dxa"/>
                  <w:vMerge w:val="continue"/>
                  <w:tcBorders>
                    <w:tl2br w:val="nil"/>
                    <w:tr2bl w:val="nil"/>
                  </w:tcBorders>
                  <w:vAlign w:val="center"/>
                </w:tcPr>
                <w:p w14:paraId="70B2AD69">
                  <w:pPr>
                    <w:pStyle w:val="62"/>
                    <w:rPr>
                      <w:color w:val="auto"/>
                      <w:szCs w:val="21"/>
                      <w:u w:val="single"/>
                    </w:rPr>
                  </w:pPr>
                </w:p>
              </w:tc>
              <w:tc>
                <w:tcPr>
                  <w:tcW w:w="1036" w:type="dxa"/>
                  <w:tcBorders>
                    <w:tl2br w:val="nil"/>
                    <w:tr2bl w:val="nil"/>
                  </w:tcBorders>
                  <w:vAlign w:val="center"/>
                </w:tcPr>
                <w:p w14:paraId="11B3828B">
                  <w:pPr>
                    <w:jc w:val="center"/>
                    <w:rPr>
                      <w:color w:val="auto"/>
                      <w:szCs w:val="21"/>
                      <w:u w:val="single"/>
                    </w:rPr>
                  </w:pPr>
                  <w:r>
                    <w:rPr>
                      <w:color w:val="auto"/>
                      <w:szCs w:val="21"/>
                      <w:u w:val="single"/>
                    </w:rPr>
                    <w:t>废气</w:t>
                  </w:r>
                </w:p>
              </w:tc>
              <w:tc>
                <w:tcPr>
                  <w:tcW w:w="4485" w:type="dxa"/>
                  <w:tcBorders>
                    <w:tl2br w:val="nil"/>
                    <w:tr2bl w:val="nil"/>
                  </w:tcBorders>
                  <w:vAlign w:val="center"/>
                </w:tcPr>
                <w:p w14:paraId="2EA3C977">
                  <w:pPr>
                    <w:jc w:val="center"/>
                    <w:rPr>
                      <w:color w:val="auto"/>
                      <w:szCs w:val="21"/>
                      <w:u w:val="single"/>
                    </w:rPr>
                  </w:pPr>
                  <w:r>
                    <w:rPr>
                      <w:rFonts w:hint="eastAsia"/>
                      <w:color w:val="auto"/>
                      <w:szCs w:val="21"/>
                      <w:u w:val="single"/>
                    </w:rPr>
                    <w:t>养殖恶臭通过</w:t>
                  </w:r>
                  <w:r>
                    <w:rPr>
                      <w:color w:val="auto"/>
                      <w:szCs w:val="21"/>
                      <w:u w:val="single"/>
                    </w:rPr>
                    <w:t>喷洒除臭剂</w:t>
                  </w:r>
                  <w:r>
                    <w:rPr>
                      <w:rFonts w:hint="eastAsia"/>
                      <w:color w:val="auto"/>
                      <w:szCs w:val="21"/>
                      <w:u w:val="single"/>
                    </w:rPr>
                    <w:t>后无组织排放；柴油发电机废气通过管理用房烟道外排</w:t>
                  </w:r>
                </w:p>
              </w:tc>
              <w:tc>
                <w:tcPr>
                  <w:tcW w:w="1176" w:type="dxa"/>
                  <w:tcBorders>
                    <w:tl2br w:val="nil"/>
                    <w:tr2bl w:val="nil"/>
                  </w:tcBorders>
                  <w:vAlign w:val="center"/>
                </w:tcPr>
                <w:p w14:paraId="5C74B232">
                  <w:pPr>
                    <w:jc w:val="center"/>
                    <w:rPr>
                      <w:color w:val="auto"/>
                      <w:szCs w:val="21"/>
                      <w:u w:val="single"/>
                    </w:rPr>
                  </w:pPr>
                  <w:r>
                    <w:rPr>
                      <w:rFonts w:hint="eastAsia"/>
                      <w:color w:val="auto"/>
                      <w:szCs w:val="21"/>
                      <w:u w:val="single"/>
                    </w:rPr>
                    <w:t>新建</w:t>
                  </w:r>
                </w:p>
              </w:tc>
            </w:tr>
            <w:tr w14:paraId="65DA7A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126" w:type="dxa"/>
                  <w:vMerge w:val="continue"/>
                  <w:tcBorders>
                    <w:tl2br w:val="nil"/>
                    <w:tr2bl w:val="nil"/>
                  </w:tcBorders>
                  <w:vAlign w:val="center"/>
                </w:tcPr>
                <w:p w14:paraId="04F4E1BE">
                  <w:pPr>
                    <w:pStyle w:val="62"/>
                    <w:rPr>
                      <w:color w:val="auto"/>
                      <w:szCs w:val="21"/>
                      <w:u w:val="single"/>
                    </w:rPr>
                  </w:pPr>
                </w:p>
              </w:tc>
              <w:tc>
                <w:tcPr>
                  <w:tcW w:w="1036" w:type="dxa"/>
                  <w:tcBorders>
                    <w:tl2br w:val="nil"/>
                    <w:tr2bl w:val="nil"/>
                  </w:tcBorders>
                  <w:vAlign w:val="center"/>
                </w:tcPr>
                <w:p w14:paraId="4184FAE2">
                  <w:pPr>
                    <w:jc w:val="center"/>
                    <w:rPr>
                      <w:color w:val="auto"/>
                      <w:szCs w:val="21"/>
                      <w:u w:val="single"/>
                    </w:rPr>
                  </w:pPr>
                  <w:r>
                    <w:rPr>
                      <w:color w:val="auto"/>
                      <w:szCs w:val="21"/>
                      <w:u w:val="single"/>
                    </w:rPr>
                    <w:t>设备噪声</w:t>
                  </w:r>
                </w:p>
              </w:tc>
              <w:tc>
                <w:tcPr>
                  <w:tcW w:w="4485" w:type="dxa"/>
                  <w:tcBorders>
                    <w:tl2br w:val="nil"/>
                    <w:tr2bl w:val="nil"/>
                  </w:tcBorders>
                  <w:vAlign w:val="center"/>
                </w:tcPr>
                <w:p w14:paraId="2599872C">
                  <w:pPr>
                    <w:jc w:val="center"/>
                    <w:rPr>
                      <w:color w:val="auto"/>
                      <w:szCs w:val="21"/>
                      <w:u w:val="single"/>
                    </w:rPr>
                  </w:pPr>
                  <w:r>
                    <w:rPr>
                      <w:color w:val="auto"/>
                      <w:szCs w:val="21"/>
                      <w:u w:val="single"/>
                    </w:rPr>
                    <w:t>隔声、减振、绿化带等</w:t>
                  </w:r>
                </w:p>
              </w:tc>
              <w:tc>
                <w:tcPr>
                  <w:tcW w:w="1176" w:type="dxa"/>
                  <w:tcBorders>
                    <w:tl2br w:val="nil"/>
                    <w:tr2bl w:val="nil"/>
                  </w:tcBorders>
                  <w:vAlign w:val="center"/>
                </w:tcPr>
                <w:p w14:paraId="0DE35903">
                  <w:pPr>
                    <w:jc w:val="center"/>
                    <w:rPr>
                      <w:color w:val="auto"/>
                      <w:szCs w:val="21"/>
                      <w:u w:val="single"/>
                    </w:rPr>
                  </w:pPr>
                  <w:r>
                    <w:rPr>
                      <w:rFonts w:hint="eastAsia"/>
                      <w:color w:val="auto"/>
                      <w:szCs w:val="21"/>
                      <w:u w:val="single"/>
                    </w:rPr>
                    <w:t>新建</w:t>
                  </w:r>
                </w:p>
              </w:tc>
            </w:tr>
            <w:tr w14:paraId="13A089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26" w:type="dxa"/>
                  <w:vMerge w:val="continue"/>
                  <w:tcBorders>
                    <w:tl2br w:val="nil"/>
                    <w:tr2bl w:val="nil"/>
                  </w:tcBorders>
                  <w:vAlign w:val="center"/>
                </w:tcPr>
                <w:p w14:paraId="098C9DCF">
                  <w:pPr>
                    <w:pStyle w:val="62"/>
                    <w:rPr>
                      <w:color w:val="auto"/>
                      <w:szCs w:val="21"/>
                      <w:u w:val="single"/>
                    </w:rPr>
                  </w:pPr>
                </w:p>
              </w:tc>
              <w:tc>
                <w:tcPr>
                  <w:tcW w:w="1036" w:type="dxa"/>
                  <w:tcBorders>
                    <w:tl2br w:val="nil"/>
                    <w:tr2bl w:val="nil"/>
                  </w:tcBorders>
                  <w:vAlign w:val="center"/>
                </w:tcPr>
                <w:p w14:paraId="728EC2CC">
                  <w:pPr>
                    <w:jc w:val="center"/>
                    <w:rPr>
                      <w:color w:val="auto"/>
                      <w:szCs w:val="21"/>
                      <w:u w:val="single"/>
                    </w:rPr>
                  </w:pPr>
                  <w:r>
                    <w:rPr>
                      <w:color w:val="auto"/>
                      <w:szCs w:val="21"/>
                      <w:u w:val="single"/>
                    </w:rPr>
                    <w:t>一般固废</w:t>
                  </w:r>
                </w:p>
              </w:tc>
              <w:tc>
                <w:tcPr>
                  <w:tcW w:w="4485" w:type="dxa"/>
                  <w:tcBorders>
                    <w:tl2br w:val="nil"/>
                    <w:tr2bl w:val="nil"/>
                  </w:tcBorders>
                  <w:vAlign w:val="center"/>
                </w:tcPr>
                <w:p w14:paraId="69D3F994">
                  <w:pPr>
                    <w:jc w:val="center"/>
                    <w:rPr>
                      <w:color w:val="auto"/>
                      <w:szCs w:val="21"/>
                      <w:highlight w:val="red"/>
                      <w:u w:val="single"/>
                    </w:rPr>
                  </w:pPr>
                  <w:r>
                    <w:rPr>
                      <w:color w:val="auto"/>
                      <w:szCs w:val="21"/>
                      <w:u w:val="single"/>
                    </w:rPr>
                    <w:t>①一般固废：废包装物收集后</w:t>
                  </w:r>
                  <w:r>
                    <w:rPr>
                      <w:rFonts w:hint="eastAsia"/>
                      <w:color w:val="auto"/>
                      <w:szCs w:val="21"/>
                      <w:u w:val="single"/>
                    </w:rPr>
                    <w:t>外售至物资回收公司</w:t>
                  </w:r>
                  <w:r>
                    <w:rPr>
                      <w:color w:val="auto"/>
                      <w:szCs w:val="21"/>
                      <w:u w:val="single"/>
                    </w:rPr>
                    <w:t>；</w:t>
                  </w:r>
                  <w:r>
                    <w:rPr>
                      <w:rFonts w:hint="eastAsia"/>
                      <w:color w:val="auto"/>
                      <w:szCs w:val="21"/>
                      <w:u w:val="single"/>
                    </w:rPr>
                    <w:t>尾水罐污泥运至农户作为农肥</w:t>
                  </w:r>
                  <w:r>
                    <w:rPr>
                      <w:color w:val="auto"/>
                      <w:szCs w:val="21"/>
                      <w:u w:val="single"/>
                    </w:rPr>
                    <w:t>；</w:t>
                  </w:r>
                </w:p>
                <w:p w14:paraId="041A8B25">
                  <w:pPr>
                    <w:jc w:val="center"/>
                    <w:rPr>
                      <w:color w:val="auto"/>
                      <w:szCs w:val="21"/>
                      <w:u w:val="single"/>
                    </w:rPr>
                  </w:pPr>
                  <w:r>
                    <w:rPr>
                      <w:color w:val="auto"/>
                      <w:szCs w:val="21"/>
                      <w:u w:val="single"/>
                    </w:rPr>
                    <w:t>②病死鱼：</w:t>
                  </w:r>
                  <w:r>
                    <w:rPr>
                      <w:color w:val="auto"/>
                      <w:kern w:val="0"/>
                      <w:szCs w:val="21"/>
                      <w:u w:val="single"/>
                      <w:lang w:bidi="ar"/>
                    </w:rPr>
                    <w:t>委托第三方公司无害化处理</w:t>
                  </w:r>
                  <w:r>
                    <w:rPr>
                      <w:rFonts w:hint="eastAsia"/>
                      <w:color w:val="auto"/>
                      <w:kern w:val="0"/>
                      <w:szCs w:val="21"/>
                      <w:u w:val="single"/>
                      <w:lang w:bidi="ar"/>
                    </w:rPr>
                    <w:t>；</w:t>
                  </w:r>
                </w:p>
                <w:p w14:paraId="0958BEE5">
                  <w:pPr>
                    <w:jc w:val="center"/>
                    <w:rPr>
                      <w:color w:val="auto"/>
                      <w:szCs w:val="21"/>
                      <w:u w:val="single"/>
                    </w:rPr>
                  </w:pPr>
                  <w:r>
                    <w:rPr>
                      <w:color w:val="auto"/>
                      <w:szCs w:val="21"/>
                      <w:u w:val="single"/>
                    </w:rPr>
                    <w:t>③生活垃圾：交由环卫部门处理</w:t>
                  </w:r>
                </w:p>
              </w:tc>
              <w:tc>
                <w:tcPr>
                  <w:tcW w:w="1176" w:type="dxa"/>
                  <w:tcBorders>
                    <w:tl2br w:val="nil"/>
                    <w:tr2bl w:val="nil"/>
                  </w:tcBorders>
                  <w:vAlign w:val="center"/>
                </w:tcPr>
                <w:p w14:paraId="2CA0105D">
                  <w:pPr>
                    <w:jc w:val="center"/>
                    <w:rPr>
                      <w:color w:val="auto"/>
                      <w:szCs w:val="21"/>
                      <w:u w:val="single"/>
                    </w:rPr>
                  </w:pPr>
                  <w:r>
                    <w:rPr>
                      <w:rFonts w:hint="eastAsia"/>
                      <w:color w:val="auto"/>
                      <w:szCs w:val="21"/>
                      <w:u w:val="single"/>
                    </w:rPr>
                    <w:t>新建</w:t>
                  </w:r>
                </w:p>
              </w:tc>
            </w:tr>
          </w:tbl>
          <w:p w14:paraId="10D99BD4">
            <w:pPr>
              <w:adjustRightInd w:val="0"/>
              <w:snapToGrid w:val="0"/>
              <w:spacing w:line="360" w:lineRule="auto"/>
              <w:ind w:firstLine="482" w:firstLineChars="200"/>
              <w:rPr>
                <w:b/>
                <w:bCs/>
                <w:color w:val="auto"/>
                <w:sz w:val="24"/>
              </w:rPr>
            </w:pPr>
            <w:r>
              <w:rPr>
                <w:rFonts w:hint="eastAsia"/>
                <w:b/>
                <w:bCs/>
                <w:color w:val="auto"/>
                <w:sz w:val="24"/>
              </w:rPr>
              <w:t>2.3项目原辅材料消耗情况</w:t>
            </w:r>
          </w:p>
          <w:p w14:paraId="073BD85B">
            <w:pPr>
              <w:adjustRightInd w:val="0"/>
              <w:snapToGrid w:val="0"/>
              <w:spacing w:line="360" w:lineRule="auto"/>
              <w:ind w:firstLine="480" w:firstLineChars="200"/>
              <w:rPr>
                <w:color w:val="auto"/>
                <w:sz w:val="24"/>
              </w:rPr>
            </w:pPr>
            <w:r>
              <w:rPr>
                <w:rFonts w:hint="eastAsia"/>
                <w:color w:val="auto"/>
                <w:sz w:val="24"/>
              </w:rPr>
              <w:t>一期水域内共放92个圈养桶，其中80个用于养殖马口鱼，最适圈养密度为4万尾/圈，马口养殖数量为320万尾/年；12个用于养殖观赏鱼，最适圈养密度为125尾/圈，观赏鱼养殖数量为1500尾/年；本项目主要原辅材料及能源消耗情况见表2-2。</w:t>
            </w:r>
          </w:p>
          <w:p w14:paraId="1DE7C159">
            <w:pPr>
              <w:adjustRightInd w:val="0"/>
              <w:snapToGrid w:val="0"/>
              <w:jc w:val="center"/>
              <w:rPr>
                <w:b/>
                <w:bCs/>
                <w:color w:val="auto"/>
                <w:szCs w:val="21"/>
              </w:rPr>
            </w:pPr>
            <w:r>
              <w:rPr>
                <w:b/>
                <w:bCs/>
                <w:color w:val="auto"/>
                <w:szCs w:val="21"/>
              </w:rPr>
              <w:t>表2-</w:t>
            </w:r>
            <w:r>
              <w:rPr>
                <w:rFonts w:hint="eastAsia"/>
                <w:b/>
                <w:bCs/>
                <w:color w:val="auto"/>
                <w:szCs w:val="21"/>
              </w:rPr>
              <w:t>2</w:t>
            </w:r>
            <w:r>
              <w:rPr>
                <w:b/>
                <w:bCs/>
                <w:color w:val="auto"/>
                <w:szCs w:val="21"/>
              </w:rPr>
              <w:t xml:space="preserve">   原辅材料消耗一览表</w:t>
            </w:r>
          </w:p>
          <w:tbl>
            <w:tblPr>
              <w:tblStyle w:val="28"/>
              <w:tblW w:w="789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09"/>
              <w:gridCol w:w="2176"/>
              <w:gridCol w:w="1149"/>
              <w:gridCol w:w="1051"/>
              <w:gridCol w:w="2711"/>
            </w:tblGrid>
            <w:tr w14:paraId="4A2E68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809" w:type="dxa"/>
                  <w:tcBorders>
                    <w:tl2br w:val="nil"/>
                    <w:tr2bl w:val="nil"/>
                  </w:tcBorders>
                  <w:vAlign w:val="center"/>
                </w:tcPr>
                <w:p w14:paraId="5EF14633">
                  <w:pPr>
                    <w:jc w:val="center"/>
                    <w:rPr>
                      <w:b/>
                      <w:bCs/>
                      <w:color w:val="auto"/>
                      <w:szCs w:val="21"/>
                    </w:rPr>
                  </w:pPr>
                  <w:r>
                    <w:rPr>
                      <w:b/>
                      <w:bCs/>
                      <w:color w:val="auto"/>
                      <w:szCs w:val="21"/>
                    </w:rPr>
                    <w:t>序号</w:t>
                  </w:r>
                </w:p>
              </w:tc>
              <w:tc>
                <w:tcPr>
                  <w:tcW w:w="2176" w:type="dxa"/>
                  <w:tcBorders>
                    <w:tl2br w:val="nil"/>
                    <w:tr2bl w:val="nil"/>
                  </w:tcBorders>
                  <w:vAlign w:val="center"/>
                </w:tcPr>
                <w:p w14:paraId="691F0EAE">
                  <w:pPr>
                    <w:jc w:val="center"/>
                    <w:rPr>
                      <w:b/>
                      <w:bCs/>
                      <w:color w:val="auto"/>
                      <w:szCs w:val="21"/>
                    </w:rPr>
                  </w:pPr>
                  <w:r>
                    <w:rPr>
                      <w:b/>
                      <w:bCs/>
                      <w:color w:val="auto"/>
                      <w:szCs w:val="21"/>
                    </w:rPr>
                    <w:t>原料类别</w:t>
                  </w:r>
                </w:p>
              </w:tc>
              <w:tc>
                <w:tcPr>
                  <w:tcW w:w="1149" w:type="dxa"/>
                  <w:tcBorders>
                    <w:tl2br w:val="nil"/>
                    <w:tr2bl w:val="nil"/>
                  </w:tcBorders>
                  <w:vAlign w:val="center"/>
                </w:tcPr>
                <w:p w14:paraId="67832896">
                  <w:pPr>
                    <w:jc w:val="center"/>
                    <w:rPr>
                      <w:b/>
                      <w:bCs/>
                      <w:color w:val="auto"/>
                      <w:szCs w:val="21"/>
                    </w:rPr>
                  </w:pPr>
                  <w:r>
                    <w:rPr>
                      <w:b/>
                      <w:bCs/>
                      <w:color w:val="auto"/>
                      <w:szCs w:val="21"/>
                    </w:rPr>
                    <w:t>单位</w:t>
                  </w:r>
                </w:p>
              </w:tc>
              <w:tc>
                <w:tcPr>
                  <w:tcW w:w="1051" w:type="dxa"/>
                  <w:tcBorders>
                    <w:tl2br w:val="nil"/>
                    <w:tr2bl w:val="nil"/>
                  </w:tcBorders>
                  <w:vAlign w:val="center"/>
                </w:tcPr>
                <w:p w14:paraId="2DB8FA9B">
                  <w:pPr>
                    <w:jc w:val="center"/>
                    <w:rPr>
                      <w:b/>
                      <w:bCs/>
                      <w:color w:val="auto"/>
                      <w:szCs w:val="21"/>
                    </w:rPr>
                  </w:pPr>
                  <w:r>
                    <w:rPr>
                      <w:b/>
                      <w:bCs/>
                      <w:color w:val="auto"/>
                      <w:szCs w:val="21"/>
                    </w:rPr>
                    <w:t>数量</w:t>
                  </w:r>
                </w:p>
              </w:tc>
              <w:tc>
                <w:tcPr>
                  <w:tcW w:w="2711" w:type="dxa"/>
                  <w:tcBorders>
                    <w:tl2br w:val="nil"/>
                    <w:tr2bl w:val="nil"/>
                  </w:tcBorders>
                  <w:vAlign w:val="center"/>
                </w:tcPr>
                <w:p w14:paraId="2C72C64E">
                  <w:pPr>
                    <w:jc w:val="center"/>
                    <w:rPr>
                      <w:b/>
                      <w:bCs/>
                      <w:color w:val="auto"/>
                      <w:szCs w:val="21"/>
                    </w:rPr>
                  </w:pPr>
                  <w:r>
                    <w:rPr>
                      <w:b/>
                      <w:bCs/>
                      <w:color w:val="auto"/>
                      <w:szCs w:val="21"/>
                    </w:rPr>
                    <w:t>备注</w:t>
                  </w:r>
                </w:p>
              </w:tc>
            </w:tr>
            <w:tr w14:paraId="71EF6E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7169832D">
                  <w:pPr>
                    <w:jc w:val="center"/>
                    <w:rPr>
                      <w:color w:val="auto"/>
                      <w:szCs w:val="21"/>
                    </w:rPr>
                  </w:pPr>
                  <w:r>
                    <w:rPr>
                      <w:color w:val="auto"/>
                      <w:szCs w:val="21"/>
                    </w:rPr>
                    <w:t>1</w:t>
                  </w:r>
                </w:p>
              </w:tc>
              <w:tc>
                <w:tcPr>
                  <w:tcW w:w="2176" w:type="dxa"/>
                  <w:tcBorders>
                    <w:tl2br w:val="nil"/>
                    <w:tr2bl w:val="nil"/>
                  </w:tcBorders>
                  <w:vAlign w:val="center"/>
                </w:tcPr>
                <w:p w14:paraId="77DA442A">
                  <w:pPr>
                    <w:jc w:val="center"/>
                    <w:rPr>
                      <w:color w:val="auto"/>
                      <w:szCs w:val="21"/>
                    </w:rPr>
                  </w:pPr>
                  <w:r>
                    <w:rPr>
                      <w:color w:val="auto"/>
                      <w:szCs w:val="21"/>
                    </w:rPr>
                    <w:t>鱼苗（马口鱼）</w:t>
                  </w:r>
                </w:p>
              </w:tc>
              <w:tc>
                <w:tcPr>
                  <w:tcW w:w="1149" w:type="dxa"/>
                  <w:tcBorders>
                    <w:tl2br w:val="nil"/>
                    <w:tr2bl w:val="nil"/>
                  </w:tcBorders>
                  <w:vAlign w:val="center"/>
                </w:tcPr>
                <w:p w14:paraId="0B75F1FA">
                  <w:pPr>
                    <w:jc w:val="center"/>
                    <w:rPr>
                      <w:color w:val="auto"/>
                      <w:szCs w:val="21"/>
                    </w:rPr>
                  </w:pPr>
                  <w:r>
                    <w:rPr>
                      <w:color w:val="auto"/>
                      <w:szCs w:val="21"/>
                    </w:rPr>
                    <w:t>万尾</w:t>
                  </w:r>
                </w:p>
              </w:tc>
              <w:tc>
                <w:tcPr>
                  <w:tcW w:w="1051" w:type="dxa"/>
                  <w:tcBorders>
                    <w:tl2br w:val="nil"/>
                    <w:tr2bl w:val="nil"/>
                  </w:tcBorders>
                  <w:vAlign w:val="center"/>
                </w:tcPr>
                <w:p w14:paraId="46D0BAE4">
                  <w:pPr>
                    <w:jc w:val="center"/>
                    <w:rPr>
                      <w:color w:val="auto"/>
                      <w:szCs w:val="21"/>
                    </w:rPr>
                  </w:pPr>
                  <w:r>
                    <w:rPr>
                      <w:color w:val="auto"/>
                      <w:szCs w:val="21"/>
                    </w:rPr>
                    <w:t>320</w:t>
                  </w:r>
                </w:p>
              </w:tc>
              <w:tc>
                <w:tcPr>
                  <w:tcW w:w="2711" w:type="dxa"/>
                  <w:tcBorders>
                    <w:tl2br w:val="nil"/>
                    <w:tr2bl w:val="nil"/>
                  </w:tcBorders>
                  <w:vAlign w:val="center"/>
                </w:tcPr>
                <w:p w14:paraId="509EAA13">
                  <w:pPr>
                    <w:jc w:val="center"/>
                    <w:rPr>
                      <w:color w:val="auto"/>
                      <w:szCs w:val="21"/>
                    </w:rPr>
                  </w:pPr>
                  <w:r>
                    <w:rPr>
                      <w:color w:val="auto"/>
                      <w:szCs w:val="21"/>
                    </w:rPr>
                    <w:t>外购</w:t>
                  </w:r>
                </w:p>
              </w:tc>
            </w:tr>
            <w:tr w14:paraId="10CD41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096739D2">
                  <w:pPr>
                    <w:jc w:val="center"/>
                    <w:rPr>
                      <w:color w:val="auto"/>
                      <w:szCs w:val="21"/>
                    </w:rPr>
                  </w:pPr>
                  <w:r>
                    <w:rPr>
                      <w:color w:val="auto"/>
                      <w:szCs w:val="21"/>
                    </w:rPr>
                    <w:t>2</w:t>
                  </w:r>
                </w:p>
              </w:tc>
              <w:tc>
                <w:tcPr>
                  <w:tcW w:w="2176" w:type="dxa"/>
                  <w:tcBorders>
                    <w:tl2br w:val="nil"/>
                    <w:tr2bl w:val="nil"/>
                  </w:tcBorders>
                  <w:vAlign w:val="center"/>
                </w:tcPr>
                <w:p w14:paraId="5821E975">
                  <w:pPr>
                    <w:jc w:val="center"/>
                    <w:rPr>
                      <w:color w:val="auto"/>
                      <w:szCs w:val="21"/>
                    </w:rPr>
                  </w:pPr>
                  <w:r>
                    <w:rPr>
                      <w:color w:val="auto"/>
                      <w:szCs w:val="21"/>
                    </w:rPr>
                    <w:t>观赏鱼</w:t>
                  </w:r>
                </w:p>
              </w:tc>
              <w:tc>
                <w:tcPr>
                  <w:tcW w:w="1149" w:type="dxa"/>
                  <w:tcBorders>
                    <w:tl2br w:val="nil"/>
                    <w:tr2bl w:val="nil"/>
                  </w:tcBorders>
                  <w:vAlign w:val="center"/>
                </w:tcPr>
                <w:p w14:paraId="280601E0">
                  <w:pPr>
                    <w:jc w:val="center"/>
                    <w:rPr>
                      <w:color w:val="auto"/>
                      <w:szCs w:val="21"/>
                    </w:rPr>
                  </w:pPr>
                  <w:r>
                    <w:rPr>
                      <w:color w:val="auto"/>
                      <w:szCs w:val="21"/>
                    </w:rPr>
                    <w:t>尾</w:t>
                  </w:r>
                </w:p>
              </w:tc>
              <w:tc>
                <w:tcPr>
                  <w:tcW w:w="1051" w:type="dxa"/>
                  <w:tcBorders>
                    <w:tl2br w:val="nil"/>
                    <w:tr2bl w:val="nil"/>
                  </w:tcBorders>
                  <w:vAlign w:val="center"/>
                </w:tcPr>
                <w:p w14:paraId="0982B616">
                  <w:pPr>
                    <w:jc w:val="center"/>
                    <w:rPr>
                      <w:color w:val="auto"/>
                      <w:szCs w:val="21"/>
                    </w:rPr>
                  </w:pPr>
                  <w:r>
                    <w:rPr>
                      <w:rFonts w:hint="eastAsia"/>
                      <w:color w:val="auto"/>
                      <w:szCs w:val="21"/>
                    </w:rPr>
                    <w:t>1500</w:t>
                  </w:r>
                </w:p>
              </w:tc>
              <w:tc>
                <w:tcPr>
                  <w:tcW w:w="2711" w:type="dxa"/>
                  <w:tcBorders>
                    <w:tl2br w:val="nil"/>
                    <w:tr2bl w:val="nil"/>
                  </w:tcBorders>
                  <w:vAlign w:val="center"/>
                </w:tcPr>
                <w:p w14:paraId="769016F2">
                  <w:pPr>
                    <w:jc w:val="center"/>
                    <w:rPr>
                      <w:color w:val="auto"/>
                      <w:szCs w:val="21"/>
                    </w:rPr>
                  </w:pPr>
                  <w:r>
                    <w:rPr>
                      <w:color w:val="auto"/>
                      <w:szCs w:val="21"/>
                    </w:rPr>
                    <w:t>外购</w:t>
                  </w:r>
                </w:p>
              </w:tc>
            </w:tr>
            <w:tr w14:paraId="46ED1E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2D574BAE">
                  <w:pPr>
                    <w:jc w:val="center"/>
                    <w:rPr>
                      <w:color w:val="auto"/>
                      <w:szCs w:val="21"/>
                    </w:rPr>
                  </w:pPr>
                  <w:r>
                    <w:rPr>
                      <w:color w:val="auto"/>
                      <w:szCs w:val="21"/>
                    </w:rPr>
                    <w:t>3</w:t>
                  </w:r>
                </w:p>
              </w:tc>
              <w:tc>
                <w:tcPr>
                  <w:tcW w:w="2176" w:type="dxa"/>
                  <w:tcBorders>
                    <w:tl2br w:val="nil"/>
                    <w:tr2bl w:val="nil"/>
                  </w:tcBorders>
                  <w:vAlign w:val="center"/>
                </w:tcPr>
                <w:p w14:paraId="08FF2D2D">
                  <w:pPr>
                    <w:jc w:val="center"/>
                    <w:rPr>
                      <w:color w:val="auto"/>
                      <w:szCs w:val="21"/>
                    </w:rPr>
                  </w:pPr>
                  <w:r>
                    <w:rPr>
                      <w:color w:val="auto"/>
                      <w:szCs w:val="21"/>
                    </w:rPr>
                    <w:t>饲料（小鱼、小虾）</w:t>
                  </w:r>
                </w:p>
              </w:tc>
              <w:tc>
                <w:tcPr>
                  <w:tcW w:w="1149" w:type="dxa"/>
                  <w:tcBorders>
                    <w:tl2br w:val="nil"/>
                    <w:tr2bl w:val="nil"/>
                  </w:tcBorders>
                  <w:vAlign w:val="center"/>
                </w:tcPr>
                <w:p w14:paraId="4074DE74">
                  <w:pPr>
                    <w:jc w:val="center"/>
                    <w:rPr>
                      <w:color w:val="auto"/>
                      <w:szCs w:val="21"/>
                    </w:rPr>
                  </w:pPr>
                  <w:r>
                    <w:rPr>
                      <w:color w:val="auto"/>
                      <w:szCs w:val="21"/>
                    </w:rPr>
                    <w:t>t/a</w:t>
                  </w:r>
                </w:p>
              </w:tc>
              <w:tc>
                <w:tcPr>
                  <w:tcW w:w="1051" w:type="dxa"/>
                  <w:tcBorders>
                    <w:tl2br w:val="nil"/>
                    <w:tr2bl w:val="nil"/>
                  </w:tcBorders>
                  <w:vAlign w:val="center"/>
                </w:tcPr>
                <w:p w14:paraId="5E86F070">
                  <w:pPr>
                    <w:jc w:val="center"/>
                    <w:rPr>
                      <w:color w:val="auto"/>
                      <w:szCs w:val="21"/>
                    </w:rPr>
                  </w:pPr>
                  <w:r>
                    <w:rPr>
                      <w:color w:val="auto"/>
                      <w:szCs w:val="21"/>
                    </w:rPr>
                    <w:t>258</w:t>
                  </w:r>
                </w:p>
              </w:tc>
              <w:tc>
                <w:tcPr>
                  <w:tcW w:w="2711" w:type="dxa"/>
                  <w:tcBorders>
                    <w:tl2br w:val="nil"/>
                    <w:tr2bl w:val="nil"/>
                  </w:tcBorders>
                  <w:vAlign w:val="center"/>
                </w:tcPr>
                <w:p w14:paraId="79C2F2E4">
                  <w:pPr>
                    <w:jc w:val="center"/>
                    <w:rPr>
                      <w:color w:val="auto"/>
                      <w:szCs w:val="21"/>
                    </w:rPr>
                  </w:pPr>
                  <w:r>
                    <w:rPr>
                      <w:color w:val="auto"/>
                      <w:szCs w:val="21"/>
                    </w:rPr>
                    <w:t>外购</w:t>
                  </w:r>
                </w:p>
              </w:tc>
            </w:tr>
            <w:tr w14:paraId="13A370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11C534CA">
                  <w:pPr>
                    <w:jc w:val="center"/>
                    <w:rPr>
                      <w:color w:val="auto"/>
                      <w:szCs w:val="21"/>
                    </w:rPr>
                  </w:pPr>
                  <w:r>
                    <w:rPr>
                      <w:color w:val="auto"/>
                      <w:szCs w:val="21"/>
                    </w:rPr>
                    <w:t>4</w:t>
                  </w:r>
                </w:p>
              </w:tc>
              <w:tc>
                <w:tcPr>
                  <w:tcW w:w="2176" w:type="dxa"/>
                  <w:tcBorders>
                    <w:tl2br w:val="nil"/>
                    <w:tr2bl w:val="nil"/>
                  </w:tcBorders>
                  <w:vAlign w:val="center"/>
                </w:tcPr>
                <w:p w14:paraId="5586E793">
                  <w:pPr>
                    <w:jc w:val="center"/>
                    <w:rPr>
                      <w:color w:val="auto"/>
                      <w:szCs w:val="21"/>
                    </w:rPr>
                  </w:pPr>
                  <w:r>
                    <w:rPr>
                      <w:color w:val="auto"/>
                      <w:szCs w:val="21"/>
                    </w:rPr>
                    <w:t>硫酸铜（鱼药）</w:t>
                  </w:r>
                </w:p>
              </w:tc>
              <w:tc>
                <w:tcPr>
                  <w:tcW w:w="1149" w:type="dxa"/>
                  <w:tcBorders>
                    <w:tl2br w:val="nil"/>
                    <w:tr2bl w:val="nil"/>
                  </w:tcBorders>
                  <w:vAlign w:val="center"/>
                </w:tcPr>
                <w:p w14:paraId="336EC31A">
                  <w:pPr>
                    <w:jc w:val="center"/>
                    <w:rPr>
                      <w:color w:val="auto"/>
                      <w:szCs w:val="21"/>
                    </w:rPr>
                  </w:pPr>
                  <w:r>
                    <w:rPr>
                      <w:color w:val="auto"/>
                      <w:szCs w:val="21"/>
                    </w:rPr>
                    <w:t>Kg/a</w:t>
                  </w:r>
                </w:p>
              </w:tc>
              <w:tc>
                <w:tcPr>
                  <w:tcW w:w="1051" w:type="dxa"/>
                  <w:tcBorders>
                    <w:tl2br w:val="nil"/>
                    <w:tr2bl w:val="nil"/>
                  </w:tcBorders>
                  <w:vAlign w:val="center"/>
                </w:tcPr>
                <w:p w14:paraId="3B3F87F9">
                  <w:pPr>
                    <w:jc w:val="center"/>
                    <w:rPr>
                      <w:color w:val="auto"/>
                      <w:szCs w:val="21"/>
                    </w:rPr>
                  </w:pPr>
                  <w:r>
                    <w:rPr>
                      <w:color w:val="auto"/>
                      <w:szCs w:val="21"/>
                    </w:rPr>
                    <w:t>7.8</w:t>
                  </w:r>
                </w:p>
              </w:tc>
              <w:tc>
                <w:tcPr>
                  <w:tcW w:w="2711" w:type="dxa"/>
                  <w:tcBorders>
                    <w:tl2br w:val="nil"/>
                    <w:tr2bl w:val="nil"/>
                  </w:tcBorders>
                  <w:vAlign w:val="center"/>
                </w:tcPr>
                <w:p w14:paraId="0F5038E5">
                  <w:pPr>
                    <w:jc w:val="center"/>
                    <w:rPr>
                      <w:color w:val="auto"/>
                      <w:szCs w:val="21"/>
                    </w:rPr>
                  </w:pPr>
                  <w:r>
                    <w:rPr>
                      <w:color w:val="auto"/>
                      <w:szCs w:val="21"/>
                    </w:rPr>
                    <w:t>外购</w:t>
                  </w:r>
                  <w:r>
                    <w:rPr>
                      <w:rFonts w:hint="eastAsia"/>
                      <w:color w:val="auto"/>
                      <w:szCs w:val="21"/>
                    </w:rPr>
                    <w:t>，塑料袋包装25kg/袋</w:t>
                  </w:r>
                </w:p>
              </w:tc>
            </w:tr>
            <w:tr w14:paraId="26F6B5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000F5C4D">
                  <w:pPr>
                    <w:jc w:val="center"/>
                    <w:rPr>
                      <w:color w:val="auto"/>
                      <w:szCs w:val="21"/>
                    </w:rPr>
                  </w:pPr>
                  <w:r>
                    <w:rPr>
                      <w:color w:val="auto"/>
                      <w:szCs w:val="21"/>
                    </w:rPr>
                    <w:t>5</w:t>
                  </w:r>
                </w:p>
              </w:tc>
              <w:tc>
                <w:tcPr>
                  <w:tcW w:w="2176" w:type="dxa"/>
                  <w:tcBorders>
                    <w:tl2br w:val="nil"/>
                    <w:tr2bl w:val="nil"/>
                  </w:tcBorders>
                  <w:vAlign w:val="center"/>
                </w:tcPr>
                <w:p w14:paraId="6854AFD1">
                  <w:pPr>
                    <w:jc w:val="center"/>
                    <w:rPr>
                      <w:color w:val="auto"/>
                      <w:szCs w:val="21"/>
                    </w:rPr>
                  </w:pPr>
                  <w:r>
                    <w:rPr>
                      <w:color w:val="auto"/>
                      <w:szCs w:val="21"/>
                    </w:rPr>
                    <w:t>硫酸亚铁（鱼药）</w:t>
                  </w:r>
                </w:p>
              </w:tc>
              <w:tc>
                <w:tcPr>
                  <w:tcW w:w="1149" w:type="dxa"/>
                  <w:tcBorders>
                    <w:tl2br w:val="nil"/>
                    <w:tr2bl w:val="nil"/>
                  </w:tcBorders>
                  <w:vAlign w:val="center"/>
                </w:tcPr>
                <w:p w14:paraId="13E9C776">
                  <w:pPr>
                    <w:jc w:val="center"/>
                    <w:rPr>
                      <w:color w:val="auto"/>
                      <w:szCs w:val="21"/>
                    </w:rPr>
                  </w:pPr>
                  <w:r>
                    <w:rPr>
                      <w:color w:val="auto"/>
                      <w:szCs w:val="21"/>
                    </w:rPr>
                    <w:t>Kg/a</w:t>
                  </w:r>
                </w:p>
              </w:tc>
              <w:tc>
                <w:tcPr>
                  <w:tcW w:w="1051" w:type="dxa"/>
                  <w:tcBorders>
                    <w:tl2br w:val="nil"/>
                    <w:tr2bl w:val="nil"/>
                  </w:tcBorders>
                  <w:vAlign w:val="center"/>
                </w:tcPr>
                <w:p w14:paraId="0A95B584">
                  <w:pPr>
                    <w:jc w:val="center"/>
                    <w:rPr>
                      <w:color w:val="auto"/>
                      <w:szCs w:val="21"/>
                    </w:rPr>
                  </w:pPr>
                  <w:r>
                    <w:rPr>
                      <w:color w:val="auto"/>
                      <w:szCs w:val="21"/>
                    </w:rPr>
                    <w:t>1.04</w:t>
                  </w:r>
                </w:p>
              </w:tc>
              <w:tc>
                <w:tcPr>
                  <w:tcW w:w="2711" w:type="dxa"/>
                  <w:tcBorders>
                    <w:tl2br w:val="nil"/>
                    <w:tr2bl w:val="nil"/>
                  </w:tcBorders>
                  <w:vAlign w:val="center"/>
                </w:tcPr>
                <w:p w14:paraId="2C612C8C">
                  <w:pPr>
                    <w:jc w:val="center"/>
                    <w:rPr>
                      <w:color w:val="auto"/>
                      <w:szCs w:val="21"/>
                    </w:rPr>
                  </w:pPr>
                  <w:r>
                    <w:rPr>
                      <w:color w:val="auto"/>
                      <w:szCs w:val="21"/>
                    </w:rPr>
                    <w:t>外购</w:t>
                  </w:r>
                  <w:r>
                    <w:rPr>
                      <w:rFonts w:hint="eastAsia"/>
                      <w:color w:val="auto"/>
                      <w:szCs w:val="21"/>
                    </w:rPr>
                    <w:t>，塑料袋包装25kg/袋</w:t>
                  </w:r>
                </w:p>
              </w:tc>
            </w:tr>
            <w:tr w14:paraId="097E48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2" w:hRule="atLeast"/>
                <w:jc w:val="center"/>
              </w:trPr>
              <w:tc>
                <w:tcPr>
                  <w:tcW w:w="809" w:type="dxa"/>
                  <w:tcBorders>
                    <w:tl2br w:val="nil"/>
                    <w:tr2bl w:val="nil"/>
                  </w:tcBorders>
                  <w:vAlign w:val="center"/>
                </w:tcPr>
                <w:p w14:paraId="618C846B">
                  <w:pPr>
                    <w:jc w:val="center"/>
                    <w:rPr>
                      <w:color w:val="auto"/>
                      <w:szCs w:val="21"/>
                    </w:rPr>
                  </w:pPr>
                  <w:r>
                    <w:rPr>
                      <w:color w:val="auto"/>
                      <w:szCs w:val="21"/>
                    </w:rPr>
                    <w:t>6</w:t>
                  </w:r>
                </w:p>
              </w:tc>
              <w:tc>
                <w:tcPr>
                  <w:tcW w:w="2176" w:type="dxa"/>
                  <w:tcBorders>
                    <w:tl2br w:val="nil"/>
                    <w:tr2bl w:val="nil"/>
                  </w:tcBorders>
                  <w:vAlign w:val="center"/>
                </w:tcPr>
                <w:p w14:paraId="66C0EEC3">
                  <w:pPr>
                    <w:jc w:val="center"/>
                    <w:rPr>
                      <w:color w:val="auto"/>
                      <w:szCs w:val="21"/>
                    </w:rPr>
                  </w:pPr>
                  <w:r>
                    <w:rPr>
                      <w:color w:val="auto"/>
                      <w:szCs w:val="21"/>
                    </w:rPr>
                    <w:t>甲苯达唑（鱼药）</w:t>
                  </w:r>
                </w:p>
              </w:tc>
              <w:tc>
                <w:tcPr>
                  <w:tcW w:w="1149" w:type="dxa"/>
                  <w:tcBorders>
                    <w:tl2br w:val="nil"/>
                    <w:tr2bl w:val="nil"/>
                  </w:tcBorders>
                  <w:vAlign w:val="center"/>
                </w:tcPr>
                <w:p w14:paraId="12948C47">
                  <w:pPr>
                    <w:jc w:val="center"/>
                    <w:rPr>
                      <w:color w:val="auto"/>
                      <w:szCs w:val="21"/>
                    </w:rPr>
                  </w:pPr>
                  <w:r>
                    <w:rPr>
                      <w:color w:val="auto"/>
                      <w:szCs w:val="21"/>
                    </w:rPr>
                    <w:t>Kg/a</w:t>
                  </w:r>
                </w:p>
              </w:tc>
              <w:tc>
                <w:tcPr>
                  <w:tcW w:w="1051" w:type="dxa"/>
                  <w:tcBorders>
                    <w:tl2br w:val="nil"/>
                    <w:tr2bl w:val="nil"/>
                  </w:tcBorders>
                  <w:vAlign w:val="center"/>
                </w:tcPr>
                <w:p w14:paraId="67D646AC">
                  <w:pPr>
                    <w:jc w:val="center"/>
                    <w:rPr>
                      <w:color w:val="auto"/>
                      <w:szCs w:val="21"/>
                    </w:rPr>
                  </w:pPr>
                  <w:r>
                    <w:rPr>
                      <w:color w:val="auto"/>
                      <w:szCs w:val="21"/>
                    </w:rPr>
                    <w:t>1.04</w:t>
                  </w:r>
                </w:p>
              </w:tc>
              <w:tc>
                <w:tcPr>
                  <w:tcW w:w="2711" w:type="dxa"/>
                  <w:tcBorders>
                    <w:tl2br w:val="nil"/>
                    <w:tr2bl w:val="nil"/>
                  </w:tcBorders>
                  <w:vAlign w:val="center"/>
                </w:tcPr>
                <w:p w14:paraId="22622E3F">
                  <w:pPr>
                    <w:jc w:val="center"/>
                    <w:rPr>
                      <w:color w:val="auto"/>
                      <w:szCs w:val="21"/>
                    </w:rPr>
                  </w:pPr>
                  <w:r>
                    <w:rPr>
                      <w:color w:val="auto"/>
                      <w:szCs w:val="21"/>
                    </w:rPr>
                    <w:t>外购</w:t>
                  </w:r>
                  <w:r>
                    <w:rPr>
                      <w:rFonts w:hint="eastAsia"/>
                      <w:color w:val="auto"/>
                      <w:szCs w:val="21"/>
                    </w:rPr>
                    <w:t>，塑料瓶包装</w:t>
                  </w:r>
                </w:p>
                <w:p w14:paraId="2B94E0BC">
                  <w:pPr>
                    <w:jc w:val="center"/>
                    <w:rPr>
                      <w:color w:val="auto"/>
                      <w:szCs w:val="21"/>
                    </w:rPr>
                  </w:pPr>
                  <w:r>
                    <w:rPr>
                      <w:rFonts w:hint="eastAsia"/>
                      <w:color w:val="auto"/>
                      <w:szCs w:val="21"/>
                    </w:rPr>
                    <w:t>200ml/瓶</w:t>
                  </w:r>
                </w:p>
              </w:tc>
            </w:tr>
            <w:tr w14:paraId="5C4014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4CAED199">
                  <w:pPr>
                    <w:jc w:val="center"/>
                    <w:rPr>
                      <w:color w:val="auto"/>
                      <w:szCs w:val="21"/>
                      <w:u w:val="single"/>
                    </w:rPr>
                  </w:pPr>
                  <w:r>
                    <w:rPr>
                      <w:rFonts w:hint="eastAsia"/>
                      <w:color w:val="auto"/>
                      <w:szCs w:val="21"/>
                      <w:u w:val="single"/>
                    </w:rPr>
                    <w:t>7</w:t>
                  </w:r>
                </w:p>
              </w:tc>
              <w:tc>
                <w:tcPr>
                  <w:tcW w:w="2176" w:type="dxa"/>
                  <w:tcBorders>
                    <w:tl2br w:val="nil"/>
                    <w:tr2bl w:val="nil"/>
                  </w:tcBorders>
                  <w:vAlign w:val="center"/>
                </w:tcPr>
                <w:p w14:paraId="69ABC8A6">
                  <w:pPr>
                    <w:jc w:val="center"/>
                    <w:rPr>
                      <w:color w:val="auto"/>
                      <w:szCs w:val="21"/>
                      <w:u w:val="single"/>
                    </w:rPr>
                  </w:pPr>
                  <w:r>
                    <w:rPr>
                      <w:rFonts w:hint="eastAsia"/>
                      <w:color w:val="auto"/>
                      <w:szCs w:val="21"/>
                      <w:u w:val="single"/>
                    </w:rPr>
                    <w:t>柴油</w:t>
                  </w:r>
                </w:p>
              </w:tc>
              <w:tc>
                <w:tcPr>
                  <w:tcW w:w="1149" w:type="dxa"/>
                  <w:tcBorders>
                    <w:tl2br w:val="nil"/>
                    <w:tr2bl w:val="nil"/>
                  </w:tcBorders>
                  <w:vAlign w:val="center"/>
                </w:tcPr>
                <w:p w14:paraId="7E3D81FC">
                  <w:pPr>
                    <w:jc w:val="center"/>
                    <w:rPr>
                      <w:color w:val="auto"/>
                      <w:szCs w:val="21"/>
                      <w:u w:val="single"/>
                    </w:rPr>
                  </w:pPr>
                  <w:r>
                    <w:rPr>
                      <w:color w:val="auto"/>
                      <w:szCs w:val="21"/>
                      <w:u w:val="single"/>
                    </w:rPr>
                    <w:t>t/a</w:t>
                  </w:r>
                </w:p>
              </w:tc>
              <w:tc>
                <w:tcPr>
                  <w:tcW w:w="1051" w:type="dxa"/>
                  <w:tcBorders>
                    <w:tl2br w:val="nil"/>
                    <w:tr2bl w:val="nil"/>
                  </w:tcBorders>
                  <w:vAlign w:val="center"/>
                </w:tcPr>
                <w:p w14:paraId="18B0A027">
                  <w:pPr>
                    <w:jc w:val="center"/>
                    <w:rPr>
                      <w:color w:val="auto"/>
                      <w:szCs w:val="21"/>
                      <w:u w:val="single"/>
                    </w:rPr>
                  </w:pPr>
                  <w:r>
                    <w:rPr>
                      <w:rFonts w:hint="eastAsia"/>
                      <w:color w:val="auto"/>
                      <w:szCs w:val="21"/>
                      <w:u w:val="single"/>
                    </w:rPr>
                    <w:t>1.04</w:t>
                  </w:r>
                </w:p>
              </w:tc>
              <w:tc>
                <w:tcPr>
                  <w:tcW w:w="2711" w:type="dxa"/>
                  <w:tcBorders>
                    <w:tl2br w:val="nil"/>
                    <w:tr2bl w:val="nil"/>
                  </w:tcBorders>
                  <w:vAlign w:val="center"/>
                </w:tcPr>
                <w:p w14:paraId="4AFCB888">
                  <w:pPr>
                    <w:jc w:val="center"/>
                    <w:rPr>
                      <w:color w:val="auto"/>
                      <w:szCs w:val="21"/>
                      <w:u w:val="single"/>
                    </w:rPr>
                  </w:pPr>
                  <w:r>
                    <w:rPr>
                      <w:color w:val="auto"/>
                      <w:szCs w:val="21"/>
                      <w:u w:val="single"/>
                    </w:rPr>
                    <w:t>外购</w:t>
                  </w:r>
                  <w:r>
                    <w:rPr>
                      <w:rFonts w:hint="eastAsia"/>
                      <w:color w:val="auto"/>
                      <w:szCs w:val="21"/>
                      <w:u w:val="single"/>
                    </w:rPr>
                    <w:t>，桶装50L</w:t>
                  </w:r>
                </w:p>
              </w:tc>
            </w:tr>
            <w:tr w14:paraId="27AA5B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215A479F">
                  <w:pPr>
                    <w:jc w:val="center"/>
                    <w:rPr>
                      <w:color w:val="auto"/>
                      <w:szCs w:val="21"/>
                      <w:u w:val="single"/>
                    </w:rPr>
                  </w:pPr>
                  <w:r>
                    <w:rPr>
                      <w:rFonts w:hint="eastAsia"/>
                      <w:color w:val="auto"/>
                      <w:szCs w:val="21"/>
                      <w:u w:val="single"/>
                    </w:rPr>
                    <w:t>8</w:t>
                  </w:r>
                </w:p>
              </w:tc>
              <w:tc>
                <w:tcPr>
                  <w:tcW w:w="2176" w:type="dxa"/>
                  <w:tcBorders>
                    <w:tl2br w:val="nil"/>
                    <w:tr2bl w:val="nil"/>
                  </w:tcBorders>
                  <w:vAlign w:val="center"/>
                </w:tcPr>
                <w:p w14:paraId="1F7A60B3">
                  <w:pPr>
                    <w:jc w:val="center"/>
                    <w:rPr>
                      <w:color w:val="auto"/>
                      <w:szCs w:val="21"/>
                      <w:u w:val="single"/>
                    </w:rPr>
                  </w:pPr>
                  <w:r>
                    <w:rPr>
                      <w:rFonts w:hint="eastAsia"/>
                      <w:color w:val="auto"/>
                      <w:szCs w:val="21"/>
                      <w:u w:val="single"/>
                    </w:rPr>
                    <w:t>水</w:t>
                  </w:r>
                </w:p>
              </w:tc>
              <w:tc>
                <w:tcPr>
                  <w:tcW w:w="1149" w:type="dxa"/>
                  <w:tcBorders>
                    <w:tl2br w:val="nil"/>
                    <w:tr2bl w:val="nil"/>
                  </w:tcBorders>
                  <w:vAlign w:val="center"/>
                </w:tcPr>
                <w:p w14:paraId="34DC86E0">
                  <w:pPr>
                    <w:jc w:val="center"/>
                    <w:rPr>
                      <w:color w:val="auto"/>
                      <w:szCs w:val="21"/>
                      <w:u w:val="single"/>
                    </w:rPr>
                  </w:pPr>
                  <w:r>
                    <w:rPr>
                      <w:color w:val="auto"/>
                      <w:szCs w:val="21"/>
                      <w:u w:val="single"/>
                    </w:rPr>
                    <w:t>m³/a</w:t>
                  </w:r>
                </w:p>
              </w:tc>
              <w:tc>
                <w:tcPr>
                  <w:tcW w:w="1051" w:type="dxa"/>
                  <w:tcBorders>
                    <w:tl2br w:val="nil"/>
                    <w:tr2bl w:val="nil"/>
                  </w:tcBorders>
                  <w:vAlign w:val="center"/>
                </w:tcPr>
                <w:p w14:paraId="0B2EFCAB">
                  <w:pPr>
                    <w:jc w:val="center"/>
                    <w:rPr>
                      <w:color w:val="auto"/>
                      <w:szCs w:val="21"/>
                      <w:u w:val="single"/>
                    </w:rPr>
                  </w:pPr>
                  <w:r>
                    <w:rPr>
                      <w:rFonts w:hint="eastAsia"/>
                      <w:color w:val="auto"/>
                      <w:szCs w:val="21"/>
                      <w:u w:val="single"/>
                    </w:rPr>
                    <w:t>3497.4</w:t>
                  </w:r>
                </w:p>
              </w:tc>
              <w:tc>
                <w:tcPr>
                  <w:tcW w:w="2711" w:type="dxa"/>
                  <w:tcBorders>
                    <w:tl2br w:val="nil"/>
                    <w:tr2bl w:val="nil"/>
                  </w:tcBorders>
                  <w:vAlign w:val="center"/>
                </w:tcPr>
                <w:p w14:paraId="249FF5ED">
                  <w:pPr>
                    <w:jc w:val="center"/>
                    <w:rPr>
                      <w:color w:val="auto"/>
                      <w:szCs w:val="21"/>
                      <w:u w:val="single"/>
                    </w:rPr>
                  </w:pPr>
                  <w:r>
                    <w:rPr>
                      <w:rFonts w:hint="eastAsia"/>
                      <w:color w:val="auto"/>
                      <w:szCs w:val="21"/>
                      <w:u w:val="single"/>
                    </w:rPr>
                    <w:t>区域自来水</w:t>
                  </w:r>
                </w:p>
              </w:tc>
            </w:tr>
            <w:tr w14:paraId="5ECD07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09" w:type="dxa"/>
                  <w:tcBorders>
                    <w:tl2br w:val="nil"/>
                    <w:tr2bl w:val="nil"/>
                  </w:tcBorders>
                  <w:vAlign w:val="center"/>
                </w:tcPr>
                <w:p w14:paraId="4D8D546B">
                  <w:pPr>
                    <w:jc w:val="center"/>
                    <w:rPr>
                      <w:color w:val="auto"/>
                      <w:szCs w:val="21"/>
                      <w:u w:val="single"/>
                    </w:rPr>
                  </w:pPr>
                  <w:r>
                    <w:rPr>
                      <w:rFonts w:hint="eastAsia"/>
                      <w:color w:val="auto"/>
                      <w:szCs w:val="21"/>
                      <w:u w:val="single"/>
                    </w:rPr>
                    <w:t>9</w:t>
                  </w:r>
                </w:p>
              </w:tc>
              <w:tc>
                <w:tcPr>
                  <w:tcW w:w="2176" w:type="dxa"/>
                  <w:tcBorders>
                    <w:tl2br w:val="nil"/>
                    <w:tr2bl w:val="nil"/>
                  </w:tcBorders>
                  <w:vAlign w:val="center"/>
                </w:tcPr>
                <w:p w14:paraId="41EC7E03">
                  <w:pPr>
                    <w:jc w:val="center"/>
                    <w:rPr>
                      <w:color w:val="auto"/>
                      <w:szCs w:val="21"/>
                      <w:u w:val="single"/>
                    </w:rPr>
                  </w:pPr>
                  <w:r>
                    <w:rPr>
                      <w:rFonts w:hint="eastAsia"/>
                      <w:color w:val="auto"/>
                      <w:szCs w:val="21"/>
                      <w:u w:val="single"/>
                    </w:rPr>
                    <w:t>电</w:t>
                  </w:r>
                </w:p>
              </w:tc>
              <w:tc>
                <w:tcPr>
                  <w:tcW w:w="1149" w:type="dxa"/>
                  <w:tcBorders>
                    <w:tl2br w:val="nil"/>
                    <w:tr2bl w:val="nil"/>
                  </w:tcBorders>
                  <w:vAlign w:val="center"/>
                </w:tcPr>
                <w:p w14:paraId="28AB1D92">
                  <w:pPr>
                    <w:jc w:val="center"/>
                    <w:rPr>
                      <w:color w:val="auto"/>
                      <w:szCs w:val="21"/>
                      <w:u w:val="single"/>
                    </w:rPr>
                  </w:pPr>
                  <w:r>
                    <w:rPr>
                      <w:rFonts w:hint="eastAsia"/>
                      <w:color w:val="auto"/>
                      <w:szCs w:val="21"/>
                      <w:u w:val="single"/>
                    </w:rPr>
                    <w:t>万kwh</w:t>
                  </w:r>
                </w:p>
              </w:tc>
              <w:tc>
                <w:tcPr>
                  <w:tcW w:w="1051" w:type="dxa"/>
                  <w:tcBorders>
                    <w:tl2br w:val="nil"/>
                    <w:tr2bl w:val="nil"/>
                  </w:tcBorders>
                  <w:vAlign w:val="center"/>
                </w:tcPr>
                <w:p w14:paraId="479A33C5">
                  <w:pPr>
                    <w:jc w:val="center"/>
                    <w:rPr>
                      <w:color w:val="auto"/>
                      <w:szCs w:val="21"/>
                      <w:u w:val="single"/>
                    </w:rPr>
                  </w:pPr>
                  <w:r>
                    <w:rPr>
                      <w:rFonts w:hint="eastAsia"/>
                      <w:color w:val="auto"/>
                      <w:szCs w:val="21"/>
                      <w:u w:val="single"/>
                    </w:rPr>
                    <w:t>21.55</w:t>
                  </w:r>
                </w:p>
              </w:tc>
              <w:tc>
                <w:tcPr>
                  <w:tcW w:w="2711" w:type="dxa"/>
                  <w:tcBorders>
                    <w:tl2br w:val="nil"/>
                    <w:tr2bl w:val="nil"/>
                  </w:tcBorders>
                  <w:vAlign w:val="center"/>
                </w:tcPr>
                <w:p w14:paraId="01C0DC38">
                  <w:pPr>
                    <w:jc w:val="center"/>
                    <w:rPr>
                      <w:color w:val="auto"/>
                      <w:szCs w:val="21"/>
                      <w:u w:val="single"/>
                    </w:rPr>
                  </w:pPr>
                  <w:r>
                    <w:rPr>
                      <w:color w:val="auto"/>
                      <w:szCs w:val="21"/>
                      <w:u w:val="single"/>
                    </w:rPr>
                    <w:t>从区域电力供应电网接入</w:t>
                  </w:r>
                </w:p>
              </w:tc>
            </w:tr>
            <w:tr w14:paraId="1A2077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96" w:type="dxa"/>
                  <w:gridSpan w:val="5"/>
                  <w:tcBorders>
                    <w:tl2br w:val="nil"/>
                    <w:tr2bl w:val="nil"/>
                  </w:tcBorders>
                  <w:vAlign w:val="center"/>
                </w:tcPr>
                <w:p w14:paraId="7A93FB66">
                  <w:pPr>
                    <w:rPr>
                      <w:color w:val="auto"/>
                      <w:szCs w:val="21"/>
                      <w:u w:val="single"/>
                    </w:rPr>
                  </w:pPr>
                  <w:r>
                    <w:rPr>
                      <w:b/>
                      <w:bCs/>
                      <w:color w:val="auto"/>
                      <w:szCs w:val="21"/>
                      <w:u w:val="single"/>
                    </w:rPr>
                    <w:t>注：</w:t>
                  </w:r>
                  <w:r>
                    <w:rPr>
                      <w:rFonts w:hint="eastAsia"/>
                      <w:b/>
                      <w:bCs/>
                      <w:color w:val="auto"/>
                      <w:szCs w:val="21"/>
                      <w:u w:val="single"/>
                    </w:rPr>
                    <w:t>利用原有鱼塘建设，</w:t>
                  </w:r>
                  <w:r>
                    <w:rPr>
                      <w:b/>
                      <w:bCs/>
                      <w:color w:val="auto"/>
                      <w:szCs w:val="21"/>
                      <w:u w:val="single"/>
                    </w:rPr>
                    <w:t>不</w:t>
                  </w:r>
                  <w:r>
                    <w:rPr>
                      <w:rFonts w:hint="eastAsia"/>
                      <w:b/>
                      <w:bCs/>
                      <w:color w:val="auto"/>
                      <w:szCs w:val="21"/>
                      <w:u w:val="single"/>
                    </w:rPr>
                    <w:t>属于</w:t>
                  </w:r>
                  <w:r>
                    <w:rPr>
                      <w:b/>
                      <w:bCs/>
                      <w:color w:val="auto"/>
                      <w:szCs w:val="21"/>
                      <w:u w:val="single"/>
                    </w:rPr>
                    <w:t>天然水域</w:t>
                  </w:r>
                  <w:r>
                    <w:rPr>
                      <w:rFonts w:hint="eastAsia"/>
                      <w:b/>
                      <w:bCs/>
                      <w:color w:val="auto"/>
                      <w:szCs w:val="21"/>
                      <w:u w:val="single"/>
                    </w:rPr>
                    <w:t>。</w:t>
                  </w:r>
                </w:p>
              </w:tc>
            </w:tr>
          </w:tbl>
          <w:p w14:paraId="6A844FCA">
            <w:pPr>
              <w:adjustRightInd w:val="0"/>
              <w:snapToGrid w:val="0"/>
              <w:spacing w:line="360" w:lineRule="auto"/>
              <w:ind w:firstLine="482" w:firstLineChars="200"/>
              <w:rPr>
                <w:b/>
                <w:bCs/>
                <w:color w:val="auto"/>
                <w:sz w:val="24"/>
              </w:rPr>
            </w:pPr>
            <w:r>
              <w:rPr>
                <w:b/>
                <w:bCs/>
                <w:color w:val="auto"/>
                <w:sz w:val="24"/>
              </w:rPr>
              <w:t>2.</w:t>
            </w:r>
            <w:r>
              <w:rPr>
                <w:rFonts w:hint="eastAsia"/>
                <w:b/>
                <w:bCs/>
                <w:color w:val="auto"/>
                <w:sz w:val="24"/>
              </w:rPr>
              <w:t>4主要生产设备</w:t>
            </w:r>
          </w:p>
          <w:p w14:paraId="70F5F450">
            <w:pPr>
              <w:adjustRightInd w:val="0"/>
              <w:snapToGrid w:val="0"/>
              <w:spacing w:line="360" w:lineRule="auto"/>
              <w:ind w:firstLine="480" w:firstLineChars="200"/>
              <w:rPr>
                <w:color w:val="auto"/>
                <w:sz w:val="24"/>
              </w:rPr>
            </w:pPr>
            <w:r>
              <w:rPr>
                <w:rFonts w:hint="eastAsia"/>
                <w:color w:val="auto"/>
                <w:sz w:val="24"/>
              </w:rPr>
              <w:t>本项目主要生产设备见表2-3。</w:t>
            </w:r>
          </w:p>
          <w:p w14:paraId="26AA8B8A">
            <w:pPr>
              <w:adjustRightInd w:val="0"/>
              <w:snapToGrid w:val="0"/>
              <w:jc w:val="center"/>
              <w:rPr>
                <w:color w:val="auto"/>
              </w:rPr>
            </w:pPr>
            <w:r>
              <w:rPr>
                <w:rFonts w:hint="eastAsia"/>
                <w:b/>
                <w:bCs/>
                <w:color w:val="auto"/>
                <w:szCs w:val="21"/>
              </w:rPr>
              <w:t>表2-3   项目主要设备一览表</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422"/>
              <w:gridCol w:w="3151"/>
              <w:gridCol w:w="1293"/>
            </w:tblGrid>
            <w:tr w14:paraId="5AC23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7B7E4F4">
                  <w:pPr>
                    <w:pStyle w:val="64"/>
                    <w:rPr>
                      <w:rFonts w:ascii="Times New Roman" w:hAnsi="Times New Roman"/>
                      <w:b/>
                      <w:color w:val="auto"/>
                    </w:rPr>
                  </w:pPr>
                  <w:r>
                    <w:rPr>
                      <w:rFonts w:ascii="Times New Roman" w:hAnsi="Times New Roman"/>
                      <w:b/>
                      <w:color w:val="auto"/>
                    </w:rPr>
                    <w:t>序号</w:t>
                  </w:r>
                </w:p>
              </w:tc>
              <w:tc>
                <w:tcPr>
                  <w:tcW w:w="1547" w:type="pct"/>
                  <w:tcBorders>
                    <w:tl2br w:val="nil"/>
                    <w:tr2bl w:val="nil"/>
                  </w:tcBorders>
                  <w:vAlign w:val="center"/>
                </w:tcPr>
                <w:p w14:paraId="64D74AD7">
                  <w:pPr>
                    <w:pStyle w:val="64"/>
                    <w:rPr>
                      <w:rFonts w:ascii="Times New Roman" w:hAnsi="Times New Roman"/>
                      <w:b/>
                      <w:color w:val="auto"/>
                    </w:rPr>
                  </w:pPr>
                  <w:r>
                    <w:rPr>
                      <w:rFonts w:ascii="Times New Roman" w:hAnsi="Times New Roman"/>
                      <w:b/>
                      <w:color w:val="auto"/>
                    </w:rPr>
                    <w:t>设备名称</w:t>
                  </w:r>
                </w:p>
              </w:tc>
              <w:tc>
                <w:tcPr>
                  <w:tcW w:w="2013" w:type="pct"/>
                  <w:tcBorders>
                    <w:tl2br w:val="nil"/>
                    <w:tr2bl w:val="nil"/>
                  </w:tcBorders>
                  <w:vAlign w:val="center"/>
                </w:tcPr>
                <w:p w14:paraId="325F1105">
                  <w:pPr>
                    <w:pStyle w:val="64"/>
                    <w:rPr>
                      <w:rFonts w:ascii="Times New Roman" w:hAnsi="Times New Roman"/>
                      <w:b/>
                      <w:color w:val="auto"/>
                    </w:rPr>
                  </w:pPr>
                  <w:r>
                    <w:rPr>
                      <w:rFonts w:ascii="Times New Roman" w:hAnsi="Times New Roman"/>
                      <w:b/>
                      <w:color w:val="auto"/>
                    </w:rPr>
                    <w:t>型号规格</w:t>
                  </w:r>
                </w:p>
              </w:tc>
              <w:tc>
                <w:tcPr>
                  <w:tcW w:w="825" w:type="pct"/>
                  <w:tcBorders>
                    <w:tl2br w:val="nil"/>
                    <w:tr2bl w:val="nil"/>
                  </w:tcBorders>
                  <w:vAlign w:val="center"/>
                </w:tcPr>
                <w:p w14:paraId="041CAA69">
                  <w:pPr>
                    <w:pStyle w:val="64"/>
                    <w:rPr>
                      <w:rFonts w:ascii="Times New Roman" w:hAnsi="Times New Roman"/>
                      <w:b/>
                      <w:color w:val="auto"/>
                    </w:rPr>
                  </w:pPr>
                  <w:r>
                    <w:rPr>
                      <w:rFonts w:ascii="Times New Roman" w:hAnsi="Times New Roman"/>
                      <w:b/>
                      <w:color w:val="auto"/>
                    </w:rPr>
                    <w:t>数量</w:t>
                  </w:r>
                </w:p>
              </w:tc>
            </w:tr>
            <w:tr w14:paraId="35E2E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8BC9DFF">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1</w:t>
                  </w:r>
                </w:p>
              </w:tc>
              <w:tc>
                <w:tcPr>
                  <w:tcW w:w="4386" w:type="pct"/>
                  <w:gridSpan w:val="3"/>
                  <w:tcBorders>
                    <w:tl2br w:val="nil"/>
                    <w:tr2bl w:val="nil"/>
                  </w:tcBorders>
                  <w:vAlign w:val="center"/>
                </w:tcPr>
                <w:p w14:paraId="27064071">
                  <w:pPr>
                    <w:pStyle w:val="64"/>
                    <w:rPr>
                      <w:rFonts w:ascii="Times New Roman" w:hAnsi="Times New Roman"/>
                      <w:b/>
                      <w:color w:val="auto"/>
                      <w:kern w:val="2"/>
                    </w:rPr>
                  </w:pPr>
                  <w:r>
                    <w:rPr>
                      <w:rFonts w:ascii="Times New Roman" w:hAnsi="Times New Roman"/>
                      <w:b/>
                      <w:color w:val="auto"/>
                    </w:rPr>
                    <w:t>圈养平台</w:t>
                  </w:r>
                  <w:r>
                    <w:rPr>
                      <w:rFonts w:hint="eastAsia" w:ascii="Times New Roman" w:hAnsi="Times New Roman"/>
                      <w:b/>
                      <w:color w:val="auto"/>
                    </w:rPr>
                    <w:t>—</w:t>
                  </w:r>
                  <w:r>
                    <w:rPr>
                      <w:rFonts w:ascii="Times New Roman" w:hAnsi="Times New Roman"/>
                      <w:b/>
                      <w:color w:val="auto"/>
                      <w:kern w:val="2"/>
                    </w:rPr>
                    <w:t>2套</w:t>
                  </w:r>
                </w:p>
              </w:tc>
            </w:tr>
            <w:tr w14:paraId="66A6F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D7AB6CE">
                  <w:pPr>
                    <w:pStyle w:val="4"/>
                    <w:numPr>
                      <w:ilvl w:val="2"/>
                      <w:numId w:val="0"/>
                    </w:numPr>
                    <w:spacing w:line="240" w:lineRule="auto"/>
                    <w:jc w:val="center"/>
                    <w:rPr>
                      <w:rFonts w:cs="Times New Roman"/>
                      <w:color w:val="auto"/>
                      <w:sz w:val="21"/>
                      <w:szCs w:val="21"/>
                    </w:rPr>
                  </w:pPr>
                  <w:r>
                    <w:rPr>
                      <w:rFonts w:cs="Times New Roman"/>
                      <w:color w:val="auto"/>
                      <w:sz w:val="21"/>
                      <w:szCs w:val="21"/>
                    </w:rPr>
                    <w:t>1.1</w:t>
                  </w:r>
                </w:p>
              </w:tc>
              <w:tc>
                <w:tcPr>
                  <w:tcW w:w="1547" w:type="pct"/>
                  <w:tcBorders>
                    <w:tl2br w:val="nil"/>
                    <w:tr2bl w:val="nil"/>
                  </w:tcBorders>
                  <w:vAlign w:val="center"/>
                </w:tcPr>
                <w:p w14:paraId="47C3F46C">
                  <w:pPr>
                    <w:widowControl/>
                    <w:tabs>
                      <w:tab w:val="left" w:pos="600"/>
                    </w:tabs>
                    <w:spacing w:line="240" w:lineRule="exact"/>
                    <w:jc w:val="center"/>
                    <w:textAlignment w:val="center"/>
                    <w:rPr>
                      <w:bCs/>
                      <w:color w:val="auto"/>
                      <w:szCs w:val="21"/>
                    </w:rPr>
                  </w:pPr>
                  <w:r>
                    <w:rPr>
                      <w:rFonts w:hint="eastAsia"/>
                      <w:color w:val="auto"/>
                      <w:kern w:val="0"/>
                      <w:szCs w:val="21"/>
                      <w:lang w:bidi="ar"/>
                    </w:rPr>
                    <w:t>马口鱼</w:t>
                  </w:r>
                  <w:r>
                    <w:rPr>
                      <w:color w:val="auto"/>
                      <w:kern w:val="0"/>
                      <w:szCs w:val="21"/>
                      <w:lang w:bidi="ar"/>
                    </w:rPr>
                    <w:t>圈养桶</w:t>
                  </w:r>
                </w:p>
              </w:tc>
              <w:tc>
                <w:tcPr>
                  <w:tcW w:w="2013" w:type="pct"/>
                  <w:tcBorders>
                    <w:tl2br w:val="nil"/>
                    <w:tr2bl w:val="nil"/>
                  </w:tcBorders>
                  <w:vAlign w:val="center"/>
                </w:tcPr>
                <w:p w14:paraId="4384A92D">
                  <w:pPr>
                    <w:widowControl/>
                    <w:tabs>
                      <w:tab w:val="left" w:pos="600"/>
                    </w:tabs>
                    <w:spacing w:line="240" w:lineRule="exact"/>
                    <w:jc w:val="center"/>
                    <w:textAlignment w:val="center"/>
                    <w:rPr>
                      <w:bCs/>
                      <w:color w:val="auto"/>
                      <w:szCs w:val="21"/>
                    </w:rPr>
                  </w:pPr>
                  <w:r>
                    <w:rPr>
                      <w:color w:val="auto"/>
                      <w:kern w:val="0"/>
                      <w:szCs w:val="21"/>
                      <w:lang w:bidi="ar"/>
                    </w:rPr>
                    <w:t>PE材质、高4</w:t>
                  </w:r>
                  <w:r>
                    <w:rPr>
                      <w:rFonts w:hint="eastAsia"/>
                      <w:color w:val="auto"/>
                      <w:kern w:val="0"/>
                      <w:szCs w:val="21"/>
                      <w:lang w:bidi="ar"/>
                    </w:rPr>
                    <w:t>m</w:t>
                  </w:r>
                  <w:r>
                    <w:rPr>
                      <w:color w:val="auto"/>
                      <w:kern w:val="0"/>
                      <w:szCs w:val="21"/>
                      <w:lang w:bidi="ar"/>
                    </w:rPr>
                    <w:t>，直径6m</w:t>
                  </w:r>
                </w:p>
              </w:tc>
              <w:tc>
                <w:tcPr>
                  <w:tcW w:w="825" w:type="pct"/>
                  <w:tcBorders>
                    <w:tl2br w:val="nil"/>
                    <w:tr2bl w:val="nil"/>
                  </w:tcBorders>
                  <w:vAlign w:val="center"/>
                </w:tcPr>
                <w:p w14:paraId="535B0A4C">
                  <w:pPr>
                    <w:widowControl/>
                    <w:tabs>
                      <w:tab w:val="left" w:pos="600"/>
                    </w:tabs>
                    <w:spacing w:line="240" w:lineRule="exact"/>
                    <w:jc w:val="center"/>
                    <w:textAlignment w:val="center"/>
                    <w:rPr>
                      <w:bCs/>
                      <w:color w:val="auto"/>
                      <w:szCs w:val="21"/>
                    </w:rPr>
                  </w:pPr>
                  <w:r>
                    <w:rPr>
                      <w:rFonts w:hint="eastAsia"/>
                      <w:color w:val="auto"/>
                      <w:kern w:val="0"/>
                      <w:szCs w:val="21"/>
                      <w:lang w:bidi="ar"/>
                    </w:rPr>
                    <w:t>80</w:t>
                  </w:r>
                  <w:r>
                    <w:rPr>
                      <w:color w:val="auto"/>
                      <w:kern w:val="0"/>
                      <w:szCs w:val="21"/>
                      <w:lang w:bidi="ar"/>
                    </w:rPr>
                    <w:t>个</w:t>
                  </w:r>
                </w:p>
              </w:tc>
            </w:tr>
            <w:tr w14:paraId="2A8C1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E242A6E">
                  <w:pPr>
                    <w:pStyle w:val="4"/>
                    <w:numPr>
                      <w:ilvl w:val="2"/>
                      <w:numId w:val="0"/>
                    </w:numPr>
                    <w:spacing w:line="240" w:lineRule="auto"/>
                    <w:jc w:val="center"/>
                    <w:rPr>
                      <w:rFonts w:cs="Times New Roman"/>
                      <w:color w:val="auto"/>
                      <w:sz w:val="21"/>
                      <w:szCs w:val="21"/>
                    </w:rPr>
                  </w:pPr>
                  <w:r>
                    <w:rPr>
                      <w:rFonts w:cs="Times New Roman"/>
                      <w:color w:val="auto"/>
                      <w:sz w:val="21"/>
                      <w:szCs w:val="21"/>
                    </w:rPr>
                    <w:t>1.2</w:t>
                  </w:r>
                </w:p>
              </w:tc>
              <w:tc>
                <w:tcPr>
                  <w:tcW w:w="1547" w:type="pct"/>
                  <w:tcBorders>
                    <w:tl2br w:val="nil"/>
                    <w:tr2bl w:val="nil"/>
                  </w:tcBorders>
                  <w:vAlign w:val="center"/>
                </w:tcPr>
                <w:p w14:paraId="3C7C8106">
                  <w:pPr>
                    <w:widowControl/>
                    <w:tabs>
                      <w:tab w:val="left" w:pos="600"/>
                    </w:tabs>
                    <w:spacing w:line="240" w:lineRule="exact"/>
                    <w:jc w:val="center"/>
                    <w:textAlignment w:val="center"/>
                    <w:rPr>
                      <w:bCs/>
                      <w:color w:val="auto"/>
                      <w:szCs w:val="21"/>
                    </w:rPr>
                  </w:pPr>
                  <w:r>
                    <w:rPr>
                      <w:rFonts w:hint="eastAsia"/>
                      <w:color w:val="auto"/>
                      <w:kern w:val="0"/>
                      <w:szCs w:val="21"/>
                      <w:lang w:bidi="ar"/>
                    </w:rPr>
                    <w:t>观赏鱼养殖桶</w:t>
                  </w:r>
                </w:p>
              </w:tc>
              <w:tc>
                <w:tcPr>
                  <w:tcW w:w="2013" w:type="pct"/>
                  <w:tcBorders>
                    <w:tl2br w:val="nil"/>
                    <w:tr2bl w:val="nil"/>
                  </w:tcBorders>
                  <w:vAlign w:val="center"/>
                </w:tcPr>
                <w:p w14:paraId="0F6E8C76">
                  <w:pPr>
                    <w:widowControl/>
                    <w:tabs>
                      <w:tab w:val="left" w:pos="600"/>
                    </w:tabs>
                    <w:spacing w:line="240" w:lineRule="exact"/>
                    <w:jc w:val="center"/>
                    <w:textAlignment w:val="center"/>
                    <w:rPr>
                      <w:bCs/>
                      <w:color w:val="auto"/>
                      <w:szCs w:val="21"/>
                    </w:rPr>
                  </w:pPr>
                  <w:r>
                    <w:rPr>
                      <w:color w:val="auto"/>
                      <w:kern w:val="0"/>
                      <w:szCs w:val="21"/>
                      <w:lang w:bidi="ar"/>
                    </w:rPr>
                    <w:t>PE材质、高4</w:t>
                  </w:r>
                  <w:r>
                    <w:rPr>
                      <w:rFonts w:hint="eastAsia"/>
                      <w:color w:val="auto"/>
                      <w:kern w:val="0"/>
                      <w:szCs w:val="21"/>
                      <w:lang w:bidi="ar"/>
                    </w:rPr>
                    <w:t>m</w:t>
                  </w:r>
                  <w:r>
                    <w:rPr>
                      <w:color w:val="auto"/>
                      <w:kern w:val="0"/>
                      <w:szCs w:val="21"/>
                      <w:lang w:bidi="ar"/>
                    </w:rPr>
                    <w:t>，直径</w:t>
                  </w:r>
                  <w:r>
                    <w:rPr>
                      <w:rFonts w:hint="eastAsia"/>
                      <w:color w:val="auto"/>
                      <w:kern w:val="0"/>
                      <w:szCs w:val="21"/>
                      <w:lang w:bidi="ar"/>
                    </w:rPr>
                    <w:t>3</w:t>
                  </w:r>
                  <w:r>
                    <w:rPr>
                      <w:color w:val="auto"/>
                      <w:kern w:val="0"/>
                      <w:szCs w:val="21"/>
                      <w:lang w:bidi="ar"/>
                    </w:rPr>
                    <w:t>m</w:t>
                  </w:r>
                </w:p>
              </w:tc>
              <w:tc>
                <w:tcPr>
                  <w:tcW w:w="825" w:type="pct"/>
                  <w:tcBorders>
                    <w:tl2br w:val="nil"/>
                    <w:tr2bl w:val="nil"/>
                  </w:tcBorders>
                  <w:vAlign w:val="center"/>
                </w:tcPr>
                <w:p w14:paraId="1F0F5712">
                  <w:pPr>
                    <w:widowControl/>
                    <w:tabs>
                      <w:tab w:val="left" w:pos="320"/>
                      <w:tab w:val="center" w:pos="597"/>
                      <w:tab w:val="left" w:pos="600"/>
                    </w:tabs>
                    <w:spacing w:line="240" w:lineRule="exact"/>
                    <w:jc w:val="center"/>
                    <w:textAlignment w:val="center"/>
                    <w:rPr>
                      <w:bCs/>
                      <w:color w:val="auto"/>
                      <w:szCs w:val="21"/>
                    </w:rPr>
                  </w:pPr>
                  <w:r>
                    <w:rPr>
                      <w:rFonts w:hint="eastAsia"/>
                      <w:color w:val="auto"/>
                      <w:kern w:val="0"/>
                      <w:szCs w:val="21"/>
                      <w:lang w:bidi="ar"/>
                    </w:rPr>
                    <w:t>12</w:t>
                  </w:r>
                  <w:r>
                    <w:rPr>
                      <w:color w:val="auto"/>
                      <w:kern w:val="0"/>
                      <w:szCs w:val="21"/>
                      <w:lang w:bidi="ar"/>
                    </w:rPr>
                    <w:t>个</w:t>
                  </w:r>
                </w:p>
              </w:tc>
            </w:tr>
            <w:tr w14:paraId="436F5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C3FF7E3">
                  <w:pPr>
                    <w:pStyle w:val="4"/>
                    <w:numPr>
                      <w:ilvl w:val="2"/>
                      <w:numId w:val="0"/>
                    </w:numPr>
                    <w:spacing w:line="240" w:lineRule="auto"/>
                    <w:jc w:val="center"/>
                    <w:rPr>
                      <w:rFonts w:cs="Times New Roman"/>
                      <w:color w:val="auto"/>
                      <w:sz w:val="21"/>
                      <w:szCs w:val="21"/>
                    </w:rPr>
                  </w:pPr>
                  <w:r>
                    <w:rPr>
                      <w:rFonts w:cs="Times New Roman"/>
                      <w:color w:val="auto"/>
                      <w:sz w:val="21"/>
                      <w:szCs w:val="21"/>
                    </w:rPr>
                    <w:t>1.3</w:t>
                  </w:r>
                </w:p>
              </w:tc>
              <w:tc>
                <w:tcPr>
                  <w:tcW w:w="1547" w:type="pct"/>
                  <w:tcBorders>
                    <w:tl2br w:val="nil"/>
                    <w:tr2bl w:val="nil"/>
                  </w:tcBorders>
                  <w:vAlign w:val="center"/>
                </w:tcPr>
                <w:p w14:paraId="1D15963C">
                  <w:pPr>
                    <w:widowControl/>
                    <w:tabs>
                      <w:tab w:val="left" w:pos="600"/>
                    </w:tabs>
                    <w:spacing w:line="240" w:lineRule="exact"/>
                    <w:jc w:val="center"/>
                    <w:textAlignment w:val="center"/>
                    <w:rPr>
                      <w:bCs/>
                      <w:color w:val="auto"/>
                      <w:szCs w:val="21"/>
                    </w:rPr>
                  </w:pPr>
                  <w:r>
                    <w:rPr>
                      <w:color w:val="auto"/>
                      <w:kern w:val="0"/>
                      <w:szCs w:val="21"/>
                      <w:lang w:bidi="ar"/>
                    </w:rPr>
                    <w:t>圈养桶支撑圆管</w:t>
                  </w:r>
                </w:p>
              </w:tc>
              <w:tc>
                <w:tcPr>
                  <w:tcW w:w="2013" w:type="pct"/>
                  <w:tcBorders>
                    <w:tl2br w:val="nil"/>
                    <w:tr2bl w:val="nil"/>
                  </w:tcBorders>
                  <w:vAlign w:val="center"/>
                </w:tcPr>
                <w:p w14:paraId="60313C4F">
                  <w:pPr>
                    <w:widowControl/>
                    <w:tabs>
                      <w:tab w:val="left" w:pos="600"/>
                    </w:tabs>
                    <w:spacing w:line="240" w:lineRule="exact"/>
                    <w:jc w:val="center"/>
                    <w:textAlignment w:val="center"/>
                    <w:rPr>
                      <w:bCs/>
                      <w:color w:val="auto"/>
                      <w:szCs w:val="21"/>
                    </w:rPr>
                  </w:pPr>
                  <w:r>
                    <w:rPr>
                      <w:color w:val="auto"/>
                      <w:kern w:val="0"/>
                      <w:szCs w:val="21"/>
                      <w:lang w:bidi="ar"/>
                    </w:rPr>
                    <w:t>镀锌钢管、25型、直径</w:t>
                  </w:r>
                  <w:r>
                    <w:rPr>
                      <w:rFonts w:hint="eastAsia"/>
                      <w:color w:val="auto"/>
                      <w:kern w:val="0"/>
                      <w:szCs w:val="21"/>
                      <w:lang w:bidi="ar"/>
                    </w:rPr>
                    <w:t>6</w:t>
                  </w:r>
                  <w:r>
                    <w:rPr>
                      <w:color w:val="auto"/>
                      <w:kern w:val="0"/>
                      <w:szCs w:val="21"/>
                      <w:lang w:bidi="ar"/>
                    </w:rPr>
                    <w:t>m</w:t>
                  </w:r>
                </w:p>
              </w:tc>
              <w:tc>
                <w:tcPr>
                  <w:tcW w:w="825" w:type="pct"/>
                  <w:tcBorders>
                    <w:tl2br w:val="nil"/>
                    <w:tr2bl w:val="nil"/>
                  </w:tcBorders>
                  <w:vAlign w:val="center"/>
                </w:tcPr>
                <w:p w14:paraId="5BE38B99">
                  <w:pPr>
                    <w:widowControl/>
                    <w:tabs>
                      <w:tab w:val="left" w:pos="600"/>
                    </w:tabs>
                    <w:spacing w:line="240" w:lineRule="exact"/>
                    <w:jc w:val="center"/>
                    <w:textAlignment w:val="center"/>
                    <w:rPr>
                      <w:bCs/>
                      <w:color w:val="auto"/>
                      <w:szCs w:val="21"/>
                    </w:rPr>
                  </w:pPr>
                  <w:r>
                    <w:rPr>
                      <w:rFonts w:hint="eastAsia"/>
                      <w:color w:val="auto"/>
                      <w:kern w:val="0"/>
                      <w:szCs w:val="21"/>
                      <w:lang w:bidi="ar"/>
                    </w:rPr>
                    <w:t>80</w:t>
                  </w:r>
                  <w:r>
                    <w:rPr>
                      <w:color w:val="auto"/>
                      <w:kern w:val="0"/>
                      <w:szCs w:val="21"/>
                      <w:lang w:bidi="ar"/>
                    </w:rPr>
                    <w:t>套</w:t>
                  </w:r>
                </w:p>
              </w:tc>
            </w:tr>
            <w:tr w14:paraId="49373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0A25B40">
                  <w:pPr>
                    <w:pStyle w:val="4"/>
                    <w:numPr>
                      <w:ilvl w:val="2"/>
                      <w:numId w:val="0"/>
                    </w:numPr>
                    <w:spacing w:line="240" w:lineRule="auto"/>
                    <w:jc w:val="center"/>
                    <w:rPr>
                      <w:rFonts w:cs="Times New Roman"/>
                      <w:color w:val="auto"/>
                      <w:sz w:val="21"/>
                      <w:szCs w:val="21"/>
                    </w:rPr>
                  </w:pPr>
                  <w:r>
                    <w:rPr>
                      <w:rFonts w:cs="Times New Roman"/>
                      <w:color w:val="auto"/>
                      <w:sz w:val="21"/>
                      <w:szCs w:val="21"/>
                    </w:rPr>
                    <w:t>1.4</w:t>
                  </w:r>
                </w:p>
              </w:tc>
              <w:tc>
                <w:tcPr>
                  <w:tcW w:w="1547" w:type="pct"/>
                  <w:tcBorders>
                    <w:tl2br w:val="nil"/>
                    <w:tr2bl w:val="nil"/>
                  </w:tcBorders>
                  <w:vAlign w:val="center"/>
                </w:tcPr>
                <w:p w14:paraId="0F93730E">
                  <w:pPr>
                    <w:widowControl/>
                    <w:tabs>
                      <w:tab w:val="left" w:pos="600"/>
                    </w:tabs>
                    <w:spacing w:line="240" w:lineRule="exact"/>
                    <w:jc w:val="center"/>
                    <w:textAlignment w:val="center"/>
                    <w:rPr>
                      <w:bCs/>
                      <w:color w:val="auto"/>
                      <w:szCs w:val="21"/>
                    </w:rPr>
                  </w:pPr>
                  <w:r>
                    <w:rPr>
                      <w:color w:val="auto"/>
                      <w:kern w:val="0"/>
                      <w:szCs w:val="21"/>
                      <w:lang w:bidi="ar"/>
                    </w:rPr>
                    <w:t>圈养桶支撑圆管</w:t>
                  </w:r>
                </w:p>
              </w:tc>
              <w:tc>
                <w:tcPr>
                  <w:tcW w:w="2013" w:type="pct"/>
                  <w:tcBorders>
                    <w:tl2br w:val="nil"/>
                    <w:tr2bl w:val="nil"/>
                  </w:tcBorders>
                  <w:vAlign w:val="center"/>
                </w:tcPr>
                <w:p w14:paraId="26B19A88">
                  <w:pPr>
                    <w:widowControl/>
                    <w:tabs>
                      <w:tab w:val="left" w:pos="600"/>
                    </w:tabs>
                    <w:spacing w:line="240" w:lineRule="exact"/>
                    <w:jc w:val="center"/>
                    <w:textAlignment w:val="center"/>
                    <w:rPr>
                      <w:bCs/>
                      <w:color w:val="auto"/>
                      <w:szCs w:val="21"/>
                    </w:rPr>
                  </w:pPr>
                  <w:r>
                    <w:rPr>
                      <w:color w:val="auto"/>
                      <w:kern w:val="0"/>
                      <w:szCs w:val="21"/>
                      <w:lang w:bidi="ar"/>
                    </w:rPr>
                    <w:t>镀锌钢管、25型、直径</w:t>
                  </w:r>
                  <w:r>
                    <w:rPr>
                      <w:rFonts w:hint="eastAsia"/>
                      <w:color w:val="auto"/>
                      <w:kern w:val="0"/>
                      <w:szCs w:val="21"/>
                      <w:lang w:bidi="ar"/>
                    </w:rPr>
                    <w:t>3</w:t>
                  </w:r>
                  <w:r>
                    <w:rPr>
                      <w:color w:val="auto"/>
                      <w:kern w:val="0"/>
                      <w:szCs w:val="21"/>
                      <w:lang w:bidi="ar"/>
                    </w:rPr>
                    <w:t>m</w:t>
                  </w:r>
                </w:p>
              </w:tc>
              <w:tc>
                <w:tcPr>
                  <w:tcW w:w="825" w:type="pct"/>
                  <w:tcBorders>
                    <w:tl2br w:val="nil"/>
                    <w:tr2bl w:val="nil"/>
                  </w:tcBorders>
                  <w:vAlign w:val="center"/>
                </w:tcPr>
                <w:p w14:paraId="068220F6">
                  <w:pPr>
                    <w:widowControl/>
                    <w:tabs>
                      <w:tab w:val="left" w:pos="600"/>
                    </w:tabs>
                    <w:spacing w:line="240" w:lineRule="exact"/>
                    <w:jc w:val="center"/>
                    <w:textAlignment w:val="center"/>
                    <w:rPr>
                      <w:bCs/>
                      <w:color w:val="auto"/>
                      <w:szCs w:val="21"/>
                    </w:rPr>
                  </w:pPr>
                  <w:r>
                    <w:rPr>
                      <w:rFonts w:hint="eastAsia"/>
                      <w:color w:val="auto"/>
                      <w:kern w:val="0"/>
                      <w:szCs w:val="21"/>
                      <w:lang w:bidi="ar"/>
                    </w:rPr>
                    <w:t>12</w:t>
                  </w:r>
                  <w:r>
                    <w:rPr>
                      <w:color w:val="auto"/>
                      <w:kern w:val="0"/>
                      <w:szCs w:val="21"/>
                      <w:lang w:bidi="ar"/>
                    </w:rPr>
                    <w:t>套</w:t>
                  </w:r>
                </w:p>
              </w:tc>
            </w:tr>
            <w:tr w14:paraId="6FBC8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556C045">
                  <w:pPr>
                    <w:pStyle w:val="4"/>
                    <w:numPr>
                      <w:ilvl w:val="2"/>
                      <w:numId w:val="0"/>
                    </w:numPr>
                    <w:spacing w:line="240" w:lineRule="auto"/>
                    <w:jc w:val="center"/>
                    <w:rPr>
                      <w:rFonts w:cs="Times New Roman"/>
                      <w:color w:val="auto"/>
                      <w:sz w:val="21"/>
                      <w:szCs w:val="21"/>
                    </w:rPr>
                  </w:pPr>
                  <w:r>
                    <w:rPr>
                      <w:rFonts w:cs="Times New Roman"/>
                      <w:color w:val="auto"/>
                      <w:sz w:val="21"/>
                      <w:szCs w:val="21"/>
                    </w:rPr>
                    <w:t>1.5</w:t>
                  </w:r>
                </w:p>
              </w:tc>
              <w:tc>
                <w:tcPr>
                  <w:tcW w:w="1547" w:type="pct"/>
                  <w:tcBorders>
                    <w:tl2br w:val="nil"/>
                    <w:tr2bl w:val="nil"/>
                  </w:tcBorders>
                  <w:vAlign w:val="center"/>
                </w:tcPr>
                <w:p w14:paraId="4C1AF494">
                  <w:pPr>
                    <w:widowControl/>
                    <w:tabs>
                      <w:tab w:val="left" w:pos="600"/>
                    </w:tabs>
                    <w:spacing w:line="240" w:lineRule="exact"/>
                    <w:jc w:val="center"/>
                    <w:textAlignment w:val="center"/>
                    <w:rPr>
                      <w:bCs/>
                      <w:color w:val="auto"/>
                      <w:szCs w:val="21"/>
                    </w:rPr>
                  </w:pPr>
                  <w:r>
                    <w:rPr>
                      <w:color w:val="auto"/>
                      <w:kern w:val="0"/>
                      <w:szCs w:val="21"/>
                      <w:lang w:bidi="ar"/>
                    </w:rPr>
                    <w:t>PA（尼龙）防逃网</w:t>
                  </w:r>
                </w:p>
              </w:tc>
              <w:tc>
                <w:tcPr>
                  <w:tcW w:w="2013" w:type="pct"/>
                  <w:tcBorders>
                    <w:tl2br w:val="nil"/>
                    <w:tr2bl w:val="nil"/>
                  </w:tcBorders>
                  <w:vAlign w:val="center"/>
                </w:tcPr>
                <w:p w14:paraId="41259F9E">
                  <w:pPr>
                    <w:widowControl/>
                    <w:tabs>
                      <w:tab w:val="left" w:pos="600"/>
                    </w:tabs>
                    <w:spacing w:line="240" w:lineRule="exact"/>
                    <w:jc w:val="center"/>
                    <w:textAlignment w:val="center"/>
                    <w:rPr>
                      <w:bCs/>
                      <w:color w:val="auto"/>
                      <w:szCs w:val="21"/>
                    </w:rPr>
                  </w:pPr>
                  <w:r>
                    <w:rPr>
                      <w:color w:val="auto"/>
                      <w:kern w:val="0"/>
                      <w:szCs w:val="21"/>
                      <w:lang w:bidi="ar"/>
                    </w:rPr>
                    <w:t>PA（尼龙），Φ6米</w:t>
                  </w:r>
                </w:p>
              </w:tc>
              <w:tc>
                <w:tcPr>
                  <w:tcW w:w="825" w:type="pct"/>
                  <w:tcBorders>
                    <w:tl2br w:val="nil"/>
                    <w:tr2bl w:val="nil"/>
                  </w:tcBorders>
                  <w:vAlign w:val="center"/>
                </w:tcPr>
                <w:p w14:paraId="5B693FAC">
                  <w:pPr>
                    <w:widowControl/>
                    <w:tabs>
                      <w:tab w:val="left" w:pos="600"/>
                    </w:tabs>
                    <w:spacing w:line="240" w:lineRule="exact"/>
                    <w:jc w:val="center"/>
                    <w:textAlignment w:val="center"/>
                    <w:rPr>
                      <w:color w:val="auto"/>
                      <w:szCs w:val="21"/>
                    </w:rPr>
                  </w:pPr>
                  <w:r>
                    <w:rPr>
                      <w:color w:val="auto"/>
                      <w:kern w:val="0"/>
                      <w:szCs w:val="21"/>
                      <w:lang w:bidi="ar"/>
                    </w:rPr>
                    <w:t>3204m</w:t>
                  </w:r>
                </w:p>
              </w:tc>
            </w:tr>
            <w:tr w14:paraId="08B00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F098D30">
                  <w:pPr>
                    <w:pStyle w:val="4"/>
                    <w:numPr>
                      <w:ilvl w:val="2"/>
                      <w:numId w:val="0"/>
                    </w:numPr>
                    <w:spacing w:line="240" w:lineRule="auto"/>
                    <w:jc w:val="center"/>
                    <w:rPr>
                      <w:rFonts w:cs="Times New Roman"/>
                      <w:color w:val="auto"/>
                      <w:sz w:val="21"/>
                      <w:szCs w:val="21"/>
                    </w:rPr>
                  </w:pPr>
                  <w:r>
                    <w:rPr>
                      <w:rFonts w:cs="Times New Roman"/>
                      <w:color w:val="auto"/>
                      <w:sz w:val="21"/>
                      <w:szCs w:val="21"/>
                    </w:rPr>
                    <w:t>1.6</w:t>
                  </w:r>
                </w:p>
              </w:tc>
              <w:tc>
                <w:tcPr>
                  <w:tcW w:w="1547" w:type="pct"/>
                  <w:tcBorders>
                    <w:tl2br w:val="nil"/>
                    <w:tr2bl w:val="nil"/>
                  </w:tcBorders>
                  <w:vAlign w:val="center"/>
                </w:tcPr>
                <w:p w14:paraId="1C7A2A34">
                  <w:pPr>
                    <w:widowControl/>
                    <w:tabs>
                      <w:tab w:val="left" w:pos="600"/>
                    </w:tabs>
                    <w:spacing w:line="240" w:lineRule="exact"/>
                    <w:jc w:val="center"/>
                    <w:textAlignment w:val="center"/>
                    <w:rPr>
                      <w:color w:val="auto"/>
                      <w:kern w:val="0"/>
                      <w:szCs w:val="21"/>
                      <w:lang w:bidi="ar"/>
                    </w:rPr>
                  </w:pPr>
                  <w:r>
                    <w:rPr>
                      <w:color w:val="auto"/>
                      <w:kern w:val="0"/>
                      <w:szCs w:val="21"/>
                      <w:lang w:bidi="ar"/>
                    </w:rPr>
                    <w:t>4厚40角钢</w:t>
                  </w:r>
                </w:p>
              </w:tc>
              <w:tc>
                <w:tcPr>
                  <w:tcW w:w="2013" w:type="pct"/>
                  <w:tcBorders>
                    <w:tl2br w:val="nil"/>
                    <w:tr2bl w:val="nil"/>
                  </w:tcBorders>
                  <w:vAlign w:val="center"/>
                </w:tcPr>
                <w:p w14:paraId="15B1D679">
                  <w:pPr>
                    <w:widowControl/>
                    <w:tabs>
                      <w:tab w:val="left" w:pos="600"/>
                    </w:tabs>
                    <w:spacing w:line="240" w:lineRule="exact"/>
                    <w:jc w:val="center"/>
                    <w:textAlignment w:val="center"/>
                    <w:rPr>
                      <w:color w:val="auto"/>
                      <w:kern w:val="0"/>
                      <w:szCs w:val="21"/>
                      <w:lang w:bidi="ar"/>
                    </w:rPr>
                  </w:pPr>
                  <w:r>
                    <w:rPr>
                      <w:color w:val="auto"/>
                      <w:kern w:val="0"/>
                      <w:szCs w:val="21"/>
                      <w:lang w:bidi="ar"/>
                    </w:rPr>
                    <w:t>热镀锌40角铁</w:t>
                  </w:r>
                </w:p>
              </w:tc>
              <w:tc>
                <w:tcPr>
                  <w:tcW w:w="825" w:type="pct"/>
                  <w:tcBorders>
                    <w:tl2br w:val="nil"/>
                    <w:tr2bl w:val="nil"/>
                  </w:tcBorders>
                  <w:vAlign w:val="center"/>
                </w:tcPr>
                <w:p w14:paraId="627DA1AB">
                  <w:pPr>
                    <w:widowControl/>
                    <w:tabs>
                      <w:tab w:val="left" w:pos="600"/>
                    </w:tabs>
                    <w:spacing w:line="240" w:lineRule="exact"/>
                    <w:jc w:val="center"/>
                    <w:textAlignment w:val="center"/>
                    <w:rPr>
                      <w:color w:val="auto"/>
                      <w:kern w:val="0"/>
                      <w:szCs w:val="21"/>
                      <w:lang w:bidi="ar"/>
                    </w:rPr>
                  </w:pPr>
                  <w:r>
                    <w:rPr>
                      <w:color w:val="auto"/>
                      <w:kern w:val="0"/>
                      <w:szCs w:val="21"/>
                      <w:lang w:bidi="ar"/>
                    </w:rPr>
                    <w:t>1508m</w:t>
                  </w:r>
                </w:p>
              </w:tc>
            </w:tr>
            <w:tr w14:paraId="37F23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359D940">
                  <w:pPr>
                    <w:pStyle w:val="4"/>
                    <w:numPr>
                      <w:ilvl w:val="2"/>
                      <w:numId w:val="0"/>
                    </w:numPr>
                    <w:spacing w:line="240" w:lineRule="auto"/>
                    <w:jc w:val="center"/>
                    <w:rPr>
                      <w:rFonts w:cs="Times New Roman"/>
                      <w:color w:val="auto"/>
                      <w:sz w:val="21"/>
                      <w:szCs w:val="21"/>
                    </w:rPr>
                  </w:pPr>
                  <w:r>
                    <w:rPr>
                      <w:rFonts w:cs="Times New Roman"/>
                      <w:color w:val="auto"/>
                      <w:sz w:val="21"/>
                      <w:szCs w:val="21"/>
                    </w:rPr>
                    <w:t>1.7</w:t>
                  </w:r>
                </w:p>
              </w:tc>
              <w:tc>
                <w:tcPr>
                  <w:tcW w:w="1547" w:type="pct"/>
                  <w:tcBorders>
                    <w:tl2br w:val="nil"/>
                    <w:tr2bl w:val="nil"/>
                  </w:tcBorders>
                  <w:vAlign w:val="center"/>
                </w:tcPr>
                <w:p w14:paraId="08F05B4C">
                  <w:pPr>
                    <w:widowControl/>
                    <w:tabs>
                      <w:tab w:val="left" w:pos="600"/>
                    </w:tabs>
                    <w:spacing w:line="240" w:lineRule="exact"/>
                    <w:jc w:val="center"/>
                    <w:textAlignment w:val="center"/>
                    <w:rPr>
                      <w:color w:val="auto"/>
                      <w:kern w:val="0"/>
                      <w:szCs w:val="21"/>
                      <w:lang w:bidi="ar"/>
                    </w:rPr>
                  </w:pPr>
                  <w:r>
                    <w:rPr>
                      <w:color w:val="auto"/>
                      <w:kern w:val="0"/>
                      <w:szCs w:val="21"/>
                      <w:lang w:bidi="ar"/>
                    </w:rPr>
                    <w:t>4厚40角钢（圆弧）</w:t>
                  </w:r>
                </w:p>
              </w:tc>
              <w:tc>
                <w:tcPr>
                  <w:tcW w:w="2013" w:type="pct"/>
                  <w:tcBorders>
                    <w:tl2br w:val="nil"/>
                    <w:tr2bl w:val="nil"/>
                  </w:tcBorders>
                  <w:vAlign w:val="center"/>
                </w:tcPr>
                <w:p w14:paraId="07EB2D6F">
                  <w:pPr>
                    <w:widowControl/>
                    <w:tabs>
                      <w:tab w:val="left" w:pos="600"/>
                    </w:tabs>
                    <w:spacing w:line="240" w:lineRule="exact"/>
                    <w:jc w:val="center"/>
                    <w:textAlignment w:val="center"/>
                    <w:rPr>
                      <w:color w:val="auto"/>
                      <w:kern w:val="0"/>
                      <w:szCs w:val="21"/>
                      <w:lang w:bidi="ar"/>
                    </w:rPr>
                  </w:pPr>
                  <w:r>
                    <w:rPr>
                      <w:color w:val="auto"/>
                      <w:kern w:val="0"/>
                      <w:szCs w:val="21"/>
                      <w:lang w:bidi="ar"/>
                    </w:rPr>
                    <w:t>热镀锌40角铁</w:t>
                  </w:r>
                </w:p>
              </w:tc>
              <w:tc>
                <w:tcPr>
                  <w:tcW w:w="825" w:type="pct"/>
                  <w:tcBorders>
                    <w:tl2br w:val="nil"/>
                    <w:tr2bl w:val="nil"/>
                  </w:tcBorders>
                  <w:vAlign w:val="center"/>
                </w:tcPr>
                <w:p w14:paraId="643A9EFD">
                  <w:pPr>
                    <w:widowControl/>
                    <w:tabs>
                      <w:tab w:val="left" w:pos="600"/>
                    </w:tabs>
                    <w:spacing w:line="240" w:lineRule="exact"/>
                    <w:jc w:val="center"/>
                    <w:textAlignment w:val="center"/>
                    <w:rPr>
                      <w:color w:val="auto"/>
                      <w:kern w:val="0"/>
                      <w:szCs w:val="21"/>
                      <w:lang w:bidi="ar"/>
                    </w:rPr>
                  </w:pPr>
                  <w:r>
                    <w:rPr>
                      <w:color w:val="auto"/>
                      <w:kern w:val="0"/>
                      <w:szCs w:val="21"/>
                      <w:lang w:bidi="ar"/>
                    </w:rPr>
                    <w:t>1571个</w:t>
                  </w:r>
                </w:p>
              </w:tc>
            </w:tr>
            <w:tr w14:paraId="5DFB4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2DEDDE6">
                  <w:pPr>
                    <w:pStyle w:val="4"/>
                    <w:numPr>
                      <w:ilvl w:val="2"/>
                      <w:numId w:val="0"/>
                    </w:numPr>
                    <w:spacing w:line="240" w:lineRule="auto"/>
                    <w:jc w:val="center"/>
                    <w:rPr>
                      <w:rFonts w:cs="Times New Roman"/>
                      <w:color w:val="auto"/>
                      <w:sz w:val="21"/>
                      <w:szCs w:val="21"/>
                    </w:rPr>
                  </w:pPr>
                  <w:r>
                    <w:rPr>
                      <w:rFonts w:cs="Times New Roman"/>
                      <w:color w:val="auto"/>
                      <w:sz w:val="21"/>
                      <w:szCs w:val="21"/>
                    </w:rPr>
                    <w:t>1.8</w:t>
                  </w:r>
                </w:p>
              </w:tc>
              <w:tc>
                <w:tcPr>
                  <w:tcW w:w="1547" w:type="pct"/>
                  <w:tcBorders>
                    <w:tl2br w:val="nil"/>
                    <w:tr2bl w:val="nil"/>
                  </w:tcBorders>
                  <w:vAlign w:val="center"/>
                </w:tcPr>
                <w:p w14:paraId="1AF3B2D3">
                  <w:pPr>
                    <w:widowControl/>
                    <w:tabs>
                      <w:tab w:val="left" w:pos="600"/>
                    </w:tabs>
                    <w:spacing w:line="240" w:lineRule="exact"/>
                    <w:jc w:val="center"/>
                    <w:textAlignment w:val="center"/>
                    <w:rPr>
                      <w:color w:val="auto"/>
                      <w:kern w:val="0"/>
                      <w:szCs w:val="21"/>
                      <w:lang w:bidi="ar"/>
                    </w:rPr>
                  </w:pPr>
                  <w:r>
                    <w:rPr>
                      <w:color w:val="auto"/>
                      <w:kern w:val="0"/>
                      <w:szCs w:val="21"/>
                      <w:lang w:bidi="ar"/>
                    </w:rPr>
                    <w:t>支架1</w:t>
                  </w:r>
                </w:p>
              </w:tc>
              <w:tc>
                <w:tcPr>
                  <w:tcW w:w="2013" w:type="pct"/>
                  <w:tcBorders>
                    <w:tl2br w:val="nil"/>
                    <w:tr2bl w:val="nil"/>
                  </w:tcBorders>
                  <w:vAlign w:val="center"/>
                </w:tcPr>
                <w:p w14:paraId="121FFC35">
                  <w:pPr>
                    <w:widowControl/>
                    <w:spacing w:line="240" w:lineRule="exact"/>
                    <w:jc w:val="center"/>
                    <w:rPr>
                      <w:color w:val="auto"/>
                      <w:kern w:val="0"/>
                      <w:szCs w:val="21"/>
                      <w:lang w:bidi="ar"/>
                    </w:rPr>
                  </w:pPr>
                  <w:r>
                    <w:rPr>
                      <w:bCs/>
                      <w:color w:val="auto"/>
                      <w:szCs w:val="21"/>
                    </w:rPr>
                    <w:t>/</w:t>
                  </w:r>
                </w:p>
              </w:tc>
              <w:tc>
                <w:tcPr>
                  <w:tcW w:w="825" w:type="pct"/>
                  <w:tcBorders>
                    <w:tl2br w:val="nil"/>
                    <w:tr2bl w:val="nil"/>
                  </w:tcBorders>
                  <w:vAlign w:val="center"/>
                </w:tcPr>
                <w:p w14:paraId="701B2F87">
                  <w:pPr>
                    <w:widowControl/>
                    <w:tabs>
                      <w:tab w:val="left" w:pos="600"/>
                    </w:tabs>
                    <w:spacing w:line="240" w:lineRule="exact"/>
                    <w:jc w:val="center"/>
                    <w:textAlignment w:val="center"/>
                    <w:rPr>
                      <w:color w:val="auto"/>
                      <w:kern w:val="0"/>
                      <w:szCs w:val="21"/>
                      <w:lang w:bidi="ar"/>
                    </w:rPr>
                  </w:pPr>
                  <w:r>
                    <w:rPr>
                      <w:color w:val="auto"/>
                      <w:kern w:val="0"/>
                      <w:szCs w:val="21"/>
                      <w:lang w:bidi="ar"/>
                    </w:rPr>
                    <w:t>14个</w:t>
                  </w:r>
                </w:p>
              </w:tc>
            </w:tr>
            <w:tr w14:paraId="67324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C46409A">
                  <w:pPr>
                    <w:pStyle w:val="4"/>
                    <w:numPr>
                      <w:ilvl w:val="2"/>
                      <w:numId w:val="0"/>
                    </w:numPr>
                    <w:spacing w:line="240" w:lineRule="auto"/>
                    <w:jc w:val="center"/>
                    <w:rPr>
                      <w:rFonts w:cs="Times New Roman"/>
                      <w:color w:val="auto"/>
                      <w:sz w:val="21"/>
                      <w:szCs w:val="21"/>
                    </w:rPr>
                  </w:pPr>
                  <w:r>
                    <w:rPr>
                      <w:rFonts w:cs="Times New Roman"/>
                      <w:color w:val="auto"/>
                      <w:sz w:val="21"/>
                      <w:szCs w:val="21"/>
                    </w:rPr>
                    <w:t>1.9</w:t>
                  </w:r>
                </w:p>
              </w:tc>
              <w:tc>
                <w:tcPr>
                  <w:tcW w:w="1547" w:type="pct"/>
                  <w:tcBorders>
                    <w:tl2br w:val="nil"/>
                    <w:tr2bl w:val="nil"/>
                  </w:tcBorders>
                  <w:vAlign w:val="center"/>
                </w:tcPr>
                <w:p w14:paraId="7E2903BF">
                  <w:pPr>
                    <w:widowControl/>
                    <w:tabs>
                      <w:tab w:val="left" w:pos="600"/>
                    </w:tabs>
                    <w:spacing w:line="240" w:lineRule="exact"/>
                    <w:jc w:val="center"/>
                    <w:textAlignment w:val="center"/>
                    <w:rPr>
                      <w:color w:val="auto"/>
                      <w:kern w:val="0"/>
                      <w:szCs w:val="21"/>
                      <w:lang w:bidi="ar"/>
                    </w:rPr>
                  </w:pPr>
                  <w:r>
                    <w:rPr>
                      <w:color w:val="auto"/>
                      <w:kern w:val="0"/>
                      <w:szCs w:val="21"/>
                      <w:lang w:bidi="ar"/>
                    </w:rPr>
                    <w:t>支架2</w:t>
                  </w:r>
                </w:p>
              </w:tc>
              <w:tc>
                <w:tcPr>
                  <w:tcW w:w="2013" w:type="pct"/>
                  <w:tcBorders>
                    <w:tl2br w:val="nil"/>
                    <w:tr2bl w:val="nil"/>
                  </w:tcBorders>
                  <w:vAlign w:val="center"/>
                </w:tcPr>
                <w:p w14:paraId="0681B23F">
                  <w:pPr>
                    <w:widowControl/>
                    <w:spacing w:line="240" w:lineRule="exact"/>
                    <w:jc w:val="center"/>
                    <w:rPr>
                      <w:color w:val="auto"/>
                      <w:kern w:val="0"/>
                      <w:szCs w:val="21"/>
                      <w:lang w:bidi="ar"/>
                    </w:rPr>
                  </w:pPr>
                  <w:r>
                    <w:rPr>
                      <w:bCs/>
                      <w:color w:val="auto"/>
                      <w:szCs w:val="21"/>
                    </w:rPr>
                    <w:t>/</w:t>
                  </w:r>
                </w:p>
              </w:tc>
              <w:tc>
                <w:tcPr>
                  <w:tcW w:w="825" w:type="pct"/>
                  <w:tcBorders>
                    <w:tl2br w:val="nil"/>
                    <w:tr2bl w:val="nil"/>
                  </w:tcBorders>
                  <w:vAlign w:val="center"/>
                </w:tcPr>
                <w:p w14:paraId="389FD81B">
                  <w:pPr>
                    <w:widowControl/>
                    <w:tabs>
                      <w:tab w:val="left" w:pos="600"/>
                    </w:tabs>
                    <w:spacing w:line="240" w:lineRule="exact"/>
                    <w:jc w:val="center"/>
                    <w:textAlignment w:val="center"/>
                    <w:rPr>
                      <w:color w:val="auto"/>
                      <w:kern w:val="0"/>
                      <w:szCs w:val="21"/>
                      <w:lang w:bidi="ar"/>
                    </w:rPr>
                  </w:pPr>
                  <w:r>
                    <w:rPr>
                      <w:color w:val="auto"/>
                      <w:kern w:val="0"/>
                      <w:szCs w:val="21"/>
                      <w:lang w:bidi="ar"/>
                    </w:rPr>
                    <w:t>61个</w:t>
                  </w:r>
                </w:p>
              </w:tc>
            </w:tr>
            <w:tr w14:paraId="5DF45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ECD02AF">
                  <w:pPr>
                    <w:pStyle w:val="4"/>
                    <w:numPr>
                      <w:ilvl w:val="2"/>
                      <w:numId w:val="0"/>
                    </w:numPr>
                    <w:spacing w:line="240" w:lineRule="auto"/>
                    <w:jc w:val="center"/>
                    <w:rPr>
                      <w:rFonts w:cs="Times New Roman"/>
                      <w:color w:val="auto"/>
                      <w:sz w:val="21"/>
                      <w:szCs w:val="21"/>
                    </w:rPr>
                  </w:pPr>
                  <w:r>
                    <w:rPr>
                      <w:rFonts w:cs="Times New Roman"/>
                      <w:color w:val="auto"/>
                      <w:sz w:val="21"/>
                      <w:szCs w:val="21"/>
                    </w:rPr>
                    <w:t>1.10</w:t>
                  </w:r>
                </w:p>
              </w:tc>
              <w:tc>
                <w:tcPr>
                  <w:tcW w:w="1547" w:type="pct"/>
                  <w:tcBorders>
                    <w:tl2br w:val="nil"/>
                    <w:tr2bl w:val="nil"/>
                  </w:tcBorders>
                  <w:vAlign w:val="center"/>
                </w:tcPr>
                <w:p w14:paraId="69ECA5C6">
                  <w:pPr>
                    <w:widowControl/>
                    <w:tabs>
                      <w:tab w:val="left" w:pos="600"/>
                    </w:tabs>
                    <w:spacing w:line="240" w:lineRule="exact"/>
                    <w:jc w:val="center"/>
                    <w:textAlignment w:val="center"/>
                    <w:rPr>
                      <w:bCs/>
                      <w:color w:val="auto"/>
                      <w:szCs w:val="21"/>
                    </w:rPr>
                  </w:pPr>
                  <w:r>
                    <w:rPr>
                      <w:color w:val="auto"/>
                      <w:kern w:val="0"/>
                      <w:szCs w:val="21"/>
                      <w:lang w:bidi="ar"/>
                    </w:rPr>
                    <w:t>支架3</w:t>
                  </w:r>
                </w:p>
              </w:tc>
              <w:tc>
                <w:tcPr>
                  <w:tcW w:w="2013" w:type="pct"/>
                  <w:tcBorders>
                    <w:tl2br w:val="nil"/>
                    <w:tr2bl w:val="nil"/>
                  </w:tcBorders>
                  <w:vAlign w:val="center"/>
                </w:tcPr>
                <w:p w14:paraId="36A09198">
                  <w:pPr>
                    <w:widowControl/>
                    <w:spacing w:line="240" w:lineRule="exact"/>
                    <w:jc w:val="center"/>
                    <w:rPr>
                      <w:bCs/>
                      <w:color w:val="auto"/>
                      <w:szCs w:val="21"/>
                    </w:rPr>
                  </w:pPr>
                  <w:r>
                    <w:rPr>
                      <w:bCs/>
                      <w:color w:val="auto"/>
                      <w:szCs w:val="21"/>
                    </w:rPr>
                    <w:t>/</w:t>
                  </w:r>
                </w:p>
              </w:tc>
              <w:tc>
                <w:tcPr>
                  <w:tcW w:w="825" w:type="pct"/>
                  <w:tcBorders>
                    <w:tl2br w:val="nil"/>
                    <w:tr2bl w:val="nil"/>
                  </w:tcBorders>
                  <w:vAlign w:val="center"/>
                </w:tcPr>
                <w:p w14:paraId="48FE46F0">
                  <w:pPr>
                    <w:widowControl/>
                    <w:tabs>
                      <w:tab w:val="left" w:pos="600"/>
                    </w:tabs>
                    <w:spacing w:line="240" w:lineRule="exact"/>
                    <w:jc w:val="center"/>
                    <w:textAlignment w:val="center"/>
                    <w:rPr>
                      <w:bCs/>
                      <w:color w:val="auto"/>
                      <w:szCs w:val="21"/>
                    </w:rPr>
                  </w:pPr>
                  <w:r>
                    <w:rPr>
                      <w:color w:val="auto"/>
                      <w:kern w:val="0"/>
                      <w:szCs w:val="21"/>
                      <w:lang w:bidi="ar"/>
                    </w:rPr>
                    <w:t>320个</w:t>
                  </w:r>
                </w:p>
              </w:tc>
            </w:tr>
            <w:tr w14:paraId="42E45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1309E0B">
                  <w:pPr>
                    <w:pStyle w:val="4"/>
                    <w:numPr>
                      <w:ilvl w:val="2"/>
                      <w:numId w:val="0"/>
                    </w:numPr>
                    <w:spacing w:line="240" w:lineRule="auto"/>
                    <w:jc w:val="center"/>
                    <w:rPr>
                      <w:rFonts w:cs="Times New Roman"/>
                      <w:color w:val="auto"/>
                      <w:sz w:val="21"/>
                      <w:szCs w:val="21"/>
                    </w:rPr>
                  </w:pPr>
                  <w:r>
                    <w:rPr>
                      <w:rFonts w:cs="Times New Roman"/>
                      <w:color w:val="auto"/>
                      <w:sz w:val="21"/>
                      <w:szCs w:val="21"/>
                    </w:rPr>
                    <w:t>1.11</w:t>
                  </w:r>
                </w:p>
              </w:tc>
              <w:tc>
                <w:tcPr>
                  <w:tcW w:w="1547" w:type="pct"/>
                  <w:tcBorders>
                    <w:tl2br w:val="nil"/>
                    <w:tr2bl w:val="nil"/>
                  </w:tcBorders>
                  <w:vAlign w:val="center"/>
                </w:tcPr>
                <w:p w14:paraId="412BB6A1">
                  <w:pPr>
                    <w:widowControl/>
                    <w:tabs>
                      <w:tab w:val="left" w:pos="600"/>
                    </w:tabs>
                    <w:spacing w:line="240" w:lineRule="exact"/>
                    <w:jc w:val="center"/>
                    <w:textAlignment w:val="center"/>
                    <w:rPr>
                      <w:bCs/>
                      <w:color w:val="auto"/>
                      <w:szCs w:val="21"/>
                    </w:rPr>
                  </w:pPr>
                  <w:r>
                    <w:rPr>
                      <w:color w:val="auto"/>
                      <w:kern w:val="0"/>
                      <w:szCs w:val="21"/>
                      <w:lang w:bidi="ar"/>
                    </w:rPr>
                    <w:t>三角内弧格栅</w:t>
                  </w:r>
                </w:p>
              </w:tc>
              <w:tc>
                <w:tcPr>
                  <w:tcW w:w="2013" w:type="pct"/>
                  <w:tcBorders>
                    <w:tl2br w:val="nil"/>
                    <w:tr2bl w:val="nil"/>
                  </w:tcBorders>
                  <w:vAlign w:val="center"/>
                </w:tcPr>
                <w:p w14:paraId="450A25E4">
                  <w:pPr>
                    <w:widowControl/>
                    <w:tabs>
                      <w:tab w:val="left" w:pos="600"/>
                    </w:tabs>
                    <w:spacing w:line="240" w:lineRule="exact"/>
                    <w:jc w:val="center"/>
                    <w:textAlignment w:val="center"/>
                    <w:rPr>
                      <w:bCs/>
                      <w:color w:val="auto"/>
                      <w:szCs w:val="21"/>
                    </w:rPr>
                  </w:pPr>
                  <w:r>
                    <w:rPr>
                      <w:color w:val="auto"/>
                      <w:kern w:val="0"/>
                      <w:szCs w:val="21"/>
                      <w:lang w:bidi="ar"/>
                    </w:rPr>
                    <w:t>三角内弧</w:t>
                  </w:r>
                </w:p>
              </w:tc>
              <w:tc>
                <w:tcPr>
                  <w:tcW w:w="825" w:type="pct"/>
                  <w:tcBorders>
                    <w:tl2br w:val="nil"/>
                    <w:tr2bl w:val="nil"/>
                  </w:tcBorders>
                  <w:vAlign w:val="center"/>
                </w:tcPr>
                <w:p w14:paraId="315C743F">
                  <w:pPr>
                    <w:widowControl/>
                    <w:tabs>
                      <w:tab w:val="left" w:pos="600"/>
                    </w:tabs>
                    <w:spacing w:line="240" w:lineRule="exact"/>
                    <w:jc w:val="center"/>
                    <w:textAlignment w:val="center"/>
                    <w:rPr>
                      <w:bCs/>
                      <w:color w:val="auto"/>
                      <w:szCs w:val="21"/>
                    </w:rPr>
                  </w:pPr>
                  <w:r>
                    <w:rPr>
                      <w:color w:val="auto"/>
                      <w:kern w:val="0"/>
                      <w:szCs w:val="21"/>
                      <w:lang w:bidi="ar"/>
                    </w:rPr>
                    <w:t>94个</w:t>
                  </w:r>
                </w:p>
              </w:tc>
            </w:tr>
            <w:tr w14:paraId="60C23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4CA75336">
                  <w:pPr>
                    <w:pStyle w:val="4"/>
                    <w:numPr>
                      <w:ilvl w:val="2"/>
                      <w:numId w:val="0"/>
                    </w:numPr>
                    <w:spacing w:line="240" w:lineRule="auto"/>
                    <w:jc w:val="center"/>
                    <w:rPr>
                      <w:rFonts w:cs="Times New Roman"/>
                      <w:color w:val="auto"/>
                      <w:sz w:val="21"/>
                      <w:szCs w:val="21"/>
                    </w:rPr>
                  </w:pPr>
                  <w:r>
                    <w:rPr>
                      <w:rFonts w:hint="eastAsia" w:cs="Times New Roman"/>
                      <w:color w:val="auto"/>
                      <w:sz w:val="21"/>
                      <w:szCs w:val="21"/>
                    </w:rPr>
                    <w:t>1.12</w:t>
                  </w:r>
                </w:p>
              </w:tc>
              <w:tc>
                <w:tcPr>
                  <w:tcW w:w="1547" w:type="pct"/>
                  <w:tcBorders>
                    <w:tl2br w:val="nil"/>
                    <w:tr2bl w:val="nil"/>
                  </w:tcBorders>
                  <w:vAlign w:val="center"/>
                </w:tcPr>
                <w:p w14:paraId="4A302C16">
                  <w:pPr>
                    <w:widowControl/>
                    <w:tabs>
                      <w:tab w:val="left" w:pos="600"/>
                    </w:tabs>
                    <w:spacing w:line="240" w:lineRule="exact"/>
                    <w:jc w:val="center"/>
                    <w:textAlignment w:val="center"/>
                    <w:rPr>
                      <w:color w:val="auto"/>
                      <w:kern w:val="0"/>
                      <w:szCs w:val="21"/>
                      <w:lang w:bidi="ar"/>
                    </w:rPr>
                  </w:pPr>
                  <w:r>
                    <w:rPr>
                      <w:color w:val="auto"/>
                      <w:kern w:val="0"/>
                      <w:szCs w:val="21"/>
                      <w:lang w:bidi="ar"/>
                    </w:rPr>
                    <w:t>1m×1m钢格栅</w:t>
                  </w:r>
                </w:p>
              </w:tc>
              <w:tc>
                <w:tcPr>
                  <w:tcW w:w="2013" w:type="pct"/>
                  <w:tcBorders>
                    <w:tl2br w:val="nil"/>
                    <w:tr2bl w:val="nil"/>
                  </w:tcBorders>
                  <w:vAlign w:val="center"/>
                </w:tcPr>
                <w:p w14:paraId="3518304B">
                  <w:pPr>
                    <w:widowControl/>
                    <w:tabs>
                      <w:tab w:val="left" w:pos="600"/>
                    </w:tabs>
                    <w:spacing w:line="240" w:lineRule="exact"/>
                    <w:jc w:val="center"/>
                    <w:textAlignment w:val="center"/>
                    <w:rPr>
                      <w:color w:val="auto"/>
                      <w:kern w:val="0"/>
                      <w:szCs w:val="21"/>
                      <w:lang w:bidi="ar"/>
                    </w:rPr>
                  </w:pPr>
                  <w:r>
                    <w:rPr>
                      <w:color w:val="auto"/>
                      <w:kern w:val="0"/>
                      <w:szCs w:val="21"/>
                      <w:lang w:bidi="ar"/>
                    </w:rPr>
                    <w:t>热镀锌，1000mm×1000mm</w:t>
                  </w:r>
                </w:p>
              </w:tc>
              <w:tc>
                <w:tcPr>
                  <w:tcW w:w="825" w:type="pct"/>
                  <w:tcBorders>
                    <w:tl2br w:val="nil"/>
                    <w:tr2bl w:val="nil"/>
                  </w:tcBorders>
                  <w:vAlign w:val="center"/>
                </w:tcPr>
                <w:p w14:paraId="7C018116">
                  <w:pPr>
                    <w:widowControl/>
                    <w:tabs>
                      <w:tab w:val="left" w:pos="600"/>
                    </w:tabs>
                    <w:spacing w:line="240" w:lineRule="exact"/>
                    <w:jc w:val="center"/>
                    <w:textAlignment w:val="center"/>
                    <w:rPr>
                      <w:color w:val="auto"/>
                      <w:kern w:val="0"/>
                      <w:szCs w:val="21"/>
                      <w:lang w:bidi="ar"/>
                    </w:rPr>
                  </w:pPr>
                  <w:r>
                    <w:rPr>
                      <w:color w:val="auto"/>
                      <w:kern w:val="0"/>
                      <w:szCs w:val="21"/>
                      <w:lang w:bidi="ar"/>
                    </w:rPr>
                    <w:t>896个</w:t>
                  </w:r>
                </w:p>
              </w:tc>
            </w:tr>
            <w:tr w14:paraId="52EEB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152BC40C">
                  <w:pPr>
                    <w:pStyle w:val="4"/>
                    <w:numPr>
                      <w:ilvl w:val="2"/>
                      <w:numId w:val="0"/>
                    </w:numPr>
                    <w:spacing w:line="240" w:lineRule="auto"/>
                    <w:jc w:val="center"/>
                    <w:rPr>
                      <w:rFonts w:cs="Times New Roman"/>
                      <w:color w:val="auto"/>
                      <w:sz w:val="21"/>
                      <w:szCs w:val="21"/>
                    </w:rPr>
                  </w:pPr>
                  <w:r>
                    <w:rPr>
                      <w:rFonts w:hint="eastAsia" w:cs="Times New Roman"/>
                      <w:color w:val="auto"/>
                      <w:sz w:val="21"/>
                      <w:szCs w:val="21"/>
                    </w:rPr>
                    <w:t>1.13</w:t>
                  </w:r>
                </w:p>
              </w:tc>
              <w:tc>
                <w:tcPr>
                  <w:tcW w:w="1547" w:type="pct"/>
                  <w:tcBorders>
                    <w:tl2br w:val="nil"/>
                    <w:tr2bl w:val="nil"/>
                  </w:tcBorders>
                  <w:vAlign w:val="center"/>
                </w:tcPr>
                <w:p w14:paraId="4B0CBE8D">
                  <w:pPr>
                    <w:widowControl/>
                    <w:tabs>
                      <w:tab w:val="left" w:pos="600"/>
                    </w:tabs>
                    <w:spacing w:line="240" w:lineRule="exact"/>
                    <w:jc w:val="center"/>
                    <w:textAlignment w:val="center"/>
                    <w:rPr>
                      <w:color w:val="auto"/>
                      <w:kern w:val="0"/>
                      <w:szCs w:val="21"/>
                      <w:lang w:bidi="ar"/>
                    </w:rPr>
                  </w:pPr>
                  <w:r>
                    <w:rPr>
                      <w:color w:val="auto"/>
                      <w:kern w:val="0"/>
                      <w:szCs w:val="21"/>
                      <w:lang w:bidi="ar"/>
                    </w:rPr>
                    <w:t>1m×1.5m钢格栅</w:t>
                  </w:r>
                </w:p>
              </w:tc>
              <w:tc>
                <w:tcPr>
                  <w:tcW w:w="2013" w:type="pct"/>
                  <w:tcBorders>
                    <w:tl2br w:val="nil"/>
                    <w:tr2bl w:val="nil"/>
                  </w:tcBorders>
                  <w:vAlign w:val="center"/>
                </w:tcPr>
                <w:p w14:paraId="42F6F7EC">
                  <w:pPr>
                    <w:widowControl/>
                    <w:tabs>
                      <w:tab w:val="left" w:pos="600"/>
                    </w:tabs>
                    <w:spacing w:line="240" w:lineRule="exact"/>
                    <w:jc w:val="center"/>
                    <w:textAlignment w:val="center"/>
                    <w:rPr>
                      <w:color w:val="auto"/>
                      <w:kern w:val="0"/>
                      <w:szCs w:val="21"/>
                      <w:lang w:bidi="ar"/>
                    </w:rPr>
                  </w:pPr>
                  <w:r>
                    <w:rPr>
                      <w:color w:val="auto"/>
                      <w:kern w:val="0"/>
                      <w:szCs w:val="21"/>
                      <w:lang w:bidi="ar"/>
                    </w:rPr>
                    <w:t>热镀锌，1000mm×1500mm</w:t>
                  </w:r>
                </w:p>
              </w:tc>
              <w:tc>
                <w:tcPr>
                  <w:tcW w:w="825" w:type="pct"/>
                  <w:tcBorders>
                    <w:tl2br w:val="nil"/>
                    <w:tr2bl w:val="nil"/>
                  </w:tcBorders>
                  <w:vAlign w:val="center"/>
                </w:tcPr>
                <w:p w14:paraId="1791E444">
                  <w:pPr>
                    <w:widowControl/>
                    <w:tabs>
                      <w:tab w:val="left" w:pos="600"/>
                    </w:tabs>
                    <w:spacing w:line="240" w:lineRule="exact"/>
                    <w:jc w:val="center"/>
                    <w:textAlignment w:val="center"/>
                    <w:rPr>
                      <w:color w:val="auto"/>
                      <w:kern w:val="0"/>
                      <w:szCs w:val="21"/>
                      <w:lang w:bidi="ar"/>
                    </w:rPr>
                  </w:pPr>
                  <w:r>
                    <w:rPr>
                      <w:rFonts w:hint="eastAsia"/>
                      <w:color w:val="auto"/>
                      <w:kern w:val="0"/>
                      <w:szCs w:val="21"/>
                      <w:lang w:bidi="ar"/>
                    </w:rPr>
                    <w:t>92</w:t>
                  </w:r>
                  <w:r>
                    <w:rPr>
                      <w:color w:val="auto"/>
                      <w:kern w:val="0"/>
                      <w:szCs w:val="21"/>
                      <w:lang w:bidi="ar"/>
                    </w:rPr>
                    <w:t>个</w:t>
                  </w:r>
                </w:p>
              </w:tc>
            </w:tr>
            <w:tr w14:paraId="08F3C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BA6882D">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2</w:t>
                  </w:r>
                </w:p>
              </w:tc>
              <w:tc>
                <w:tcPr>
                  <w:tcW w:w="4386" w:type="pct"/>
                  <w:gridSpan w:val="3"/>
                  <w:tcBorders>
                    <w:tl2br w:val="nil"/>
                    <w:tr2bl w:val="nil"/>
                  </w:tcBorders>
                  <w:vAlign w:val="center"/>
                </w:tcPr>
                <w:p w14:paraId="2EC2F9BF">
                  <w:pPr>
                    <w:pStyle w:val="64"/>
                    <w:rPr>
                      <w:rFonts w:ascii="Times New Roman" w:hAnsi="Times New Roman"/>
                      <w:b/>
                      <w:color w:val="auto"/>
                    </w:rPr>
                  </w:pPr>
                  <w:r>
                    <w:rPr>
                      <w:rFonts w:ascii="Times New Roman" w:hAnsi="Times New Roman"/>
                      <w:b/>
                      <w:color w:val="auto"/>
                    </w:rPr>
                    <w:t>智能投饵系统</w:t>
                  </w:r>
                </w:p>
              </w:tc>
            </w:tr>
            <w:tr w14:paraId="2CFC7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C3B8FF8">
                  <w:pPr>
                    <w:pStyle w:val="4"/>
                    <w:numPr>
                      <w:ilvl w:val="2"/>
                      <w:numId w:val="0"/>
                    </w:numPr>
                    <w:spacing w:line="240" w:lineRule="auto"/>
                    <w:jc w:val="center"/>
                    <w:rPr>
                      <w:rFonts w:cs="Times New Roman"/>
                      <w:color w:val="auto"/>
                      <w:sz w:val="21"/>
                      <w:szCs w:val="21"/>
                    </w:rPr>
                  </w:pPr>
                  <w:r>
                    <w:rPr>
                      <w:rFonts w:cs="Times New Roman"/>
                      <w:color w:val="auto"/>
                      <w:sz w:val="21"/>
                      <w:szCs w:val="21"/>
                    </w:rPr>
                    <w:t>2.1</w:t>
                  </w:r>
                </w:p>
              </w:tc>
              <w:tc>
                <w:tcPr>
                  <w:tcW w:w="1547" w:type="pct"/>
                  <w:tcBorders>
                    <w:tl2br w:val="nil"/>
                    <w:tr2bl w:val="nil"/>
                  </w:tcBorders>
                  <w:vAlign w:val="center"/>
                </w:tcPr>
                <w:p w14:paraId="640ECB19">
                  <w:pPr>
                    <w:widowControl/>
                    <w:tabs>
                      <w:tab w:val="left" w:pos="600"/>
                    </w:tabs>
                    <w:spacing w:line="240" w:lineRule="exact"/>
                    <w:jc w:val="center"/>
                    <w:textAlignment w:val="center"/>
                    <w:rPr>
                      <w:color w:val="auto"/>
                      <w:kern w:val="0"/>
                      <w:szCs w:val="21"/>
                      <w:lang w:bidi="ar"/>
                    </w:rPr>
                  </w:pPr>
                  <w:r>
                    <w:rPr>
                      <w:color w:val="auto"/>
                      <w:kern w:val="0"/>
                      <w:szCs w:val="21"/>
                      <w:lang w:bidi="ar"/>
                    </w:rPr>
                    <w:t>大料塔</w:t>
                  </w:r>
                </w:p>
              </w:tc>
              <w:tc>
                <w:tcPr>
                  <w:tcW w:w="2013" w:type="pct"/>
                  <w:tcBorders>
                    <w:tl2br w:val="nil"/>
                    <w:tr2bl w:val="nil"/>
                  </w:tcBorders>
                  <w:vAlign w:val="center"/>
                </w:tcPr>
                <w:p w14:paraId="26926C27">
                  <w:pPr>
                    <w:widowControl/>
                    <w:tabs>
                      <w:tab w:val="left" w:pos="600"/>
                    </w:tabs>
                    <w:spacing w:line="240" w:lineRule="exact"/>
                    <w:jc w:val="center"/>
                    <w:textAlignment w:val="center"/>
                    <w:rPr>
                      <w:color w:val="auto"/>
                      <w:kern w:val="0"/>
                      <w:szCs w:val="21"/>
                      <w:lang w:bidi="ar"/>
                    </w:rPr>
                  </w:pPr>
                  <w:r>
                    <w:rPr>
                      <w:color w:val="auto"/>
                      <w:kern w:val="0"/>
                      <w:szCs w:val="21"/>
                      <w:lang w:bidi="ar"/>
                    </w:rPr>
                    <w:t>5t，带称重</w:t>
                  </w:r>
                </w:p>
              </w:tc>
              <w:tc>
                <w:tcPr>
                  <w:tcW w:w="825" w:type="pct"/>
                  <w:tcBorders>
                    <w:tl2br w:val="nil"/>
                    <w:tr2bl w:val="nil"/>
                  </w:tcBorders>
                  <w:vAlign w:val="center"/>
                </w:tcPr>
                <w:p w14:paraId="5A4BE77D">
                  <w:pPr>
                    <w:widowControl/>
                    <w:tabs>
                      <w:tab w:val="left" w:pos="600"/>
                    </w:tabs>
                    <w:spacing w:line="240" w:lineRule="exact"/>
                    <w:jc w:val="center"/>
                    <w:textAlignment w:val="center"/>
                    <w:rPr>
                      <w:color w:val="auto"/>
                      <w:kern w:val="0"/>
                      <w:szCs w:val="21"/>
                      <w:lang w:bidi="ar"/>
                    </w:rPr>
                  </w:pPr>
                  <w:r>
                    <w:rPr>
                      <w:color w:val="auto"/>
                      <w:kern w:val="0"/>
                      <w:szCs w:val="21"/>
                      <w:lang w:bidi="ar"/>
                    </w:rPr>
                    <w:t>6个</w:t>
                  </w:r>
                </w:p>
              </w:tc>
            </w:tr>
            <w:tr w14:paraId="07E20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DB9E9F4">
                  <w:pPr>
                    <w:pStyle w:val="4"/>
                    <w:numPr>
                      <w:ilvl w:val="2"/>
                      <w:numId w:val="0"/>
                    </w:numPr>
                    <w:spacing w:line="240" w:lineRule="auto"/>
                    <w:jc w:val="center"/>
                    <w:rPr>
                      <w:rFonts w:cs="Times New Roman"/>
                      <w:color w:val="auto"/>
                      <w:sz w:val="21"/>
                      <w:szCs w:val="21"/>
                    </w:rPr>
                  </w:pPr>
                  <w:r>
                    <w:rPr>
                      <w:rFonts w:cs="Times New Roman"/>
                      <w:color w:val="auto"/>
                      <w:sz w:val="21"/>
                      <w:szCs w:val="21"/>
                    </w:rPr>
                    <w:t>2.2</w:t>
                  </w:r>
                </w:p>
              </w:tc>
              <w:tc>
                <w:tcPr>
                  <w:tcW w:w="1547" w:type="pct"/>
                  <w:tcBorders>
                    <w:tl2br w:val="nil"/>
                    <w:tr2bl w:val="nil"/>
                  </w:tcBorders>
                  <w:vAlign w:val="center"/>
                </w:tcPr>
                <w:p w14:paraId="10513000">
                  <w:pPr>
                    <w:widowControl/>
                    <w:tabs>
                      <w:tab w:val="left" w:pos="600"/>
                    </w:tabs>
                    <w:spacing w:line="240" w:lineRule="exact"/>
                    <w:jc w:val="center"/>
                    <w:textAlignment w:val="center"/>
                    <w:rPr>
                      <w:color w:val="auto"/>
                      <w:kern w:val="0"/>
                      <w:szCs w:val="21"/>
                      <w:lang w:bidi="ar"/>
                    </w:rPr>
                  </w:pPr>
                  <w:r>
                    <w:rPr>
                      <w:color w:val="auto"/>
                      <w:kern w:val="0"/>
                      <w:szCs w:val="21"/>
                      <w:lang w:bidi="ar"/>
                    </w:rPr>
                    <w:t>二级小料塔</w:t>
                  </w:r>
                </w:p>
              </w:tc>
              <w:tc>
                <w:tcPr>
                  <w:tcW w:w="2013" w:type="pct"/>
                  <w:tcBorders>
                    <w:tl2br w:val="nil"/>
                    <w:tr2bl w:val="nil"/>
                  </w:tcBorders>
                  <w:vAlign w:val="center"/>
                </w:tcPr>
                <w:p w14:paraId="15AB3B4E">
                  <w:pPr>
                    <w:widowControl/>
                    <w:tabs>
                      <w:tab w:val="left" w:pos="600"/>
                    </w:tabs>
                    <w:spacing w:line="240" w:lineRule="exact"/>
                    <w:jc w:val="center"/>
                    <w:textAlignment w:val="center"/>
                    <w:rPr>
                      <w:color w:val="auto"/>
                      <w:kern w:val="0"/>
                      <w:szCs w:val="21"/>
                      <w:lang w:bidi="ar"/>
                    </w:rPr>
                  </w:pPr>
                  <w:r>
                    <w:rPr>
                      <w:color w:val="auto"/>
                      <w:kern w:val="0"/>
                      <w:szCs w:val="21"/>
                      <w:lang w:bidi="ar"/>
                    </w:rPr>
                    <w:t>1t，带称重</w:t>
                  </w:r>
                </w:p>
              </w:tc>
              <w:tc>
                <w:tcPr>
                  <w:tcW w:w="825" w:type="pct"/>
                  <w:tcBorders>
                    <w:tl2br w:val="nil"/>
                    <w:tr2bl w:val="nil"/>
                  </w:tcBorders>
                  <w:vAlign w:val="center"/>
                </w:tcPr>
                <w:p w14:paraId="650EE7DD">
                  <w:pPr>
                    <w:widowControl/>
                    <w:tabs>
                      <w:tab w:val="left" w:pos="600"/>
                    </w:tabs>
                    <w:spacing w:line="240" w:lineRule="exact"/>
                    <w:jc w:val="center"/>
                    <w:textAlignment w:val="center"/>
                    <w:rPr>
                      <w:color w:val="auto"/>
                      <w:kern w:val="0"/>
                      <w:szCs w:val="21"/>
                      <w:lang w:bidi="ar"/>
                    </w:rPr>
                  </w:pPr>
                  <w:r>
                    <w:rPr>
                      <w:color w:val="auto"/>
                      <w:kern w:val="0"/>
                      <w:szCs w:val="21"/>
                      <w:lang w:bidi="ar"/>
                    </w:rPr>
                    <w:t>10个</w:t>
                  </w:r>
                </w:p>
              </w:tc>
            </w:tr>
            <w:tr w14:paraId="75658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495DD77">
                  <w:pPr>
                    <w:pStyle w:val="4"/>
                    <w:numPr>
                      <w:ilvl w:val="2"/>
                      <w:numId w:val="0"/>
                    </w:numPr>
                    <w:spacing w:line="240" w:lineRule="auto"/>
                    <w:jc w:val="center"/>
                    <w:rPr>
                      <w:rFonts w:cs="Times New Roman"/>
                      <w:color w:val="auto"/>
                      <w:sz w:val="21"/>
                      <w:szCs w:val="21"/>
                    </w:rPr>
                  </w:pPr>
                  <w:r>
                    <w:rPr>
                      <w:rFonts w:cs="Times New Roman"/>
                      <w:color w:val="auto"/>
                      <w:sz w:val="21"/>
                      <w:szCs w:val="21"/>
                    </w:rPr>
                    <w:t>2.3</w:t>
                  </w:r>
                </w:p>
              </w:tc>
              <w:tc>
                <w:tcPr>
                  <w:tcW w:w="1547" w:type="pct"/>
                  <w:tcBorders>
                    <w:tl2br w:val="nil"/>
                    <w:tr2bl w:val="nil"/>
                  </w:tcBorders>
                  <w:vAlign w:val="center"/>
                </w:tcPr>
                <w:p w14:paraId="045DE2A5">
                  <w:pPr>
                    <w:widowControl/>
                    <w:tabs>
                      <w:tab w:val="left" w:pos="600"/>
                    </w:tabs>
                    <w:spacing w:line="240" w:lineRule="exact"/>
                    <w:jc w:val="center"/>
                    <w:textAlignment w:val="center"/>
                    <w:rPr>
                      <w:color w:val="auto"/>
                      <w:kern w:val="0"/>
                      <w:szCs w:val="21"/>
                      <w:lang w:bidi="ar"/>
                    </w:rPr>
                  </w:pPr>
                  <w:r>
                    <w:rPr>
                      <w:color w:val="auto"/>
                      <w:kern w:val="0"/>
                      <w:szCs w:val="21"/>
                      <w:lang w:bidi="ar"/>
                    </w:rPr>
                    <w:t>主送料风机（含变频器）</w:t>
                  </w:r>
                </w:p>
              </w:tc>
              <w:tc>
                <w:tcPr>
                  <w:tcW w:w="2013" w:type="pct"/>
                  <w:tcBorders>
                    <w:tl2br w:val="nil"/>
                    <w:tr2bl w:val="nil"/>
                  </w:tcBorders>
                  <w:vAlign w:val="center"/>
                </w:tcPr>
                <w:p w14:paraId="20CC8133">
                  <w:pPr>
                    <w:widowControl/>
                    <w:tabs>
                      <w:tab w:val="left" w:pos="600"/>
                    </w:tabs>
                    <w:spacing w:line="240" w:lineRule="exact"/>
                    <w:jc w:val="center"/>
                    <w:textAlignment w:val="center"/>
                    <w:rPr>
                      <w:color w:val="auto"/>
                      <w:kern w:val="0"/>
                      <w:szCs w:val="21"/>
                      <w:lang w:bidi="ar"/>
                    </w:rPr>
                  </w:pPr>
                  <w:r>
                    <w:rPr>
                      <w:color w:val="auto"/>
                      <w:kern w:val="0"/>
                      <w:szCs w:val="21"/>
                      <w:lang w:bidi="ar"/>
                    </w:rPr>
                    <w:t>15kw</w:t>
                  </w:r>
                </w:p>
              </w:tc>
              <w:tc>
                <w:tcPr>
                  <w:tcW w:w="825" w:type="pct"/>
                  <w:tcBorders>
                    <w:tl2br w:val="nil"/>
                    <w:tr2bl w:val="nil"/>
                  </w:tcBorders>
                  <w:vAlign w:val="center"/>
                </w:tcPr>
                <w:p w14:paraId="60855046">
                  <w:pPr>
                    <w:widowControl/>
                    <w:tabs>
                      <w:tab w:val="left" w:pos="600"/>
                    </w:tabs>
                    <w:spacing w:line="240" w:lineRule="exact"/>
                    <w:jc w:val="center"/>
                    <w:textAlignment w:val="center"/>
                    <w:rPr>
                      <w:color w:val="auto"/>
                      <w:kern w:val="0"/>
                      <w:szCs w:val="21"/>
                      <w:lang w:bidi="ar"/>
                    </w:rPr>
                  </w:pPr>
                  <w:r>
                    <w:rPr>
                      <w:color w:val="auto"/>
                      <w:kern w:val="0"/>
                      <w:szCs w:val="21"/>
                      <w:lang w:bidi="ar"/>
                    </w:rPr>
                    <w:t>2个</w:t>
                  </w:r>
                </w:p>
              </w:tc>
            </w:tr>
            <w:tr w14:paraId="2E388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36A77DC">
                  <w:pPr>
                    <w:pStyle w:val="4"/>
                    <w:numPr>
                      <w:ilvl w:val="2"/>
                      <w:numId w:val="0"/>
                    </w:numPr>
                    <w:spacing w:line="240" w:lineRule="auto"/>
                    <w:jc w:val="center"/>
                    <w:rPr>
                      <w:rFonts w:cs="Times New Roman"/>
                      <w:color w:val="auto"/>
                      <w:sz w:val="21"/>
                      <w:szCs w:val="21"/>
                    </w:rPr>
                  </w:pPr>
                  <w:r>
                    <w:rPr>
                      <w:rFonts w:cs="Times New Roman"/>
                      <w:color w:val="auto"/>
                      <w:sz w:val="21"/>
                      <w:szCs w:val="21"/>
                    </w:rPr>
                    <w:t>2.4</w:t>
                  </w:r>
                </w:p>
              </w:tc>
              <w:tc>
                <w:tcPr>
                  <w:tcW w:w="1547" w:type="pct"/>
                  <w:tcBorders>
                    <w:tl2br w:val="nil"/>
                    <w:tr2bl w:val="nil"/>
                  </w:tcBorders>
                  <w:vAlign w:val="center"/>
                </w:tcPr>
                <w:p w14:paraId="36851681">
                  <w:pPr>
                    <w:widowControl/>
                    <w:tabs>
                      <w:tab w:val="left" w:pos="600"/>
                    </w:tabs>
                    <w:spacing w:line="240" w:lineRule="exact"/>
                    <w:jc w:val="center"/>
                    <w:textAlignment w:val="center"/>
                    <w:rPr>
                      <w:color w:val="auto"/>
                      <w:kern w:val="0"/>
                      <w:szCs w:val="21"/>
                      <w:lang w:bidi="ar"/>
                    </w:rPr>
                  </w:pPr>
                  <w:r>
                    <w:rPr>
                      <w:color w:val="auto"/>
                      <w:kern w:val="0"/>
                      <w:szCs w:val="21"/>
                      <w:lang w:bidi="ar"/>
                    </w:rPr>
                    <w:t>二级送料风机</w:t>
                  </w:r>
                </w:p>
              </w:tc>
              <w:tc>
                <w:tcPr>
                  <w:tcW w:w="2013" w:type="pct"/>
                  <w:tcBorders>
                    <w:tl2br w:val="nil"/>
                    <w:tr2bl w:val="nil"/>
                  </w:tcBorders>
                  <w:vAlign w:val="center"/>
                </w:tcPr>
                <w:p w14:paraId="2ABD15B3">
                  <w:pPr>
                    <w:widowControl/>
                    <w:tabs>
                      <w:tab w:val="left" w:pos="600"/>
                    </w:tabs>
                    <w:spacing w:line="240" w:lineRule="exact"/>
                    <w:jc w:val="center"/>
                    <w:textAlignment w:val="center"/>
                    <w:rPr>
                      <w:color w:val="auto"/>
                      <w:kern w:val="0"/>
                      <w:szCs w:val="21"/>
                      <w:lang w:bidi="ar"/>
                    </w:rPr>
                  </w:pPr>
                  <w:r>
                    <w:rPr>
                      <w:color w:val="auto"/>
                      <w:kern w:val="0"/>
                      <w:szCs w:val="21"/>
                      <w:lang w:bidi="ar"/>
                    </w:rPr>
                    <w:t>3.5kw</w:t>
                  </w:r>
                </w:p>
              </w:tc>
              <w:tc>
                <w:tcPr>
                  <w:tcW w:w="825" w:type="pct"/>
                  <w:tcBorders>
                    <w:tl2br w:val="nil"/>
                    <w:tr2bl w:val="nil"/>
                  </w:tcBorders>
                  <w:vAlign w:val="center"/>
                </w:tcPr>
                <w:p w14:paraId="32F64EC4">
                  <w:pPr>
                    <w:widowControl/>
                    <w:tabs>
                      <w:tab w:val="left" w:pos="600"/>
                    </w:tabs>
                    <w:spacing w:line="240" w:lineRule="exact"/>
                    <w:jc w:val="center"/>
                    <w:textAlignment w:val="center"/>
                    <w:rPr>
                      <w:color w:val="auto"/>
                      <w:kern w:val="0"/>
                      <w:szCs w:val="21"/>
                      <w:lang w:bidi="ar"/>
                    </w:rPr>
                  </w:pPr>
                  <w:r>
                    <w:rPr>
                      <w:color w:val="auto"/>
                      <w:kern w:val="0"/>
                      <w:szCs w:val="21"/>
                      <w:lang w:bidi="ar"/>
                    </w:rPr>
                    <w:t>10个</w:t>
                  </w:r>
                </w:p>
              </w:tc>
            </w:tr>
            <w:tr w14:paraId="6676E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4AA38CDE">
                  <w:pPr>
                    <w:pStyle w:val="4"/>
                    <w:numPr>
                      <w:ilvl w:val="2"/>
                      <w:numId w:val="0"/>
                    </w:numPr>
                    <w:spacing w:line="240" w:lineRule="auto"/>
                    <w:jc w:val="center"/>
                    <w:rPr>
                      <w:rFonts w:cs="Times New Roman"/>
                      <w:color w:val="auto"/>
                      <w:sz w:val="21"/>
                      <w:szCs w:val="21"/>
                    </w:rPr>
                  </w:pPr>
                  <w:r>
                    <w:rPr>
                      <w:rFonts w:cs="Times New Roman"/>
                      <w:color w:val="auto"/>
                      <w:sz w:val="21"/>
                      <w:szCs w:val="21"/>
                    </w:rPr>
                    <w:t>2.5</w:t>
                  </w:r>
                </w:p>
              </w:tc>
              <w:tc>
                <w:tcPr>
                  <w:tcW w:w="1547" w:type="pct"/>
                  <w:tcBorders>
                    <w:tl2br w:val="nil"/>
                    <w:tr2bl w:val="nil"/>
                  </w:tcBorders>
                  <w:vAlign w:val="center"/>
                </w:tcPr>
                <w:p w14:paraId="7F5FF35E">
                  <w:pPr>
                    <w:widowControl/>
                    <w:tabs>
                      <w:tab w:val="left" w:pos="600"/>
                    </w:tabs>
                    <w:spacing w:line="240" w:lineRule="exact"/>
                    <w:jc w:val="center"/>
                    <w:textAlignment w:val="center"/>
                    <w:rPr>
                      <w:color w:val="auto"/>
                      <w:kern w:val="0"/>
                      <w:szCs w:val="21"/>
                      <w:lang w:bidi="ar"/>
                    </w:rPr>
                  </w:pPr>
                  <w:r>
                    <w:rPr>
                      <w:color w:val="auto"/>
                      <w:kern w:val="0"/>
                      <w:szCs w:val="21"/>
                      <w:lang w:bidi="ar"/>
                    </w:rPr>
                    <w:t>进料控制器</w:t>
                  </w:r>
                </w:p>
              </w:tc>
              <w:tc>
                <w:tcPr>
                  <w:tcW w:w="2013" w:type="pct"/>
                  <w:tcBorders>
                    <w:tl2br w:val="nil"/>
                    <w:tr2bl w:val="nil"/>
                  </w:tcBorders>
                  <w:vAlign w:val="center"/>
                </w:tcPr>
                <w:p w14:paraId="1F084B5F">
                  <w:pPr>
                    <w:widowControl/>
                    <w:tabs>
                      <w:tab w:val="left" w:pos="600"/>
                    </w:tabs>
                    <w:spacing w:line="240" w:lineRule="exact"/>
                    <w:jc w:val="center"/>
                    <w:textAlignment w:val="center"/>
                    <w:rPr>
                      <w:color w:val="auto"/>
                      <w:kern w:val="0"/>
                      <w:szCs w:val="21"/>
                      <w:lang w:bidi="ar"/>
                    </w:rPr>
                  </w:pPr>
                  <w:r>
                    <w:rPr>
                      <w:color w:val="auto"/>
                      <w:kern w:val="0"/>
                      <w:szCs w:val="21"/>
                      <w:lang w:bidi="ar"/>
                    </w:rPr>
                    <w:t>5孔旋转分配器</w:t>
                  </w:r>
                </w:p>
              </w:tc>
              <w:tc>
                <w:tcPr>
                  <w:tcW w:w="825" w:type="pct"/>
                  <w:tcBorders>
                    <w:tl2br w:val="nil"/>
                    <w:tr2bl w:val="nil"/>
                  </w:tcBorders>
                  <w:vAlign w:val="center"/>
                </w:tcPr>
                <w:p w14:paraId="1C40367C">
                  <w:pPr>
                    <w:widowControl/>
                    <w:tabs>
                      <w:tab w:val="left" w:pos="600"/>
                    </w:tabs>
                    <w:spacing w:line="240" w:lineRule="exact"/>
                    <w:jc w:val="center"/>
                    <w:textAlignment w:val="center"/>
                    <w:rPr>
                      <w:color w:val="auto"/>
                      <w:kern w:val="0"/>
                      <w:szCs w:val="21"/>
                      <w:lang w:bidi="ar"/>
                    </w:rPr>
                  </w:pPr>
                  <w:r>
                    <w:rPr>
                      <w:color w:val="auto"/>
                      <w:kern w:val="0"/>
                      <w:szCs w:val="21"/>
                      <w:lang w:bidi="ar"/>
                    </w:rPr>
                    <w:t>2个</w:t>
                  </w:r>
                </w:p>
              </w:tc>
            </w:tr>
            <w:tr w14:paraId="2DD13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A2E9795">
                  <w:pPr>
                    <w:pStyle w:val="4"/>
                    <w:numPr>
                      <w:ilvl w:val="2"/>
                      <w:numId w:val="0"/>
                    </w:numPr>
                    <w:spacing w:line="240" w:lineRule="auto"/>
                    <w:jc w:val="center"/>
                    <w:rPr>
                      <w:rFonts w:cs="Times New Roman"/>
                      <w:color w:val="auto"/>
                      <w:sz w:val="21"/>
                      <w:szCs w:val="21"/>
                    </w:rPr>
                  </w:pPr>
                  <w:r>
                    <w:rPr>
                      <w:rFonts w:cs="Times New Roman"/>
                      <w:color w:val="auto"/>
                      <w:sz w:val="21"/>
                      <w:szCs w:val="21"/>
                    </w:rPr>
                    <w:t>2.6</w:t>
                  </w:r>
                </w:p>
              </w:tc>
              <w:tc>
                <w:tcPr>
                  <w:tcW w:w="1547" w:type="pct"/>
                  <w:tcBorders>
                    <w:tl2br w:val="nil"/>
                    <w:tr2bl w:val="nil"/>
                  </w:tcBorders>
                  <w:vAlign w:val="center"/>
                </w:tcPr>
                <w:p w14:paraId="687A22D1">
                  <w:pPr>
                    <w:widowControl/>
                    <w:tabs>
                      <w:tab w:val="left" w:pos="600"/>
                    </w:tabs>
                    <w:spacing w:line="240" w:lineRule="exact"/>
                    <w:jc w:val="center"/>
                    <w:textAlignment w:val="center"/>
                    <w:rPr>
                      <w:color w:val="auto"/>
                      <w:kern w:val="0"/>
                      <w:szCs w:val="21"/>
                      <w:lang w:bidi="ar"/>
                    </w:rPr>
                  </w:pPr>
                  <w:r>
                    <w:rPr>
                      <w:color w:val="auto"/>
                      <w:kern w:val="0"/>
                      <w:szCs w:val="21"/>
                      <w:lang w:bidi="ar"/>
                    </w:rPr>
                    <w:t>进料控制器</w:t>
                  </w:r>
                </w:p>
              </w:tc>
              <w:tc>
                <w:tcPr>
                  <w:tcW w:w="2013" w:type="pct"/>
                  <w:tcBorders>
                    <w:tl2br w:val="nil"/>
                    <w:tr2bl w:val="nil"/>
                  </w:tcBorders>
                  <w:vAlign w:val="center"/>
                </w:tcPr>
                <w:p w14:paraId="30969726">
                  <w:pPr>
                    <w:widowControl/>
                    <w:tabs>
                      <w:tab w:val="left" w:pos="600"/>
                    </w:tabs>
                    <w:spacing w:line="240" w:lineRule="exact"/>
                    <w:jc w:val="center"/>
                    <w:textAlignment w:val="center"/>
                    <w:rPr>
                      <w:color w:val="auto"/>
                      <w:kern w:val="0"/>
                      <w:szCs w:val="21"/>
                      <w:lang w:bidi="ar"/>
                    </w:rPr>
                  </w:pPr>
                  <w:r>
                    <w:rPr>
                      <w:color w:val="auto"/>
                      <w:kern w:val="0"/>
                      <w:szCs w:val="21"/>
                      <w:lang w:bidi="ar"/>
                    </w:rPr>
                    <w:t>8孔旋转分配器</w:t>
                  </w:r>
                </w:p>
              </w:tc>
              <w:tc>
                <w:tcPr>
                  <w:tcW w:w="825" w:type="pct"/>
                  <w:tcBorders>
                    <w:tl2br w:val="nil"/>
                    <w:tr2bl w:val="nil"/>
                  </w:tcBorders>
                  <w:vAlign w:val="center"/>
                </w:tcPr>
                <w:p w14:paraId="1C3163E0">
                  <w:pPr>
                    <w:widowControl/>
                    <w:tabs>
                      <w:tab w:val="left" w:pos="600"/>
                    </w:tabs>
                    <w:spacing w:line="240" w:lineRule="exact"/>
                    <w:jc w:val="center"/>
                    <w:textAlignment w:val="center"/>
                    <w:rPr>
                      <w:color w:val="auto"/>
                      <w:kern w:val="0"/>
                      <w:szCs w:val="21"/>
                      <w:lang w:bidi="ar"/>
                    </w:rPr>
                  </w:pPr>
                  <w:r>
                    <w:rPr>
                      <w:color w:val="auto"/>
                      <w:kern w:val="0"/>
                      <w:szCs w:val="21"/>
                      <w:lang w:bidi="ar"/>
                    </w:rPr>
                    <w:t>10个</w:t>
                  </w:r>
                </w:p>
              </w:tc>
            </w:tr>
            <w:tr w14:paraId="2ED65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4F53A778">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3</w:t>
                  </w:r>
                </w:p>
              </w:tc>
              <w:tc>
                <w:tcPr>
                  <w:tcW w:w="4386" w:type="pct"/>
                  <w:gridSpan w:val="3"/>
                  <w:tcBorders>
                    <w:tl2br w:val="nil"/>
                    <w:tr2bl w:val="nil"/>
                  </w:tcBorders>
                  <w:vAlign w:val="center"/>
                </w:tcPr>
                <w:p w14:paraId="574C8D52">
                  <w:pPr>
                    <w:pStyle w:val="64"/>
                    <w:rPr>
                      <w:rFonts w:ascii="Times New Roman" w:hAnsi="Times New Roman"/>
                      <w:b/>
                      <w:color w:val="auto"/>
                    </w:rPr>
                  </w:pPr>
                  <w:r>
                    <w:rPr>
                      <w:rFonts w:ascii="Times New Roman" w:hAnsi="Times New Roman"/>
                      <w:b/>
                      <w:color w:val="auto"/>
                    </w:rPr>
                    <w:t>轨道系统</w:t>
                  </w:r>
                </w:p>
              </w:tc>
            </w:tr>
            <w:tr w14:paraId="3A41D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0D77C38">
                  <w:pPr>
                    <w:pStyle w:val="4"/>
                    <w:numPr>
                      <w:ilvl w:val="2"/>
                      <w:numId w:val="0"/>
                    </w:numPr>
                    <w:spacing w:line="240" w:lineRule="auto"/>
                    <w:jc w:val="center"/>
                    <w:rPr>
                      <w:rFonts w:cs="Times New Roman"/>
                      <w:color w:val="auto"/>
                      <w:sz w:val="21"/>
                      <w:szCs w:val="21"/>
                    </w:rPr>
                  </w:pPr>
                  <w:r>
                    <w:rPr>
                      <w:rFonts w:cs="Times New Roman"/>
                      <w:color w:val="auto"/>
                      <w:sz w:val="21"/>
                      <w:szCs w:val="21"/>
                    </w:rPr>
                    <w:t>3.1</w:t>
                  </w:r>
                </w:p>
              </w:tc>
              <w:tc>
                <w:tcPr>
                  <w:tcW w:w="1547" w:type="pct"/>
                  <w:tcBorders>
                    <w:tl2br w:val="nil"/>
                    <w:tr2bl w:val="nil"/>
                  </w:tcBorders>
                  <w:vAlign w:val="center"/>
                </w:tcPr>
                <w:p w14:paraId="15C558A6">
                  <w:pPr>
                    <w:widowControl/>
                    <w:tabs>
                      <w:tab w:val="left" w:pos="600"/>
                    </w:tabs>
                    <w:spacing w:line="240" w:lineRule="exact"/>
                    <w:jc w:val="center"/>
                    <w:textAlignment w:val="center"/>
                    <w:rPr>
                      <w:color w:val="auto"/>
                      <w:kern w:val="0"/>
                      <w:szCs w:val="21"/>
                      <w:lang w:bidi="ar"/>
                    </w:rPr>
                  </w:pPr>
                  <w:r>
                    <w:rPr>
                      <w:color w:val="auto"/>
                      <w:kern w:val="0"/>
                      <w:szCs w:val="21"/>
                      <w:lang w:bidi="ar"/>
                    </w:rPr>
                    <w:t>轨道</w:t>
                  </w:r>
                </w:p>
              </w:tc>
              <w:tc>
                <w:tcPr>
                  <w:tcW w:w="2013" w:type="pct"/>
                  <w:tcBorders>
                    <w:tl2br w:val="nil"/>
                    <w:tr2bl w:val="nil"/>
                  </w:tcBorders>
                  <w:vAlign w:val="center"/>
                </w:tcPr>
                <w:p w14:paraId="4EE685C9">
                  <w:pPr>
                    <w:widowControl/>
                    <w:tabs>
                      <w:tab w:val="left" w:pos="600"/>
                    </w:tabs>
                    <w:spacing w:line="240" w:lineRule="exact"/>
                    <w:jc w:val="center"/>
                    <w:textAlignment w:val="center"/>
                    <w:rPr>
                      <w:color w:val="auto"/>
                      <w:kern w:val="0"/>
                      <w:szCs w:val="21"/>
                      <w:lang w:bidi="ar"/>
                    </w:rPr>
                  </w:pPr>
                  <w:r>
                    <w:rPr>
                      <w:color w:val="auto"/>
                      <w:kern w:val="0"/>
                      <w:szCs w:val="21"/>
                      <w:lang w:bidi="ar"/>
                    </w:rPr>
                    <w:t>轨道（50*50*3热镀锌方钢）、横枕（40*80*3）方钢</w:t>
                  </w:r>
                </w:p>
              </w:tc>
              <w:tc>
                <w:tcPr>
                  <w:tcW w:w="825" w:type="pct"/>
                  <w:tcBorders>
                    <w:tl2br w:val="nil"/>
                    <w:tr2bl w:val="nil"/>
                  </w:tcBorders>
                  <w:vAlign w:val="center"/>
                </w:tcPr>
                <w:p w14:paraId="7CA753AC">
                  <w:pPr>
                    <w:widowControl/>
                    <w:tabs>
                      <w:tab w:val="left" w:pos="600"/>
                    </w:tabs>
                    <w:spacing w:line="240" w:lineRule="exact"/>
                    <w:jc w:val="center"/>
                    <w:textAlignment w:val="center"/>
                    <w:rPr>
                      <w:color w:val="auto"/>
                      <w:kern w:val="0"/>
                      <w:szCs w:val="21"/>
                      <w:lang w:bidi="ar"/>
                    </w:rPr>
                  </w:pPr>
                  <w:r>
                    <w:rPr>
                      <w:color w:val="auto"/>
                      <w:kern w:val="0"/>
                      <w:szCs w:val="21"/>
                      <w:lang w:bidi="ar"/>
                    </w:rPr>
                    <w:t>304m</w:t>
                  </w:r>
                </w:p>
              </w:tc>
            </w:tr>
            <w:tr w14:paraId="75B72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BE1265D">
                  <w:pPr>
                    <w:pStyle w:val="4"/>
                    <w:numPr>
                      <w:ilvl w:val="2"/>
                      <w:numId w:val="0"/>
                    </w:numPr>
                    <w:spacing w:line="240" w:lineRule="auto"/>
                    <w:jc w:val="center"/>
                    <w:rPr>
                      <w:rFonts w:cs="Times New Roman"/>
                      <w:color w:val="auto"/>
                      <w:sz w:val="21"/>
                      <w:szCs w:val="21"/>
                    </w:rPr>
                  </w:pPr>
                  <w:r>
                    <w:rPr>
                      <w:rFonts w:cs="Times New Roman"/>
                      <w:color w:val="auto"/>
                      <w:sz w:val="21"/>
                      <w:szCs w:val="21"/>
                    </w:rPr>
                    <w:t>3.2</w:t>
                  </w:r>
                </w:p>
              </w:tc>
              <w:tc>
                <w:tcPr>
                  <w:tcW w:w="1547" w:type="pct"/>
                  <w:tcBorders>
                    <w:tl2br w:val="nil"/>
                    <w:tr2bl w:val="nil"/>
                  </w:tcBorders>
                  <w:vAlign w:val="center"/>
                </w:tcPr>
                <w:p w14:paraId="57897754">
                  <w:pPr>
                    <w:widowControl/>
                    <w:tabs>
                      <w:tab w:val="left" w:pos="600"/>
                    </w:tabs>
                    <w:spacing w:line="240" w:lineRule="exact"/>
                    <w:jc w:val="center"/>
                    <w:textAlignment w:val="center"/>
                    <w:rPr>
                      <w:color w:val="auto"/>
                      <w:kern w:val="0"/>
                      <w:szCs w:val="21"/>
                      <w:lang w:bidi="ar"/>
                    </w:rPr>
                  </w:pPr>
                  <w:r>
                    <w:rPr>
                      <w:color w:val="auto"/>
                      <w:kern w:val="0"/>
                      <w:szCs w:val="21"/>
                      <w:lang w:bidi="ar"/>
                    </w:rPr>
                    <w:t>轨道运输车</w:t>
                  </w:r>
                </w:p>
              </w:tc>
              <w:tc>
                <w:tcPr>
                  <w:tcW w:w="2013" w:type="pct"/>
                  <w:tcBorders>
                    <w:tl2br w:val="nil"/>
                    <w:tr2bl w:val="nil"/>
                  </w:tcBorders>
                  <w:vAlign w:val="center"/>
                </w:tcPr>
                <w:p w14:paraId="4FB3BE89">
                  <w:pPr>
                    <w:widowControl/>
                    <w:spacing w:line="240" w:lineRule="exact"/>
                    <w:jc w:val="center"/>
                    <w:rPr>
                      <w:color w:val="auto"/>
                      <w:kern w:val="0"/>
                      <w:szCs w:val="21"/>
                      <w:lang w:bidi="ar"/>
                    </w:rPr>
                  </w:pPr>
                  <w:r>
                    <w:rPr>
                      <w:bCs/>
                      <w:color w:val="auto"/>
                      <w:szCs w:val="21"/>
                    </w:rPr>
                    <w:t>/</w:t>
                  </w:r>
                </w:p>
              </w:tc>
              <w:tc>
                <w:tcPr>
                  <w:tcW w:w="825" w:type="pct"/>
                  <w:tcBorders>
                    <w:tl2br w:val="nil"/>
                    <w:tr2bl w:val="nil"/>
                  </w:tcBorders>
                  <w:vAlign w:val="center"/>
                </w:tcPr>
                <w:p w14:paraId="3DA172A0">
                  <w:pPr>
                    <w:widowControl/>
                    <w:tabs>
                      <w:tab w:val="left" w:pos="600"/>
                    </w:tabs>
                    <w:spacing w:line="240" w:lineRule="exact"/>
                    <w:jc w:val="center"/>
                    <w:textAlignment w:val="center"/>
                    <w:rPr>
                      <w:color w:val="auto"/>
                      <w:kern w:val="0"/>
                      <w:szCs w:val="21"/>
                      <w:lang w:bidi="ar"/>
                    </w:rPr>
                  </w:pPr>
                  <w:r>
                    <w:rPr>
                      <w:color w:val="auto"/>
                      <w:kern w:val="0"/>
                      <w:szCs w:val="21"/>
                      <w:lang w:bidi="ar"/>
                    </w:rPr>
                    <w:t>2台</w:t>
                  </w:r>
                </w:p>
              </w:tc>
            </w:tr>
            <w:tr w14:paraId="25BB3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EDFE04A">
                  <w:pPr>
                    <w:pStyle w:val="4"/>
                    <w:numPr>
                      <w:ilvl w:val="2"/>
                      <w:numId w:val="0"/>
                    </w:numPr>
                    <w:spacing w:line="240" w:lineRule="auto"/>
                    <w:jc w:val="center"/>
                    <w:rPr>
                      <w:rFonts w:cs="Times New Roman"/>
                      <w:color w:val="auto"/>
                      <w:sz w:val="21"/>
                      <w:szCs w:val="21"/>
                    </w:rPr>
                  </w:pPr>
                  <w:r>
                    <w:rPr>
                      <w:rFonts w:cs="Times New Roman"/>
                      <w:color w:val="auto"/>
                      <w:sz w:val="21"/>
                      <w:szCs w:val="21"/>
                    </w:rPr>
                    <w:t>3.3</w:t>
                  </w:r>
                </w:p>
              </w:tc>
              <w:tc>
                <w:tcPr>
                  <w:tcW w:w="1547" w:type="pct"/>
                  <w:tcBorders>
                    <w:tl2br w:val="nil"/>
                    <w:tr2bl w:val="nil"/>
                  </w:tcBorders>
                  <w:vAlign w:val="center"/>
                </w:tcPr>
                <w:p w14:paraId="3DAC2F74">
                  <w:pPr>
                    <w:widowControl/>
                    <w:tabs>
                      <w:tab w:val="left" w:pos="600"/>
                    </w:tabs>
                    <w:spacing w:line="240" w:lineRule="exact"/>
                    <w:jc w:val="center"/>
                    <w:textAlignment w:val="center"/>
                    <w:rPr>
                      <w:color w:val="auto"/>
                      <w:kern w:val="0"/>
                      <w:szCs w:val="21"/>
                      <w:lang w:bidi="ar"/>
                    </w:rPr>
                  </w:pPr>
                  <w:r>
                    <w:rPr>
                      <w:color w:val="auto"/>
                      <w:kern w:val="0"/>
                      <w:szCs w:val="21"/>
                      <w:lang w:bidi="ar"/>
                    </w:rPr>
                    <w:t>轨道车充电桩</w:t>
                  </w:r>
                </w:p>
              </w:tc>
              <w:tc>
                <w:tcPr>
                  <w:tcW w:w="2013" w:type="pct"/>
                  <w:tcBorders>
                    <w:tl2br w:val="nil"/>
                    <w:tr2bl w:val="nil"/>
                  </w:tcBorders>
                  <w:vAlign w:val="center"/>
                </w:tcPr>
                <w:p w14:paraId="11A5544D">
                  <w:pPr>
                    <w:widowControl/>
                    <w:spacing w:line="240" w:lineRule="exact"/>
                    <w:jc w:val="center"/>
                    <w:rPr>
                      <w:color w:val="auto"/>
                      <w:kern w:val="0"/>
                      <w:szCs w:val="21"/>
                      <w:lang w:bidi="ar"/>
                    </w:rPr>
                  </w:pPr>
                  <w:r>
                    <w:rPr>
                      <w:bCs/>
                      <w:color w:val="auto"/>
                      <w:szCs w:val="21"/>
                    </w:rPr>
                    <w:t>/</w:t>
                  </w:r>
                </w:p>
              </w:tc>
              <w:tc>
                <w:tcPr>
                  <w:tcW w:w="825" w:type="pct"/>
                  <w:tcBorders>
                    <w:tl2br w:val="nil"/>
                    <w:tr2bl w:val="nil"/>
                  </w:tcBorders>
                  <w:vAlign w:val="center"/>
                </w:tcPr>
                <w:p w14:paraId="0E9FDBAD">
                  <w:pPr>
                    <w:widowControl/>
                    <w:tabs>
                      <w:tab w:val="left" w:pos="600"/>
                    </w:tabs>
                    <w:spacing w:line="240" w:lineRule="exact"/>
                    <w:jc w:val="center"/>
                    <w:textAlignment w:val="center"/>
                    <w:rPr>
                      <w:color w:val="auto"/>
                      <w:kern w:val="0"/>
                      <w:szCs w:val="21"/>
                      <w:lang w:bidi="ar"/>
                    </w:rPr>
                  </w:pPr>
                  <w:r>
                    <w:rPr>
                      <w:color w:val="auto"/>
                      <w:kern w:val="0"/>
                      <w:szCs w:val="21"/>
                      <w:lang w:bidi="ar"/>
                    </w:rPr>
                    <w:t>2个</w:t>
                  </w:r>
                </w:p>
              </w:tc>
            </w:tr>
            <w:tr w14:paraId="175CF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1B271CE7">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4</w:t>
                  </w:r>
                </w:p>
              </w:tc>
              <w:tc>
                <w:tcPr>
                  <w:tcW w:w="4386" w:type="pct"/>
                  <w:gridSpan w:val="3"/>
                  <w:tcBorders>
                    <w:tl2br w:val="nil"/>
                    <w:tr2bl w:val="nil"/>
                  </w:tcBorders>
                  <w:vAlign w:val="center"/>
                </w:tcPr>
                <w:p w14:paraId="468C81D0">
                  <w:pPr>
                    <w:pStyle w:val="64"/>
                    <w:rPr>
                      <w:rFonts w:ascii="Times New Roman" w:hAnsi="Times New Roman"/>
                      <w:b/>
                      <w:color w:val="auto"/>
                    </w:rPr>
                  </w:pPr>
                  <w:r>
                    <w:rPr>
                      <w:rFonts w:ascii="Times New Roman" w:hAnsi="Times New Roman"/>
                      <w:b/>
                      <w:color w:val="auto"/>
                    </w:rPr>
                    <w:t>配电系统</w:t>
                  </w:r>
                </w:p>
              </w:tc>
            </w:tr>
            <w:tr w14:paraId="34AEA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44BF9B9">
                  <w:pPr>
                    <w:pStyle w:val="4"/>
                    <w:numPr>
                      <w:ilvl w:val="2"/>
                      <w:numId w:val="0"/>
                    </w:numPr>
                    <w:spacing w:line="240" w:lineRule="auto"/>
                    <w:jc w:val="center"/>
                    <w:rPr>
                      <w:rFonts w:cs="Times New Roman"/>
                      <w:color w:val="auto"/>
                      <w:sz w:val="21"/>
                      <w:szCs w:val="21"/>
                    </w:rPr>
                  </w:pPr>
                  <w:r>
                    <w:rPr>
                      <w:rFonts w:cs="Times New Roman"/>
                      <w:color w:val="auto"/>
                      <w:sz w:val="21"/>
                      <w:szCs w:val="21"/>
                    </w:rPr>
                    <w:t>4.1</w:t>
                  </w:r>
                </w:p>
              </w:tc>
              <w:tc>
                <w:tcPr>
                  <w:tcW w:w="1547" w:type="pct"/>
                  <w:tcBorders>
                    <w:tl2br w:val="nil"/>
                    <w:tr2bl w:val="nil"/>
                  </w:tcBorders>
                  <w:vAlign w:val="center"/>
                </w:tcPr>
                <w:p w14:paraId="51B81289">
                  <w:pPr>
                    <w:widowControl/>
                    <w:tabs>
                      <w:tab w:val="left" w:pos="600"/>
                    </w:tabs>
                    <w:spacing w:line="240" w:lineRule="exact"/>
                    <w:jc w:val="center"/>
                    <w:textAlignment w:val="center"/>
                    <w:rPr>
                      <w:color w:val="auto"/>
                      <w:kern w:val="0"/>
                      <w:szCs w:val="21"/>
                      <w:lang w:bidi="ar"/>
                    </w:rPr>
                  </w:pPr>
                  <w:r>
                    <w:rPr>
                      <w:color w:val="auto"/>
                      <w:kern w:val="0"/>
                      <w:szCs w:val="21"/>
                      <w:lang w:bidi="ar"/>
                    </w:rPr>
                    <w:t>箱式变电站</w:t>
                  </w:r>
                </w:p>
              </w:tc>
              <w:tc>
                <w:tcPr>
                  <w:tcW w:w="2013" w:type="pct"/>
                  <w:tcBorders>
                    <w:tl2br w:val="nil"/>
                    <w:tr2bl w:val="nil"/>
                  </w:tcBorders>
                  <w:vAlign w:val="center"/>
                </w:tcPr>
                <w:p w14:paraId="1DABF3EE">
                  <w:pPr>
                    <w:widowControl/>
                    <w:tabs>
                      <w:tab w:val="left" w:pos="600"/>
                    </w:tabs>
                    <w:spacing w:line="240" w:lineRule="exact"/>
                    <w:jc w:val="center"/>
                    <w:textAlignment w:val="center"/>
                    <w:rPr>
                      <w:color w:val="auto"/>
                      <w:kern w:val="0"/>
                      <w:szCs w:val="21"/>
                      <w:lang w:bidi="ar"/>
                    </w:rPr>
                  </w:pPr>
                  <w:r>
                    <w:rPr>
                      <w:color w:val="auto"/>
                      <w:kern w:val="0"/>
                      <w:szCs w:val="21"/>
                      <w:lang w:bidi="ar"/>
                    </w:rPr>
                    <w:t>250KVA</w:t>
                  </w:r>
                </w:p>
              </w:tc>
              <w:tc>
                <w:tcPr>
                  <w:tcW w:w="825" w:type="pct"/>
                  <w:tcBorders>
                    <w:tl2br w:val="nil"/>
                    <w:tr2bl w:val="nil"/>
                  </w:tcBorders>
                  <w:vAlign w:val="center"/>
                </w:tcPr>
                <w:p w14:paraId="68B9A2FD">
                  <w:pPr>
                    <w:widowControl/>
                    <w:tabs>
                      <w:tab w:val="left" w:pos="600"/>
                    </w:tabs>
                    <w:spacing w:line="240" w:lineRule="exact"/>
                    <w:jc w:val="center"/>
                    <w:textAlignment w:val="center"/>
                    <w:rPr>
                      <w:color w:val="auto"/>
                      <w:kern w:val="0"/>
                      <w:szCs w:val="21"/>
                      <w:lang w:bidi="ar"/>
                    </w:rPr>
                  </w:pPr>
                  <w:r>
                    <w:rPr>
                      <w:color w:val="auto"/>
                      <w:kern w:val="0"/>
                      <w:szCs w:val="21"/>
                      <w:lang w:bidi="ar"/>
                    </w:rPr>
                    <w:t>1套</w:t>
                  </w:r>
                </w:p>
              </w:tc>
            </w:tr>
            <w:tr w14:paraId="2C8B9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A457C28">
                  <w:pPr>
                    <w:pStyle w:val="4"/>
                    <w:numPr>
                      <w:ilvl w:val="2"/>
                      <w:numId w:val="0"/>
                    </w:numPr>
                    <w:spacing w:line="240" w:lineRule="auto"/>
                    <w:jc w:val="center"/>
                    <w:rPr>
                      <w:rFonts w:cs="Times New Roman"/>
                      <w:color w:val="auto"/>
                      <w:sz w:val="21"/>
                      <w:szCs w:val="21"/>
                    </w:rPr>
                  </w:pPr>
                  <w:r>
                    <w:rPr>
                      <w:rFonts w:cs="Times New Roman"/>
                      <w:color w:val="auto"/>
                      <w:sz w:val="21"/>
                      <w:szCs w:val="21"/>
                    </w:rPr>
                    <w:t>4.2</w:t>
                  </w:r>
                </w:p>
              </w:tc>
              <w:tc>
                <w:tcPr>
                  <w:tcW w:w="1547" w:type="pct"/>
                  <w:tcBorders>
                    <w:tl2br w:val="nil"/>
                    <w:tr2bl w:val="nil"/>
                  </w:tcBorders>
                  <w:vAlign w:val="center"/>
                </w:tcPr>
                <w:p w14:paraId="46B8CF04">
                  <w:pPr>
                    <w:widowControl/>
                    <w:tabs>
                      <w:tab w:val="left" w:pos="600"/>
                    </w:tabs>
                    <w:spacing w:line="240" w:lineRule="exact"/>
                    <w:jc w:val="center"/>
                    <w:textAlignment w:val="center"/>
                    <w:rPr>
                      <w:color w:val="auto"/>
                      <w:kern w:val="0"/>
                      <w:szCs w:val="21"/>
                      <w:lang w:bidi="ar"/>
                    </w:rPr>
                  </w:pPr>
                  <w:r>
                    <w:rPr>
                      <w:color w:val="auto"/>
                      <w:kern w:val="0"/>
                      <w:szCs w:val="21"/>
                      <w:lang w:bidi="ar"/>
                    </w:rPr>
                    <w:t>静音型室外箱式柴油发电机组</w:t>
                  </w:r>
                </w:p>
              </w:tc>
              <w:tc>
                <w:tcPr>
                  <w:tcW w:w="2013" w:type="pct"/>
                  <w:tcBorders>
                    <w:tl2br w:val="nil"/>
                    <w:tr2bl w:val="nil"/>
                  </w:tcBorders>
                  <w:vAlign w:val="center"/>
                </w:tcPr>
                <w:p w14:paraId="3AEAA70B">
                  <w:pPr>
                    <w:widowControl/>
                    <w:tabs>
                      <w:tab w:val="left" w:pos="600"/>
                    </w:tabs>
                    <w:spacing w:line="240" w:lineRule="exact"/>
                    <w:jc w:val="center"/>
                    <w:textAlignment w:val="center"/>
                    <w:rPr>
                      <w:color w:val="auto"/>
                      <w:kern w:val="0"/>
                      <w:szCs w:val="21"/>
                      <w:lang w:bidi="ar"/>
                    </w:rPr>
                  </w:pPr>
                  <w:r>
                    <w:rPr>
                      <w:color w:val="auto"/>
                      <w:kern w:val="0"/>
                      <w:szCs w:val="21"/>
                      <w:lang w:bidi="ar"/>
                    </w:rPr>
                    <w:t>40KVA</w:t>
                  </w:r>
                </w:p>
              </w:tc>
              <w:tc>
                <w:tcPr>
                  <w:tcW w:w="825" w:type="pct"/>
                  <w:tcBorders>
                    <w:tl2br w:val="nil"/>
                    <w:tr2bl w:val="nil"/>
                  </w:tcBorders>
                  <w:vAlign w:val="center"/>
                </w:tcPr>
                <w:p w14:paraId="57171BA0">
                  <w:pPr>
                    <w:widowControl/>
                    <w:tabs>
                      <w:tab w:val="left" w:pos="600"/>
                    </w:tabs>
                    <w:spacing w:line="240" w:lineRule="exact"/>
                    <w:jc w:val="center"/>
                    <w:textAlignment w:val="center"/>
                    <w:rPr>
                      <w:color w:val="auto"/>
                      <w:kern w:val="0"/>
                      <w:szCs w:val="21"/>
                      <w:lang w:bidi="ar"/>
                    </w:rPr>
                  </w:pPr>
                  <w:r>
                    <w:rPr>
                      <w:color w:val="auto"/>
                      <w:kern w:val="0"/>
                      <w:szCs w:val="21"/>
                      <w:lang w:bidi="ar"/>
                    </w:rPr>
                    <w:t>1套</w:t>
                  </w:r>
                </w:p>
              </w:tc>
            </w:tr>
            <w:tr w14:paraId="2F9DB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3793519">
                  <w:pPr>
                    <w:pStyle w:val="4"/>
                    <w:numPr>
                      <w:ilvl w:val="2"/>
                      <w:numId w:val="0"/>
                    </w:numPr>
                    <w:spacing w:line="240" w:lineRule="auto"/>
                    <w:jc w:val="center"/>
                    <w:rPr>
                      <w:rFonts w:cs="Times New Roman"/>
                      <w:color w:val="auto"/>
                      <w:sz w:val="21"/>
                      <w:szCs w:val="21"/>
                    </w:rPr>
                  </w:pPr>
                  <w:r>
                    <w:rPr>
                      <w:rFonts w:cs="Times New Roman"/>
                      <w:color w:val="auto"/>
                      <w:sz w:val="21"/>
                      <w:szCs w:val="21"/>
                    </w:rPr>
                    <w:t>4.3</w:t>
                  </w:r>
                </w:p>
              </w:tc>
              <w:tc>
                <w:tcPr>
                  <w:tcW w:w="1547" w:type="pct"/>
                  <w:tcBorders>
                    <w:tl2br w:val="nil"/>
                    <w:tr2bl w:val="nil"/>
                  </w:tcBorders>
                  <w:vAlign w:val="center"/>
                </w:tcPr>
                <w:p w14:paraId="5BF6A89E">
                  <w:pPr>
                    <w:widowControl/>
                    <w:tabs>
                      <w:tab w:val="left" w:pos="600"/>
                    </w:tabs>
                    <w:spacing w:line="240" w:lineRule="exact"/>
                    <w:jc w:val="center"/>
                    <w:textAlignment w:val="center"/>
                    <w:rPr>
                      <w:color w:val="auto"/>
                      <w:kern w:val="0"/>
                      <w:szCs w:val="21"/>
                      <w:lang w:bidi="ar"/>
                    </w:rPr>
                  </w:pPr>
                  <w:r>
                    <w:rPr>
                      <w:color w:val="auto"/>
                      <w:kern w:val="0"/>
                      <w:szCs w:val="21"/>
                      <w:lang w:bidi="ar"/>
                    </w:rPr>
                    <w:t>增氧系统风机配电箱</w:t>
                  </w:r>
                </w:p>
              </w:tc>
              <w:tc>
                <w:tcPr>
                  <w:tcW w:w="2013" w:type="pct"/>
                  <w:tcBorders>
                    <w:tl2br w:val="nil"/>
                    <w:tr2bl w:val="nil"/>
                  </w:tcBorders>
                  <w:vAlign w:val="center"/>
                </w:tcPr>
                <w:p w14:paraId="20AF9981">
                  <w:pPr>
                    <w:widowControl/>
                    <w:tabs>
                      <w:tab w:val="left" w:pos="600"/>
                    </w:tabs>
                    <w:spacing w:line="240" w:lineRule="exact"/>
                    <w:jc w:val="center"/>
                    <w:textAlignment w:val="center"/>
                    <w:rPr>
                      <w:color w:val="auto"/>
                      <w:kern w:val="0"/>
                      <w:szCs w:val="21"/>
                      <w:lang w:bidi="ar"/>
                    </w:rPr>
                  </w:pPr>
                  <w:r>
                    <w:rPr>
                      <w:color w:val="auto"/>
                      <w:kern w:val="0"/>
                      <w:szCs w:val="21"/>
                      <w:lang w:bidi="ar"/>
                    </w:rPr>
                    <w:t>30KW</w:t>
                  </w:r>
                </w:p>
              </w:tc>
              <w:tc>
                <w:tcPr>
                  <w:tcW w:w="825" w:type="pct"/>
                  <w:tcBorders>
                    <w:tl2br w:val="nil"/>
                    <w:tr2bl w:val="nil"/>
                  </w:tcBorders>
                  <w:vAlign w:val="center"/>
                </w:tcPr>
                <w:p w14:paraId="0BA0B71E">
                  <w:pPr>
                    <w:widowControl/>
                    <w:tabs>
                      <w:tab w:val="left" w:pos="600"/>
                    </w:tabs>
                    <w:spacing w:line="240" w:lineRule="exact"/>
                    <w:jc w:val="center"/>
                    <w:textAlignment w:val="center"/>
                    <w:rPr>
                      <w:color w:val="auto"/>
                      <w:kern w:val="0"/>
                      <w:szCs w:val="21"/>
                      <w:lang w:bidi="ar"/>
                    </w:rPr>
                  </w:pPr>
                  <w:r>
                    <w:rPr>
                      <w:color w:val="auto"/>
                      <w:kern w:val="0"/>
                      <w:szCs w:val="21"/>
                      <w:lang w:bidi="ar"/>
                    </w:rPr>
                    <w:t>1台</w:t>
                  </w:r>
                </w:p>
              </w:tc>
            </w:tr>
            <w:tr w14:paraId="446E4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0A09B92">
                  <w:pPr>
                    <w:pStyle w:val="4"/>
                    <w:numPr>
                      <w:ilvl w:val="2"/>
                      <w:numId w:val="0"/>
                    </w:numPr>
                    <w:spacing w:line="240" w:lineRule="auto"/>
                    <w:jc w:val="center"/>
                    <w:rPr>
                      <w:rFonts w:cs="Times New Roman"/>
                      <w:color w:val="auto"/>
                      <w:sz w:val="21"/>
                      <w:szCs w:val="21"/>
                    </w:rPr>
                  </w:pPr>
                  <w:r>
                    <w:rPr>
                      <w:rFonts w:cs="Times New Roman"/>
                      <w:color w:val="auto"/>
                      <w:sz w:val="21"/>
                      <w:szCs w:val="21"/>
                    </w:rPr>
                    <w:t>4.4</w:t>
                  </w:r>
                </w:p>
              </w:tc>
              <w:tc>
                <w:tcPr>
                  <w:tcW w:w="1547" w:type="pct"/>
                  <w:tcBorders>
                    <w:tl2br w:val="nil"/>
                    <w:tr2bl w:val="nil"/>
                  </w:tcBorders>
                  <w:vAlign w:val="center"/>
                </w:tcPr>
                <w:p w14:paraId="3C7D0C0D">
                  <w:pPr>
                    <w:widowControl/>
                    <w:tabs>
                      <w:tab w:val="left" w:pos="600"/>
                    </w:tabs>
                    <w:spacing w:line="240" w:lineRule="exact"/>
                    <w:jc w:val="center"/>
                    <w:textAlignment w:val="center"/>
                    <w:rPr>
                      <w:color w:val="auto"/>
                      <w:kern w:val="0"/>
                      <w:szCs w:val="21"/>
                      <w:lang w:bidi="ar"/>
                    </w:rPr>
                  </w:pPr>
                  <w:r>
                    <w:rPr>
                      <w:color w:val="auto"/>
                      <w:kern w:val="0"/>
                      <w:szCs w:val="21"/>
                      <w:lang w:bidi="ar"/>
                    </w:rPr>
                    <w:t>投饵系统配电总箱</w:t>
                  </w:r>
                </w:p>
              </w:tc>
              <w:tc>
                <w:tcPr>
                  <w:tcW w:w="2013" w:type="pct"/>
                  <w:tcBorders>
                    <w:tl2br w:val="nil"/>
                    <w:tr2bl w:val="nil"/>
                  </w:tcBorders>
                  <w:vAlign w:val="center"/>
                </w:tcPr>
                <w:p w14:paraId="24442AA9">
                  <w:pPr>
                    <w:widowControl/>
                    <w:tabs>
                      <w:tab w:val="left" w:pos="600"/>
                    </w:tabs>
                    <w:spacing w:line="240" w:lineRule="exact"/>
                    <w:jc w:val="center"/>
                    <w:textAlignment w:val="center"/>
                    <w:rPr>
                      <w:color w:val="auto"/>
                      <w:kern w:val="0"/>
                      <w:szCs w:val="21"/>
                      <w:lang w:bidi="ar"/>
                    </w:rPr>
                  </w:pPr>
                  <w:r>
                    <w:rPr>
                      <w:color w:val="auto"/>
                      <w:kern w:val="0"/>
                      <w:szCs w:val="21"/>
                      <w:lang w:bidi="ar"/>
                    </w:rPr>
                    <w:t>69KW</w:t>
                  </w:r>
                </w:p>
              </w:tc>
              <w:tc>
                <w:tcPr>
                  <w:tcW w:w="825" w:type="pct"/>
                  <w:tcBorders>
                    <w:tl2br w:val="nil"/>
                    <w:tr2bl w:val="nil"/>
                  </w:tcBorders>
                  <w:vAlign w:val="center"/>
                </w:tcPr>
                <w:p w14:paraId="66256A5C">
                  <w:pPr>
                    <w:widowControl/>
                    <w:tabs>
                      <w:tab w:val="left" w:pos="600"/>
                    </w:tabs>
                    <w:spacing w:line="240" w:lineRule="exact"/>
                    <w:jc w:val="center"/>
                    <w:textAlignment w:val="center"/>
                    <w:rPr>
                      <w:color w:val="auto"/>
                      <w:kern w:val="0"/>
                      <w:szCs w:val="21"/>
                      <w:lang w:bidi="ar"/>
                    </w:rPr>
                  </w:pPr>
                  <w:r>
                    <w:rPr>
                      <w:color w:val="auto"/>
                      <w:kern w:val="0"/>
                      <w:szCs w:val="21"/>
                      <w:lang w:bidi="ar"/>
                    </w:rPr>
                    <w:t>1台</w:t>
                  </w:r>
                </w:p>
              </w:tc>
            </w:tr>
            <w:tr w14:paraId="69C2D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63B4C17">
                  <w:pPr>
                    <w:pStyle w:val="4"/>
                    <w:numPr>
                      <w:ilvl w:val="2"/>
                      <w:numId w:val="0"/>
                    </w:numPr>
                    <w:spacing w:line="240" w:lineRule="auto"/>
                    <w:jc w:val="center"/>
                    <w:rPr>
                      <w:rFonts w:cs="Times New Roman"/>
                      <w:color w:val="auto"/>
                      <w:sz w:val="21"/>
                      <w:szCs w:val="21"/>
                    </w:rPr>
                  </w:pPr>
                  <w:r>
                    <w:rPr>
                      <w:rFonts w:cs="Times New Roman"/>
                      <w:color w:val="auto"/>
                      <w:sz w:val="21"/>
                      <w:szCs w:val="21"/>
                    </w:rPr>
                    <w:t>4.5</w:t>
                  </w:r>
                </w:p>
              </w:tc>
              <w:tc>
                <w:tcPr>
                  <w:tcW w:w="1547" w:type="pct"/>
                  <w:tcBorders>
                    <w:tl2br w:val="nil"/>
                    <w:tr2bl w:val="nil"/>
                  </w:tcBorders>
                  <w:vAlign w:val="center"/>
                </w:tcPr>
                <w:p w14:paraId="3BE2EA98">
                  <w:pPr>
                    <w:widowControl/>
                    <w:tabs>
                      <w:tab w:val="left" w:pos="600"/>
                    </w:tabs>
                    <w:spacing w:line="240" w:lineRule="exact"/>
                    <w:jc w:val="center"/>
                    <w:textAlignment w:val="center"/>
                    <w:rPr>
                      <w:color w:val="auto"/>
                      <w:kern w:val="0"/>
                      <w:szCs w:val="21"/>
                      <w:lang w:bidi="ar"/>
                    </w:rPr>
                  </w:pPr>
                  <w:r>
                    <w:rPr>
                      <w:color w:val="auto"/>
                      <w:kern w:val="0"/>
                      <w:szCs w:val="21"/>
                      <w:lang w:bidi="ar"/>
                    </w:rPr>
                    <w:t>投饵系统配电分箱</w:t>
                  </w:r>
                </w:p>
              </w:tc>
              <w:tc>
                <w:tcPr>
                  <w:tcW w:w="2013" w:type="pct"/>
                  <w:tcBorders>
                    <w:tl2br w:val="nil"/>
                    <w:tr2bl w:val="nil"/>
                  </w:tcBorders>
                  <w:vAlign w:val="center"/>
                </w:tcPr>
                <w:p w14:paraId="0B4E93B3">
                  <w:pPr>
                    <w:widowControl/>
                    <w:tabs>
                      <w:tab w:val="left" w:pos="600"/>
                    </w:tabs>
                    <w:spacing w:line="240" w:lineRule="exact"/>
                    <w:jc w:val="center"/>
                    <w:textAlignment w:val="center"/>
                    <w:rPr>
                      <w:color w:val="auto"/>
                      <w:kern w:val="0"/>
                      <w:szCs w:val="21"/>
                      <w:lang w:bidi="ar"/>
                    </w:rPr>
                  </w:pPr>
                  <w:r>
                    <w:rPr>
                      <w:color w:val="auto"/>
                      <w:kern w:val="0"/>
                      <w:szCs w:val="21"/>
                      <w:lang w:bidi="ar"/>
                    </w:rPr>
                    <w:t>44KW/25KW</w:t>
                  </w:r>
                </w:p>
              </w:tc>
              <w:tc>
                <w:tcPr>
                  <w:tcW w:w="825" w:type="pct"/>
                  <w:tcBorders>
                    <w:tl2br w:val="nil"/>
                    <w:tr2bl w:val="nil"/>
                  </w:tcBorders>
                  <w:vAlign w:val="center"/>
                </w:tcPr>
                <w:p w14:paraId="608502A2">
                  <w:pPr>
                    <w:widowControl/>
                    <w:tabs>
                      <w:tab w:val="left" w:pos="600"/>
                    </w:tabs>
                    <w:spacing w:line="240" w:lineRule="exact"/>
                    <w:jc w:val="center"/>
                    <w:textAlignment w:val="center"/>
                    <w:rPr>
                      <w:color w:val="auto"/>
                      <w:kern w:val="0"/>
                      <w:szCs w:val="21"/>
                      <w:lang w:bidi="ar"/>
                    </w:rPr>
                  </w:pPr>
                  <w:r>
                    <w:rPr>
                      <w:color w:val="auto"/>
                      <w:kern w:val="0"/>
                      <w:szCs w:val="21"/>
                      <w:lang w:bidi="ar"/>
                    </w:rPr>
                    <w:t>2台</w:t>
                  </w:r>
                </w:p>
              </w:tc>
            </w:tr>
            <w:tr w14:paraId="3B34A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35AE953">
                  <w:pPr>
                    <w:pStyle w:val="4"/>
                    <w:numPr>
                      <w:ilvl w:val="2"/>
                      <w:numId w:val="0"/>
                    </w:numPr>
                    <w:spacing w:line="240" w:lineRule="auto"/>
                    <w:jc w:val="center"/>
                    <w:rPr>
                      <w:rFonts w:cs="Times New Roman"/>
                      <w:color w:val="auto"/>
                      <w:sz w:val="21"/>
                      <w:szCs w:val="21"/>
                    </w:rPr>
                  </w:pPr>
                  <w:r>
                    <w:rPr>
                      <w:rFonts w:cs="Times New Roman"/>
                      <w:color w:val="auto"/>
                      <w:sz w:val="21"/>
                      <w:szCs w:val="21"/>
                    </w:rPr>
                    <w:t>4.6</w:t>
                  </w:r>
                </w:p>
              </w:tc>
              <w:tc>
                <w:tcPr>
                  <w:tcW w:w="1547" w:type="pct"/>
                  <w:tcBorders>
                    <w:tl2br w:val="nil"/>
                    <w:tr2bl w:val="nil"/>
                  </w:tcBorders>
                  <w:vAlign w:val="center"/>
                </w:tcPr>
                <w:p w14:paraId="01B6004E">
                  <w:pPr>
                    <w:widowControl/>
                    <w:tabs>
                      <w:tab w:val="left" w:pos="600"/>
                    </w:tabs>
                    <w:spacing w:line="240" w:lineRule="exact"/>
                    <w:jc w:val="center"/>
                    <w:textAlignment w:val="center"/>
                    <w:rPr>
                      <w:color w:val="auto"/>
                      <w:kern w:val="0"/>
                      <w:szCs w:val="21"/>
                      <w:lang w:bidi="ar"/>
                    </w:rPr>
                  </w:pPr>
                  <w:r>
                    <w:rPr>
                      <w:color w:val="auto"/>
                      <w:kern w:val="0"/>
                      <w:szCs w:val="21"/>
                      <w:lang w:bidi="ar"/>
                    </w:rPr>
                    <w:t>水泵电力配电总箱</w:t>
                  </w:r>
                </w:p>
              </w:tc>
              <w:tc>
                <w:tcPr>
                  <w:tcW w:w="2013" w:type="pct"/>
                  <w:tcBorders>
                    <w:tl2br w:val="nil"/>
                    <w:tr2bl w:val="nil"/>
                  </w:tcBorders>
                  <w:vAlign w:val="center"/>
                </w:tcPr>
                <w:p w14:paraId="3E365A39">
                  <w:pPr>
                    <w:widowControl/>
                    <w:tabs>
                      <w:tab w:val="left" w:pos="600"/>
                    </w:tabs>
                    <w:spacing w:line="240" w:lineRule="exact"/>
                    <w:jc w:val="center"/>
                    <w:textAlignment w:val="center"/>
                    <w:rPr>
                      <w:color w:val="auto"/>
                      <w:kern w:val="0"/>
                      <w:szCs w:val="21"/>
                      <w:lang w:bidi="ar"/>
                    </w:rPr>
                  </w:pPr>
                  <w:r>
                    <w:rPr>
                      <w:color w:val="auto"/>
                      <w:kern w:val="0"/>
                      <w:szCs w:val="21"/>
                      <w:lang w:bidi="ar"/>
                    </w:rPr>
                    <w:t>75KW</w:t>
                  </w:r>
                </w:p>
              </w:tc>
              <w:tc>
                <w:tcPr>
                  <w:tcW w:w="825" w:type="pct"/>
                  <w:tcBorders>
                    <w:tl2br w:val="nil"/>
                    <w:tr2bl w:val="nil"/>
                  </w:tcBorders>
                  <w:vAlign w:val="center"/>
                </w:tcPr>
                <w:p w14:paraId="463004CA">
                  <w:pPr>
                    <w:widowControl/>
                    <w:tabs>
                      <w:tab w:val="left" w:pos="600"/>
                    </w:tabs>
                    <w:spacing w:line="240" w:lineRule="exact"/>
                    <w:jc w:val="center"/>
                    <w:textAlignment w:val="center"/>
                    <w:rPr>
                      <w:color w:val="auto"/>
                      <w:kern w:val="0"/>
                      <w:szCs w:val="21"/>
                      <w:lang w:bidi="ar"/>
                    </w:rPr>
                  </w:pPr>
                  <w:r>
                    <w:rPr>
                      <w:color w:val="auto"/>
                      <w:kern w:val="0"/>
                      <w:szCs w:val="21"/>
                      <w:lang w:bidi="ar"/>
                    </w:rPr>
                    <w:t>1台</w:t>
                  </w:r>
                </w:p>
              </w:tc>
            </w:tr>
            <w:tr w14:paraId="1C8C2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CF20D01">
                  <w:pPr>
                    <w:pStyle w:val="4"/>
                    <w:numPr>
                      <w:ilvl w:val="2"/>
                      <w:numId w:val="0"/>
                    </w:numPr>
                    <w:spacing w:line="240" w:lineRule="auto"/>
                    <w:jc w:val="center"/>
                    <w:rPr>
                      <w:rFonts w:cs="Times New Roman"/>
                      <w:color w:val="auto"/>
                      <w:sz w:val="21"/>
                      <w:szCs w:val="21"/>
                    </w:rPr>
                  </w:pPr>
                  <w:r>
                    <w:rPr>
                      <w:rFonts w:cs="Times New Roman"/>
                      <w:color w:val="auto"/>
                      <w:sz w:val="21"/>
                      <w:szCs w:val="21"/>
                    </w:rPr>
                    <w:t>4.7</w:t>
                  </w:r>
                </w:p>
              </w:tc>
              <w:tc>
                <w:tcPr>
                  <w:tcW w:w="1547" w:type="pct"/>
                  <w:tcBorders>
                    <w:tl2br w:val="nil"/>
                    <w:tr2bl w:val="nil"/>
                  </w:tcBorders>
                  <w:vAlign w:val="center"/>
                </w:tcPr>
                <w:p w14:paraId="1CE9C8B7">
                  <w:pPr>
                    <w:widowControl/>
                    <w:tabs>
                      <w:tab w:val="left" w:pos="600"/>
                    </w:tabs>
                    <w:spacing w:line="240" w:lineRule="exact"/>
                    <w:jc w:val="center"/>
                    <w:textAlignment w:val="center"/>
                    <w:rPr>
                      <w:color w:val="auto"/>
                      <w:kern w:val="0"/>
                      <w:szCs w:val="21"/>
                      <w:lang w:bidi="ar"/>
                    </w:rPr>
                  </w:pPr>
                  <w:r>
                    <w:rPr>
                      <w:color w:val="auto"/>
                      <w:kern w:val="0"/>
                      <w:szCs w:val="21"/>
                      <w:lang w:bidi="ar"/>
                    </w:rPr>
                    <w:t>水泵电力配电分箱</w:t>
                  </w:r>
                </w:p>
              </w:tc>
              <w:tc>
                <w:tcPr>
                  <w:tcW w:w="2013" w:type="pct"/>
                  <w:tcBorders>
                    <w:tl2br w:val="nil"/>
                    <w:tr2bl w:val="nil"/>
                  </w:tcBorders>
                  <w:vAlign w:val="center"/>
                </w:tcPr>
                <w:p w14:paraId="4FC5D6F1">
                  <w:pPr>
                    <w:widowControl/>
                    <w:tabs>
                      <w:tab w:val="left" w:pos="600"/>
                    </w:tabs>
                    <w:spacing w:line="240" w:lineRule="exact"/>
                    <w:jc w:val="center"/>
                    <w:textAlignment w:val="center"/>
                    <w:rPr>
                      <w:color w:val="auto"/>
                      <w:kern w:val="0"/>
                      <w:szCs w:val="21"/>
                      <w:lang w:bidi="ar"/>
                    </w:rPr>
                  </w:pPr>
                  <w:r>
                    <w:rPr>
                      <w:color w:val="auto"/>
                      <w:kern w:val="0"/>
                      <w:szCs w:val="21"/>
                      <w:lang w:bidi="ar"/>
                    </w:rPr>
                    <w:t>45KW/30KWW</w:t>
                  </w:r>
                </w:p>
              </w:tc>
              <w:tc>
                <w:tcPr>
                  <w:tcW w:w="825" w:type="pct"/>
                  <w:tcBorders>
                    <w:tl2br w:val="nil"/>
                    <w:tr2bl w:val="nil"/>
                  </w:tcBorders>
                  <w:vAlign w:val="center"/>
                </w:tcPr>
                <w:p w14:paraId="73D3B9CF">
                  <w:pPr>
                    <w:widowControl/>
                    <w:tabs>
                      <w:tab w:val="left" w:pos="600"/>
                    </w:tabs>
                    <w:spacing w:line="240" w:lineRule="exact"/>
                    <w:jc w:val="center"/>
                    <w:textAlignment w:val="center"/>
                    <w:rPr>
                      <w:color w:val="auto"/>
                      <w:kern w:val="0"/>
                      <w:szCs w:val="21"/>
                      <w:lang w:bidi="ar"/>
                    </w:rPr>
                  </w:pPr>
                  <w:r>
                    <w:rPr>
                      <w:color w:val="auto"/>
                      <w:kern w:val="0"/>
                      <w:szCs w:val="21"/>
                      <w:lang w:bidi="ar"/>
                    </w:rPr>
                    <w:t>2台</w:t>
                  </w:r>
                </w:p>
              </w:tc>
            </w:tr>
            <w:tr w14:paraId="5040F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47CF3403">
                  <w:pPr>
                    <w:pStyle w:val="4"/>
                    <w:numPr>
                      <w:ilvl w:val="2"/>
                      <w:numId w:val="0"/>
                    </w:numPr>
                    <w:spacing w:line="240" w:lineRule="auto"/>
                    <w:jc w:val="center"/>
                    <w:rPr>
                      <w:rFonts w:cs="Times New Roman"/>
                      <w:color w:val="auto"/>
                      <w:sz w:val="21"/>
                      <w:szCs w:val="21"/>
                    </w:rPr>
                  </w:pPr>
                  <w:r>
                    <w:rPr>
                      <w:rFonts w:cs="Times New Roman"/>
                      <w:color w:val="auto"/>
                      <w:sz w:val="21"/>
                      <w:szCs w:val="21"/>
                    </w:rPr>
                    <w:t>4.8</w:t>
                  </w:r>
                </w:p>
              </w:tc>
              <w:tc>
                <w:tcPr>
                  <w:tcW w:w="1547" w:type="pct"/>
                  <w:tcBorders>
                    <w:tl2br w:val="nil"/>
                    <w:tr2bl w:val="nil"/>
                  </w:tcBorders>
                  <w:vAlign w:val="center"/>
                </w:tcPr>
                <w:p w14:paraId="730B4262">
                  <w:pPr>
                    <w:widowControl/>
                    <w:tabs>
                      <w:tab w:val="left" w:pos="600"/>
                    </w:tabs>
                    <w:spacing w:line="240" w:lineRule="exact"/>
                    <w:jc w:val="center"/>
                    <w:textAlignment w:val="center"/>
                    <w:rPr>
                      <w:bCs/>
                      <w:color w:val="auto"/>
                      <w:szCs w:val="21"/>
                    </w:rPr>
                  </w:pPr>
                  <w:r>
                    <w:rPr>
                      <w:color w:val="auto"/>
                      <w:kern w:val="0"/>
                      <w:szCs w:val="21"/>
                      <w:lang w:bidi="ar"/>
                    </w:rPr>
                    <w:t>电缆线</w:t>
                  </w:r>
                </w:p>
              </w:tc>
              <w:tc>
                <w:tcPr>
                  <w:tcW w:w="2013" w:type="pct"/>
                  <w:tcBorders>
                    <w:tl2br w:val="nil"/>
                    <w:tr2bl w:val="nil"/>
                  </w:tcBorders>
                  <w:vAlign w:val="center"/>
                </w:tcPr>
                <w:p w14:paraId="11FEAE01">
                  <w:pPr>
                    <w:widowControl/>
                    <w:tabs>
                      <w:tab w:val="left" w:pos="600"/>
                    </w:tabs>
                    <w:spacing w:line="240" w:lineRule="exact"/>
                    <w:jc w:val="center"/>
                    <w:textAlignment w:val="center"/>
                    <w:rPr>
                      <w:bCs/>
                      <w:color w:val="auto"/>
                      <w:szCs w:val="21"/>
                    </w:rPr>
                  </w:pPr>
                  <w:r>
                    <w:rPr>
                      <w:color w:val="auto"/>
                      <w:kern w:val="0"/>
                      <w:szCs w:val="21"/>
                      <w:lang w:bidi="ar"/>
                    </w:rPr>
                    <w:t>YJV22-0.6/1kV</w:t>
                  </w:r>
                </w:p>
              </w:tc>
              <w:tc>
                <w:tcPr>
                  <w:tcW w:w="825" w:type="pct"/>
                  <w:tcBorders>
                    <w:tl2br w:val="nil"/>
                    <w:tr2bl w:val="nil"/>
                  </w:tcBorders>
                  <w:vAlign w:val="center"/>
                </w:tcPr>
                <w:p w14:paraId="72660E56">
                  <w:pPr>
                    <w:widowControl/>
                    <w:tabs>
                      <w:tab w:val="left" w:pos="600"/>
                    </w:tabs>
                    <w:spacing w:line="240" w:lineRule="exact"/>
                    <w:jc w:val="center"/>
                    <w:textAlignment w:val="center"/>
                    <w:rPr>
                      <w:bCs/>
                      <w:color w:val="auto"/>
                      <w:szCs w:val="21"/>
                    </w:rPr>
                  </w:pPr>
                  <w:r>
                    <w:rPr>
                      <w:color w:val="auto"/>
                      <w:kern w:val="0"/>
                      <w:szCs w:val="21"/>
                      <w:lang w:bidi="ar"/>
                    </w:rPr>
                    <w:t>2400</w:t>
                  </w:r>
                  <w:r>
                    <w:rPr>
                      <w:rFonts w:hint="eastAsia"/>
                      <w:color w:val="auto"/>
                      <w:kern w:val="0"/>
                      <w:szCs w:val="21"/>
                      <w:lang w:bidi="ar"/>
                    </w:rPr>
                    <w:t>m</w:t>
                  </w:r>
                </w:p>
              </w:tc>
            </w:tr>
            <w:tr w14:paraId="7C62B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8917204">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5</w:t>
                  </w:r>
                </w:p>
              </w:tc>
              <w:tc>
                <w:tcPr>
                  <w:tcW w:w="4386" w:type="pct"/>
                  <w:gridSpan w:val="3"/>
                  <w:tcBorders>
                    <w:tl2br w:val="nil"/>
                    <w:tr2bl w:val="nil"/>
                  </w:tcBorders>
                  <w:vAlign w:val="center"/>
                </w:tcPr>
                <w:p w14:paraId="2ECFFE7D">
                  <w:pPr>
                    <w:jc w:val="center"/>
                    <w:rPr>
                      <w:b/>
                      <w:color w:val="auto"/>
                      <w:szCs w:val="21"/>
                    </w:rPr>
                  </w:pPr>
                  <w:r>
                    <w:rPr>
                      <w:b/>
                      <w:color w:val="auto"/>
                      <w:kern w:val="0"/>
                      <w:szCs w:val="21"/>
                      <w:lang w:bidi="ar"/>
                    </w:rPr>
                    <w:t>尾水系统</w:t>
                  </w:r>
                </w:p>
              </w:tc>
            </w:tr>
            <w:tr w14:paraId="49128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337E952">
                  <w:pPr>
                    <w:pStyle w:val="4"/>
                    <w:numPr>
                      <w:ilvl w:val="2"/>
                      <w:numId w:val="0"/>
                    </w:numPr>
                    <w:spacing w:line="240" w:lineRule="auto"/>
                    <w:jc w:val="center"/>
                    <w:rPr>
                      <w:rFonts w:cs="Times New Roman"/>
                      <w:color w:val="auto"/>
                      <w:sz w:val="21"/>
                      <w:szCs w:val="21"/>
                    </w:rPr>
                  </w:pPr>
                  <w:r>
                    <w:rPr>
                      <w:rFonts w:cs="Times New Roman"/>
                      <w:color w:val="auto"/>
                      <w:sz w:val="21"/>
                      <w:szCs w:val="21"/>
                    </w:rPr>
                    <w:t>5.1</w:t>
                  </w:r>
                </w:p>
              </w:tc>
              <w:tc>
                <w:tcPr>
                  <w:tcW w:w="1547" w:type="pct"/>
                  <w:tcBorders>
                    <w:tl2br w:val="nil"/>
                    <w:tr2bl w:val="nil"/>
                  </w:tcBorders>
                  <w:vAlign w:val="center"/>
                </w:tcPr>
                <w:p w14:paraId="42FEEFE4">
                  <w:pPr>
                    <w:widowControl/>
                    <w:tabs>
                      <w:tab w:val="left" w:pos="600"/>
                    </w:tabs>
                    <w:spacing w:line="240" w:lineRule="exact"/>
                    <w:jc w:val="center"/>
                    <w:textAlignment w:val="center"/>
                    <w:rPr>
                      <w:bCs/>
                      <w:color w:val="auto"/>
                      <w:szCs w:val="21"/>
                    </w:rPr>
                  </w:pPr>
                  <w:r>
                    <w:rPr>
                      <w:color w:val="auto"/>
                      <w:kern w:val="0"/>
                      <w:szCs w:val="21"/>
                      <w:lang w:bidi="ar"/>
                    </w:rPr>
                    <w:t>尾水塔</w:t>
                  </w:r>
                </w:p>
              </w:tc>
              <w:tc>
                <w:tcPr>
                  <w:tcW w:w="2013" w:type="pct"/>
                  <w:tcBorders>
                    <w:tl2br w:val="nil"/>
                    <w:tr2bl w:val="nil"/>
                  </w:tcBorders>
                  <w:vAlign w:val="center"/>
                </w:tcPr>
                <w:p w14:paraId="4945D678">
                  <w:pPr>
                    <w:widowControl/>
                    <w:tabs>
                      <w:tab w:val="left" w:pos="600"/>
                    </w:tabs>
                    <w:spacing w:line="240" w:lineRule="exact"/>
                    <w:jc w:val="center"/>
                    <w:textAlignment w:val="center"/>
                    <w:rPr>
                      <w:bCs/>
                      <w:color w:val="auto"/>
                      <w:szCs w:val="21"/>
                    </w:rPr>
                  </w:pPr>
                  <w:r>
                    <w:rPr>
                      <w:color w:val="auto"/>
                      <w:kern w:val="0"/>
                      <w:szCs w:val="21"/>
                      <w:lang w:bidi="ar"/>
                    </w:rPr>
                    <w:t>沉淀塔+净化桶+支架+底座</w:t>
                  </w:r>
                </w:p>
              </w:tc>
              <w:tc>
                <w:tcPr>
                  <w:tcW w:w="825" w:type="pct"/>
                  <w:tcBorders>
                    <w:tl2br w:val="nil"/>
                    <w:tr2bl w:val="nil"/>
                  </w:tcBorders>
                  <w:vAlign w:val="center"/>
                </w:tcPr>
                <w:p w14:paraId="17418EDD">
                  <w:pPr>
                    <w:pStyle w:val="64"/>
                    <w:rPr>
                      <w:rFonts w:ascii="Times New Roman" w:hAnsi="Times New Roman"/>
                      <w:bCs/>
                      <w:color w:val="auto"/>
                    </w:rPr>
                  </w:pPr>
                  <w:r>
                    <w:rPr>
                      <w:rFonts w:ascii="Times New Roman" w:hAnsi="Times New Roman"/>
                      <w:bCs/>
                      <w:color w:val="auto"/>
                    </w:rPr>
                    <w:t>20组</w:t>
                  </w:r>
                </w:p>
              </w:tc>
            </w:tr>
            <w:tr w14:paraId="71C39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63406B2">
                  <w:pPr>
                    <w:pStyle w:val="4"/>
                    <w:numPr>
                      <w:ilvl w:val="2"/>
                      <w:numId w:val="0"/>
                    </w:numPr>
                    <w:spacing w:line="240" w:lineRule="auto"/>
                    <w:jc w:val="center"/>
                    <w:rPr>
                      <w:rFonts w:cs="Times New Roman"/>
                      <w:color w:val="auto"/>
                      <w:sz w:val="21"/>
                      <w:szCs w:val="21"/>
                    </w:rPr>
                  </w:pPr>
                  <w:r>
                    <w:rPr>
                      <w:rFonts w:cs="Times New Roman"/>
                      <w:color w:val="auto"/>
                      <w:sz w:val="21"/>
                      <w:szCs w:val="21"/>
                    </w:rPr>
                    <w:t>5.2</w:t>
                  </w:r>
                </w:p>
              </w:tc>
              <w:tc>
                <w:tcPr>
                  <w:tcW w:w="1547" w:type="pct"/>
                  <w:tcBorders>
                    <w:tl2br w:val="nil"/>
                    <w:tr2bl w:val="nil"/>
                  </w:tcBorders>
                  <w:vAlign w:val="center"/>
                </w:tcPr>
                <w:p w14:paraId="74F1B865">
                  <w:pPr>
                    <w:widowControl/>
                    <w:tabs>
                      <w:tab w:val="left" w:pos="600"/>
                    </w:tabs>
                    <w:spacing w:line="240" w:lineRule="exact"/>
                    <w:jc w:val="center"/>
                    <w:textAlignment w:val="center"/>
                    <w:rPr>
                      <w:bCs/>
                      <w:color w:val="auto"/>
                      <w:szCs w:val="21"/>
                    </w:rPr>
                  </w:pPr>
                  <w:r>
                    <w:rPr>
                      <w:color w:val="auto"/>
                      <w:kern w:val="0"/>
                      <w:szCs w:val="21"/>
                      <w:lang w:bidi="ar"/>
                    </w:rPr>
                    <w:t>吸污泵</w:t>
                  </w:r>
                </w:p>
              </w:tc>
              <w:tc>
                <w:tcPr>
                  <w:tcW w:w="2013" w:type="pct"/>
                  <w:tcBorders>
                    <w:tl2br w:val="nil"/>
                    <w:tr2bl w:val="nil"/>
                  </w:tcBorders>
                  <w:vAlign w:val="center"/>
                </w:tcPr>
                <w:p w14:paraId="783C03CF">
                  <w:pPr>
                    <w:widowControl/>
                    <w:tabs>
                      <w:tab w:val="left" w:pos="600"/>
                    </w:tabs>
                    <w:spacing w:line="240" w:lineRule="exact"/>
                    <w:jc w:val="center"/>
                    <w:textAlignment w:val="center"/>
                    <w:rPr>
                      <w:bCs/>
                      <w:color w:val="auto"/>
                      <w:szCs w:val="21"/>
                    </w:rPr>
                  </w:pPr>
                  <w:r>
                    <w:rPr>
                      <w:color w:val="auto"/>
                      <w:kern w:val="0"/>
                      <w:szCs w:val="21"/>
                      <w:lang w:bidi="ar"/>
                    </w:rPr>
                    <w:t>7.5KW</w:t>
                  </w:r>
                </w:p>
              </w:tc>
              <w:tc>
                <w:tcPr>
                  <w:tcW w:w="825" w:type="pct"/>
                  <w:tcBorders>
                    <w:tl2br w:val="nil"/>
                    <w:tr2bl w:val="nil"/>
                  </w:tcBorders>
                  <w:vAlign w:val="center"/>
                </w:tcPr>
                <w:p w14:paraId="316B05A0">
                  <w:pPr>
                    <w:widowControl/>
                    <w:tabs>
                      <w:tab w:val="left" w:pos="600"/>
                    </w:tabs>
                    <w:spacing w:line="240" w:lineRule="exact"/>
                    <w:jc w:val="center"/>
                    <w:textAlignment w:val="center"/>
                    <w:rPr>
                      <w:bCs/>
                      <w:color w:val="auto"/>
                      <w:szCs w:val="21"/>
                    </w:rPr>
                  </w:pPr>
                  <w:r>
                    <w:rPr>
                      <w:color w:val="auto"/>
                      <w:kern w:val="0"/>
                      <w:szCs w:val="21"/>
                      <w:lang w:bidi="ar"/>
                    </w:rPr>
                    <w:t>10台</w:t>
                  </w:r>
                </w:p>
              </w:tc>
            </w:tr>
            <w:tr w14:paraId="70809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72405DA">
                  <w:pPr>
                    <w:pStyle w:val="4"/>
                    <w:numPr>
                      <w:ilvl w:val="2"/>
                      <w:numId w:val="0"/>
                    </w:numPr>
                    <w:spacing w:line="240" w:lineRule="auto"/>
                    <w:jc w:val="center"/>
                    <w:rPr>
                      <w:rFonts w:cs="Times New Roman"/>
                      <w:color w:val="auto"/>
                      <w:sz w:val="21"/>
                      <w:szCs w:val="21"/>
                    </w:rPr>
                  </w:pPr>
                  <w:r>
                    <w:rPr>
                      <w:rFonts w:cs="Times New Roman"/>
                      <w:color w:val="auto"/>
                      <w:sz w:val="21"/>
                      <w:szCs w:val="21"/>
                    </w:rPr>
                    <w:t>5.3</w:t>
                  </w:r>
                </w:p>
              </w:tc>
              <w:tc>
                <w:tcPr>
                  <w:tcW w:w="1547" w:type="pct"/>
                  <w:tcBorders>
                    <w:tl2br w:val="nil"/>
                    <w:tr2bl w:val="nil"/>
                  </w:tcBorders>
                  <w:vAlign w:val="center"/>
                </w:tcPr>
                <w:p w14:paraId="3C016E03">
                  <w:pPr>
                    <w:widowControl/>
                    <w:tabs>
                      <w:tab w:val="left" w:pos="600"/>
                    </w:tabs>
                    <w:spacing w:line="240" w:lineRule="exact"/>
                    <w:jc w:val="center"/>
                    <w:textAlignment w:val="center"/>
                    <w:rPr>
                      <w:bCs/>
                      <w:color w:val="auto"/>
                      <w:szCs w:val="21"/>
                    </w:rPr>
                  </w:pPr>
                  <w:r>
                    <w:rPr>
                      <w:color w:val="auto"/>
                      <w:kern w:val="0"/>
                      <w:szCs w:val="21"/>
                      <w:lang w:bidi="ar"/>
                    </w:rPr>
                    <w:t>电动蝶阀</w:t>
                  </w:r>
                </w:p>
              </w:tc>
              <w:tc>
                <w:tcPr>
                  <w:tcW w:w="2013" w:type="pct"/>
                  <w:tcBorders>
                    <w:tl2br w:val="nil"/>
                    <w:tr2bl w:val="nil"/>
                  </w:tcBorders>
                  <w:vAlign w:val="center"/>
                </w:tcPr>
                <w:p w14:paraId="1DE63FA2">
                  <w:pPr>
                    <w:widowControl/>
                    <w:tabs>
                      <w:tab w:val="left" w:pos="600"/>
                    </w:tabs>
                    <w:spacing w:line="240" w:lineRule="exact"/>
                    <w:jc w:val="center"/>
                    <w:rPr>
                      <w:bCs/>
                      <w:color w:val="auto"/>
                      <w:szCs w:val="21"/>
                    </w:rPr>
                  </w:pPr>
                  <w:r>
                    <w:rPr>
                      <w:bCs/>
                      <w:color w:val="auto"/>
                      <w:szCs w:val="21"/>
                    </w:rPr>
                    <w:t>/</w:t>
                  </w:r>
                </w:p>
              </w:tc>
              <w:tc>
                <w:tcPr>
                  <w:tcW w:w="825" w:type="pct"/>
                  <w:tcBorders>
                    <w:tl2br w:val="nil"/>
                    <w:tr2bl w:val="nil"/>
                  </w:tcBorders>
                  <w:vAlign w:val="center"/>
                </w:tcPr>
                <w:p w14:paraId="2523FBD3">
                  <w:pPr>
                    <w:widowControl/>
                    <w:tabs>
                      <w:tab w:val="left" w:pos="600"/>
                    </w:tabs>
                    <w:spacing w:line="240" w:lineRule="exact"/>
                    <w:jc w:val="center"/>
                    <w:textAlignment w:val="center"/>
                    <w:rPr>
                      <w:bCs/>
                      <w:color w:val="auto"/>
                      <w:szCs w:val="21"/>
                    </w:rPr>
                  </w:pPr>
                  <w:r>
                    <w:rPr>
                      <w:color w:val="auto"/>
                      <w:kern w:val="0"/>
                      <w:szCs w:val="21"/>
                      <w:lang w:bidi="ar"/>
                    </w:rPr>
                    <w:t>50个</w:t>
                  </w:r>
                </w:p>
              </w:tc>
            </w:tr>
            <w:tr w14:paraId="0AC96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1102B154">
                  <w:pPr>
                    <w:pStyle w:val="4"/>
                    <w:numPr>
                      <w:ilvl w:val="2"/>
                      <w:numId w:val="0"/>
                    </w:numPr>
                    <w:spacing w:line="240" w:lineRule="auto"/>
                    <w:jc w:val="center"/>
                    <w:rPr>
                      <w:rFonts w:cs="Times New Roman"/>
                      <w:color w:val="auto"/>
                      <w:sz w:val="21"/>
                      <w:szCs w:val="21"/>
                    </w:rPr>
                  </w:pPr>
                  <w:r>
                    <w:rPr>
                      <w:rFonts w:cs="Times New Roman"/>
                      <w:color w:val="auto"/>
                      <w:sz w:val="21"/>
                      <w:szCs w:val="21"/>
                    </w:rPr>
                    <w:t>5.4</w:t>
                  </w:r>
                </w:p>
              </w:tc>
              <w:tc>
                <w:tcPr>
                  <w:tcW w:w="1547" w:type="pct"/>
                  <w:tcBorders>
                    <w:tl2br w:val="nil"/>
                    <w:tr2bl w:val="nil"/>
                  </w:tcBorders>
                  <w:vAlign w:val="center"/>
                </w:tcPr>
                <w:p w14:paraId="2F59B0C5">
                  <w:pPr>
                    <w:widowControl/>
                    <w:tabs>
                      <w:tab w:val="left" w:pos="600"/>
                    </w:tabs>
                    <w:spacing w:line="240" w:lineRule="exact"/>
                    <w:jc w:val="center"/>
                    <w:textAlignment w:val="center"/>
                    <w:rPr>
                      <w:bCs/>
                      <w:color w:val="auto"/>
                      <w:szCs w:val="21"/>
                    </w:rPr>
                  </w:pPr>
                  <w:r>
                    <w:rPr>
                      <w:color w:val="auto"/>
                      <w:kern w:val="0"/>
                      <w:szCs w:val="21"/>
                      <w:lang w:bidi="ar"/>
                    </w:rPr>
                    <w:t>止回阀</w:t>
                  </w:r>
                </w:p>
              </w:tc>
              <w:tc>
                <w:tcPr>
                  <w:tcW w:w="2013" w:type="pct"/>
                  <w:tcBorders>
                    <w:tl2br w:val="nil"/>
                    <w:tr2bl w:val="nil"/>
                  </w:tcBorders>
                  <w:vAlign w:val="center"/>
                </w:tcPr>
                <w:p w14:paraId="1EDF3376">
                  <w:pPr>
                    <w:widowControl/>
                    <w:tabs>
                      <w:tab w:val="left" w:pos="600"/>
                    </w:tabs>
                    <w:spacing w:line="240" w:lineRule="exact"/>
                    <w:jc w:val="center"/>
                    <w:textAlignment w:val="center"/>
                    <w:rPr>
                      <w:bCs/>
                      <w:color w:val="auto"/>
                      <w:szCs w:val="21"/>
                    </w:rPr>
                  </w:pPr>
                  <w:r>
                    <w:rPr>
                      <w:color w:val="auto"/>
                      <w:kern w:val="0"/>
                      <w:szCs w:val="21"/>
                      <w:lang w:bidi="ar"/>
                    </w:rPr>
                    <w:t>DN110</w:t>
                  </w:r>
                </w:p>
              </w:tc>
              <w:tc>
                <w:tcPr>
                  <w:tcW w:w="825" w:type="pct"/>
                  <w:tcBorders>
                    <w:tl2br w:val="nil"/>
                    <w:tr2bl w:val="nil"/>
                  </w:tcBorders>
                  <w:vAlign w:val="center"/>
                </w:tcPr>
                <w:p w14:paraId="73C5EAB0">
                  <w:pPr>
                    <w:widowControl/>
                    <w:tabs>
                      <w:tab w:val="left" w:pos="600"/>
                    </w:tabs>
                    <w:spacing w:line="240" w:lineRule="exact"/>
                    <w:jc w:val="center"/>
                    <w:textAlignment w:val="center"/>
                    <w:rPr>
                      <w:bCs/>
                      <w:color w:val="auto"/>
                      <w:szCs w:val="21"/>
                    </w:rPr>
                  </w:pPr>
                  <w:r>
                    <w:rPr>
                      <w:color w:val="auto"/>
                      <w:kern w:val="0"/>
                      <w:szCs w:val="21"/>
                      <w:lang w:bidi="ar"/>
                    </w:rPr>
                    <w:t>10个</w:t>
                  </w:r>
                </w:p>
              </w:tc>
            </w:tr>
            <w:tr w14:paraId="2678A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B1A2CFF">
                  <w:pPr>
                    <w:pStyle w:val="4"/>
                    <w:numPr>
                      <w:ilvl w:val="2"/>
                      <w:numId w:val="0"/>
                    </w:numPr>
                    <w:spacing w:line="240" w:lineRule="auto"/>
                    <w:jc w:val="center"/>
                    <w:rPr>
                      <w:rFonts w:cs="Times New Roman"/>
                      <w:color w:val="auto"/>
                      <w:sz w:val="21"/>
                      <w:szCs w:val="21"/>
                    </w:rPr>
                  </w:pPr>
                  <w:r>
                    <w:rPr>
                      <w:rFonts w:cs="Times New Roman"/>
                      <w:color w:val="auto"/>
                      <w:sz w:val="21"/>
                      <w:szCs w:val="21"/>
                    </w:rPr>
                    <w:t>5.5</w:t>
                  </w:r>
                </w:p>
              </w:tc>
              <w:tc>
                <w:tcPr>
                  <w:tcW w:w="1547" w:type="pct"/>
                  <w:tcBorders>
                    <w:tl2br w:val="nil"/>
                    <w:tr2bl w:val="nil"/>
                  </w:tcBorders>
                  <w:vAlign w:val="center"/>
                </w:tcPr>
                <w:p w14:paraId="663D2DF7">
                  <w:pPr>
                    <w:widowControl/>
                    <w:tabs>
                      <w:tab w:val="left" w:pos="600"/>
                    </w:tabs>
                    <w:spacing w:line="240" w:lineRule="exact"/>
                    <w:jc w:val="center"/>
                    <w:textAlignment w:val="center"/>
                    <w:rPr>
                      <w:bCs/>
                      <w:color w:val="auto"/>
                      <w:szCs w:val="21"/>
                    </w:rPr>
                  </w:pPr>
                  <w:r>
                    <w:rPr>
                      <w:color w:val="auto"/>
                      <w:kern w:val="0"/>
                      <w:szCs w:val="21"/>
                      <w:lang w:bidi="ar"/>
                    </w:rPr>
                    <w:t>橡胶软接头</w:t>
                  </w:r>
                </w:p>
              </w:tc>
              <w:tc>
                <w:tcPr>
                  <w:tcW w:w="2013" w:type="pct"/>
                  <w:tcBorders>
                    <w:tl2br w:val="nil"/>
                    <w:tr2bl w:val="nil"/>
                  </w:tcBorders>
                  <w:vAlign w:val="center"/>
                </w:tcPr>
                <w:p w14:paraId="54195C55">
                  <w:pPr>
                    <w:widowControl/>
                    <w:tabs>
                      <w:tab w:val="left" w:pos="600"/>
                    </w:tabs>
                    <w:spacing w:line="240" w:lineRule="exact"/>
                    <w:jc w:val="center"/>
                    <w:textAlignment w:val="center"/>
                    <w:rPr>
                      <w:bCs/>
                      <w:color w:val="auto"/>
                      <w:szCs w:val="21"/>
                    </w:rPr>
                  </w:pPr>
                  <w:r>
                    <w:rPr>
                      <w:color w:val="auto"/>
                      <w:kern w:val="0"/>
                      <w:szCs w:val="21"/>
                      <w:lang w:bidi="ar"/>
                    </w:rPr>
                    <w:t>DN110</w:t>
                  </w:r>
                </w:p>
              </w:tc>
              <w:tc>
                <w:tcPr>
                  <w:tcW w:w="825" w:type="pct"/>
                  <w:tcBorders>
                    <w:tl2br w:val="nil"/>
                    <w:tr2bl w:val="nil"/>
                  </w:tcBorders>
                  <w:vAlign w:val="center"/>
                </w:tcPr>
                <w:p w14:paraId="6BF80F87">
                  <w:pPr>
                    <w:widowControl/>
                    <w:tabs>
                      <w:tab w:val="left" w:pos="600"/>
                    </w:tabs>
                    <w:spacing w:line="240" w:lineRule="exact"/>
                    <w:jc w:val="center"/>
                    <w:textAlignment w:val="center"/>
                    <w:rPr>
                      <w:bCs/>
                      <w:color w:val="auto"/>
                      <w:szCs w:val="21"/>
                    </w:rPr>
                  </w:pPr>
                  <w:r>
                    <w:rPr>
                      <w:color w:val="auto"/>
                      <w:kern w:val="0"/>
                      <w:szCs w:val="21"/>
                      <w:lang w:bidi="ar"/>
                    </w:rPr>
                    <w:t>10个</w:t>
                  </w:r>
                </w:p>
              </w:tc>
            </w:tr>
            <w:tr w14:paraId="0055F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DE142B8">
                  <w:pPr>
                    <w:pStyle w:val="4"/>
                    <w:numPr>
                      <w:ilvl w:val="2"/>
                      <w:numId w:val="0"/>
                    </w:numPr>
                    <w:spacing w:line="240" w:lineRule="auto"/>
                    <w:jc w:val="center"/>
                    <w:rPr>
                      <w:rFonts w:cs="Times New Roman"/>
                      <w:color w:val="auto"/>
                      <w:sz w:val="21"/>
                      <w:szCs w:val="21"/>
                    </w:rPr>
                  </w:pPr>
                  <w:r>
                    <w:rPr>
                      <w:rFonts w:cs="Times New Roman"/>
                      <w:color w:val="auto"/>
                      <w:sz w:val="21"/>
                      <w:szCs w:val="21"/>
                    </w:rPr>
                    <w:t>5.6</w:t>
                  </w:r>
                </w:p>
              </w:tc>
              <w:tc>
                <w:tcPr>
                  <w:tcW w:w="1547" w:type="pct"/>
                  <w:tcBorders>
                    <w:tl2br w:val="nil"/>
                    <w:tr2bl w:val="nil"/>
                  </w:tcBorders>
                  <w:vAlign w:val="center"/>
                </w:tcPr>
                <w:p w14:paraId="45C97BBD">
                  <w:pPr>
                    <w:widowControl/>
                    <w:tabs>
                      <w:tab w:val="left" w:pos="600"/>
                    </w:tabs>
                    <w:spacing w:line="240" w:lineRule="exact"/>
                    <w:jc w:val="center"/>
                    <w:textAlignment w:val="center"/>
                    <w:rPr>
                      <w:bCs/>
                      <w:color w:val="auto"/>
                      <w:szCs w:val="21"/>
                    </w:rPr>
                  </w:pPr>
                  <w:r>
                    <w:rPr>
                      <w:color w:val="auto"/>
                      <w:kern w:val="0"/>
                      <w:szCs w:val="21"/>
                      <w:lang w:bidi="ar"/>
                    </w:rPr>
                    <w:t>压力表</w:t>
                  </w:r>
                </w:p>
              </w:tc>
              <w:tc>
                <w:tcPr>
                  <w:tcW w:w="2013" w:type="pct"/>
                  <w:tcBorders>
                    <w:tl2br w:val="nil"/>
                    <w:tr2bl w:val="nil"/>
                  </w:tcBorders>
                  <w:vAlign w:val="center"/>
                </w:tcPr>
                <w:p w14:paraId="5D9CD4E7">
                  <w:pPr>
                    <w:widowControl/>
                    <w:spacing w:line="240" w:lineRule="exact"/>
                    <w:jc w:val="center"/>
                    <w:textAlignment w:val="center"/>
                    <w:rPr>
                      <w:bCs/>
                      <w:color w:val="auto"/>
                      <w:szCs w:val="21"/>
                    </w:rPr>
                  </w:pPr>
                  <w:r>
                    <w:rPr>
                      <w:bCs/>
                      <w:color w:val="auto"/>
                      <w:szCs w:val="21"/>
                    </w:rPr>
                    <w:t>/</w:t>
                  </w:r>
                </w:p>
              </w:tc>
              <w:tc>
                <w:tcPr>
                  <w:tcW w:w="825" w:type="pct"/>
                  <w:tcBorders>
                    <w:tl2br w:val="nil"/>
                    <w:tr2bl w:val="nil"/>
                  </w:tcBorders>
                  <w:vAlign w:val="center"/>
                </w:tcPr>
                <w:p w14:paraId="64A09A8D">
                  <w:pPr>
                    <w:widowControl/>
                    <w:tabs>
                      <w:tab w:val="left" w:pos="600"/>
                    </w:tabs>
                    <w:spacing w:line="240" w:lineRule="exact"/>
                    <w:jc w:val="center"/>
                    <w:textAlignment w:val="center"/>
                    <w:rPr>
                      <w:bCs/>
                      <w:color w:val="auto"/>
                      <w:szCs w:val="21"/>
                    </w:rPr>
                  </w:pPr>
                  <w:r>
                    <w:rPr>
                      <w:color w:val="auto"/>
                      <w:kern w:val="0"/>
                      <w:szCs w:val="21"/>
                      <w:lang w:bidi="ar"/>
                    </w:rPr>
                    <w:t>10个</w:t>
                  </w:r>
                </w:p>
              </w:tc>
            </w:tr>
            <w:tr w14:paraId="053D1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DFDF341">
                  <w:pPr>
                    <w:pStyle w:val="4"/>
                    <w:numPr>
                      <w:ilvl w:val="2"/>
                      <w:numId w:val="0"/>
                    </w:numPr>
                    <w:spacing w:line="240" w:lineRule="auto"/>
                    <w:jc w:val="center"/>
                    <w:rPr>
                      <w:rFonts w:cs="Times New Roman"/>
                      <w:color w:val="auto"/>
                      <w:sz w:val="21"/>
                      <w:szCs w:val="21"/>
                    </w:rPr>
                  </w:pPr>
                  <w:r>
                    <w:rPr>
                      <w:rFonts w:cs="Times New Roman"/>
                      <w:color w:val="auto"/>
                      <w:sz w:val="21"/>
                      <w:szCs w:val="21"/>
                    </w:rPr>
                    <w:t>5.7</w:t>
                  </w:r>
                </w:p>
              </w:tc>
              <w:tc>
                <w:tcPr>
                  <w:tcW w:w="1547" w:type="pct"/>
                  <w:tcBorders>
                    <w:tl2br w:val="nil"/>
                    <w:tr2bl w:val="nil"/>
                  </w:tcBorders>
                  <w:vAlign w:val="center"/>
                </w:tcPr>
                <w:p w14:paraId="1269F9BB">
                  <w:pPr>
                    <w:widowControl/>
                    <w:tabs>
                      <w:tab w:val="left" w:pos="600"/>
                    </w:tabs>
                    <w:spacing w:line="240" w:lineRule="exact"/>
                    <w:jc w:val="center"/>
                    <w:textAlignment w:val="center"/>
                    <w:rPr>
                      <w:bCs/>
                      <w:color w:val="auto"/>
                      <w:szCs w:val="21"/>
                    </w:rPr>
                  </w:pPr>
                  <w:r>
                    <w:rPr>
                      <w:color w:val="auto"/>
                      <w:kern w:val="0"/>
                      <w:szCs w:val="21"/>
                      <w:lang w:bidi="ar"/>
                    </w:rPr>
                    <w:t>PE弯头</w:t>
                  </w:r>
                </w:p>
              </w:tc>
              <w:tc>
                <w:tcPr>
                  <w:tcW w:w="2013" w:type="pct"/>
                  <w:tcBorders>
                    <w:tl2br w:val="nil"/>
                    <w:tr2bl w:val="nil"/>
                  </w:tcBorders>
                  <w:vAlign w:val="center"/>
                </w:tcPr>
                <w:p w14:paraId="069E3934">
                  <w:pPr>
                    <w:widowControl/>
                    <w:spacing w:line="240" w:lineRule="exact"/>
                    <w:jc w:val="center"/>
                    <w:textAlignment w:val="center"/>
                    <w:rPr>
                      <w:bCs/>
                      <w:color w:val="auto"/>
                      <w:szCs w:val="21"/>
                    </w:rPr>
                  </w:pPr>
                  <w:r>
                    <w:rPr>
                      <w:bCs/>
                      <w:color w:val="auto"/>
                      <w:szCs w:val="21"/>
                    </w:rPr>
                    <w:t>/</w:t>
                  </w:r>
                </w:p>
              </w:tc>
              <w:tc>
                <w:tcPr>
                  <w:tcW w:w="825" w:type="pct"/>
                  <w:tcBorders>
                    <w:tl2br w:val="nil"/>
                    <w:tr2bl w:val="nil"/>
                  </w:tcBorders>
                  <w:vAlign w:val="center"/>
                </w:tcPr>
                <w:p w14:paraId="7F053131">
                  <w:pPr>
                    <w:pStyle w:val="64"/>
                    <w:rPr>
                      <w:rFonts w:ascii="Times New Roman" w:hAnsi="Times New Roman"/>
                      <w:bCs/>
                      <w:color w:val="auto"/>
                    </w:rPr>
                  </w:pPr>
                  <w:r>
                    <w:rPr>
                      <w:rFonts w:ascii="Times New Roman" w:hAnsi="Times New Roman"/>
                      <w:bCs/>
                      <w:color w:val="auto"/>
                    </w:rPr>
                    <w:t>240个</w:t>
                  </w:r>
                </w:p>
              </w:tc>
            </w:tr>
            <w:tr w14:paraId="7A2E7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12FE48ED">
                  <w:pPr>
                    <w:pStyle w:val="4"/>
                    <w:numPr>
                      <w:ilvl w:val="2"/>
                      <w:numId w:val="0"/>
                    </w:numPr>
                    <w:spacing w:line="240" w:lineRule="auto"/>
                    <w:jc w:val="center"/>
                    <w:rPr>
                      <w:rFonts w:cs="Times New Roman"/>
                      <w:color w:val="auto"/>
                      <w:sz w:val="21"/>
                      <w:szCs w:val="21"/>
                    </w:rPr>
                  </w:pPr>
                  <w:r>
                    <w:rPr>
                      <w:rFonts w:cs="Times New Roman"/>
                      <w:color w:val="auto"/>
                      <w:sz w:val="21"/>
                      <w:szCs w:val="21"/>
                    </w:rPr>
                    <w:t>5.8</w:t>
                  </w:r>
                </w:p>
              </w:tc>
              <w:tc>
                <w:tcPr>
                  <w:tcW w:w="1547" w:type="pct"/>
                  <w:tcBorders>
                    <w:tl2br w:val="nil"/>
                    <w:tr2bl w:val="nil"/>
                  </w:tcBorders>
                  <w:vAlign w:val="center"/>
                </w:tcPr>
                <w:p w14:paraId="4040766D">
                  <w:pPr>
                    <w:widowControl/>
                    <w:tabs>
                      <w:tab w:val="left" w:pos="600"/>
                    </w:tabs>
                    <w:spacing w:line="240" w:lineRule="exact"/>
                    <w:jc w:val="center"/>
                    <w:textAlignment w:val="center"/>
                    <w:rPr>
                      <w:bCs/>
                      <w:color w:val="auto"/>
                      <w:szCs w:val="21"/>
                    </w:rPr>
                  </w:pPr>
                  <w:r>
                    <w:rPr>
                      <w:color w:val="auto"/>
                      <w:kern w:val="0"/>
                      <w:szCs w:val="21"/>
                      <w:lang w:bidi="ar"/>
                    </w:rPr>
                    <w:t>PE弯头</w:t>
                  </w:r>
                </w:p>
              </w:tc>
              <w:tc>
                <w:tcPr>
                  <w:tcW w:w="2013" w:type="pct"/>
                  <w:tcBorders>
                    <w:tl2br w:val="nil"/>
                    <w:tr2bl w:val="nil"/>
                  </w:tcBorders>
                  <w:vAlign w:val="center"/>
                </w:tcPr>
                <w:p w14:paraId="040C14A2">
                  <w:pPr>
                    <w:widowControl/>
                    <w:spacing w:line="240" w:lineRule="exact"/>
                    <w:jc w:val="center"/>
                    <w:textAlignment w:val="center"/>
                    <w:rPr>
                      <w:bCs/>
                      <w:color w:val="auto"/>
                      <w:szCs w:val="21"/>
                    </w:rPr>
                  </w:pPr>
                  <w:r>
                    <w:rPr>
                      <w:bCs/>
                      <w:color w:val="auto"/>
                      <w:szCs w:val="21"/>
                    </w:rPr>
                    <w:t>/</w:t>
                  </w:r>
                </w:p>
              </w:tc>
              <w:tc>
                <w:tcPr>
                  <w:tcW w:w="825" w:type="pct"/>
                  <w:tcBorders>
                    <w:tl2br w:val="nil"/>
                    <w:tr2bl w:val="nil"/>
                  </w:tcBorders>
                  <w:vAlign w:val="center"/>
                </w:tcPr>
                <w:p w14:paraId="5E8046F1">
                  <w:pPr>
                    <w:pStyle w:val="64"/>
                    <w:rPr>
                      <w:rFonts w:ascii="Times New Roman" w:hAnsi="Times New Roman"/>
                      <w:bCs/>
                      <w:color w:val="auto"/>
                    </w:rPr>
                  </w:pPr>
                  <w:r>
                    <w:rPr>
                      <w:rFonts w:ascii="Times New Roman" w:hAnsi="Times New Roman"/>
                      <w:bCs/>
                      <w:color w:val="auto"/>
                    </w:rPr>
                    <w:t>30个</w:t>
                  </w:r>
                </w:p>
              </w:tc>
            </w:tr>
            <w:tr w14:paraId="2EDBB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64D71240">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6</w:t>
                  </w:r>
                </w:p>
              </w:tc>
              <w:tc>
                <w:tcPr>
                  <w:tcW w:w="4386" w:type="pct"/>
                  <w:gridSpan w:val="3"/>
                  <w:tcBorders>
                    <w:tl2br w:val="nil"/>
                    <w:tr2bl w:val="nil"/>
                  </w:tcBorders>
                  <w:vAlign w:val="center"/>
                </w:tcPr>
                <w:p w14:paraId="29E41A90">
                  <w:pPr>
                    <w:jc w:val="center"/>
                    <w:rPr>
                      <w:b/>
                      <w:color w:val="auto"/>
                      <w:szCs w:val="21"/>
                    </w:rPr>
                  </w:pPr>
                  <w:r>
                    <w:rPr>
                      <w:b/>
                      <w:color w:val="auto"/>
                      <w:kern w:val="0"/>
                      <w:szCs w:val="21"/>
                      <w:lang w:bidi="ar"/>
                    </w:rPr>
                    <w:t>增氧系统</w:t>
                  </w:r>
                </w:p>
              </w:tc>
            </w:tr>
            <w:tr w14:paraId="34177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3EE36703">
                  <w:pPr>
                    <w:pStyle w:val="4"/>
                    <w:numPr>
                      <w:ilvl w:val="2"/>
                      <w:numId w:val="0"/>
                    </w:numPr>
                    <w:spacing w:line="240" w:lineRule="auto"/>
                    <w:jc w:val="center"/>
                    <w:rPr>
                      <w:rFonts w:cs="Times New Roman"/>
                      <w:color w:val="auto"/>
                      <w:sz w:val="21"/>
                      <w:szCs w:val="21"/>
                    </w:rPr>
                  </w:pPr>
                  <w:r>
                    <w:rPr>
                      <w:rFonts w:cs="Times New Roman"/>
                      <w:color w:val="auto"/>
                      <w:sz w:val="21"/>
                      <w:szCs w:val="21"/>
                    </w:rPr>
                    <w:t>6.1</w:t>
                  </w:r>
                </w:p>
              </w:tc>
              <w:tc>
                <w:tcPr>
                  <w:tcW w:w="1547" w:type="pct"/>
                  <w:tcBorders>
                    <w:tl2br w:val="nil"/>
                    <w:tr2bl w:val="nil"/>
                  </w:tcBorders>
                  <w:vAlign w:val="center"/>
                </w:tcPr>
                <w:p w14:paraId="34F3B036">
                  <w:pPr>
                    <w:widowControl/>
                    <w:tabs>
                      <w:tab w:val="left" w:pos="600"/>
                    </w:tabs>
                    <w:spacing w:line="240" w:lineRule="exact"/>
                    <w:jc w:val="center"/>
                    <w:textAlignment w:val="center"/>
                    <w:rPr>
                      <w:bCs/>
                      <w:color w:val="auto"/>
                      <w:szCs w:val="21"/>
                    </w:rPr>
                  </w:pPr>
                  <w:r>
                    <w:rPr>
                      <w:color w:val="auto"/>
                      <w:kern w:val="0"/>
                      <w:szCs w:val="21"/>
                      <w:lang w:bidi="ar"/>
                    </w:rPr>
                    <w:t>双油箱125型罗茨风机</w:t>
                  </w:r>
                </w:p>
              </w:tc>
              <w:tc>
                <w:tcPr>
                  <w:tcW w:w="2013" w:type="pct"/>
                  <w:tcBorders>
                    <w:tl2br w:val="nil"/>
                    <w:tr2bl w:val="nil"/>
                  </w:tcBorders>
                  <w:vAlign w:val="center"/>
                </w:tcPr>
                <w:p w14:paraId="03BBE475">
                  <w:pPr>
                    <w:widowControl/>
                    <w:tabs>
                      <w:tab w:val="left" w:pos="600"/>
                    </w:tabs>
                    <w:spacing w:line="240" w:lineRule="exact"/>
                    <w:jc w:val="center"/>
                    <w:textAlignment w:val="center"/>
                    <w:rPr>
                      <w:bCs/>
                      <w:color w:val="auto"/>
                      <w:szCs w:val="21"/>
                    </w:rPr>
                  </w:pPr>
                  <w:r>
                    <w:rPr>
                      <w:color w:val="auto"/>
                      <w:kern w:val="0"/>
                      <w:szCs w:val="21"/>
                      <w:lang w:bidi="ar"/>
                    </w:rPr>
                    <w:t>15KW双油箱</w:t>
                  </w:r>
                </w:p>
              </w:tc>
              <w:tc>
                <w:tcPr>
                  <w:tcW w:w="825" w:type="pct"/>
                  <w:tcBorders>
                    <w:tl2br w:val="nil"/>
                    <w:tr2bl w:val="nil"/>
                  </w:tcBorders>
                  <w:vAlign w:val="center"/>
                </w:tcPr>
                <w:p w14:paraId="5A381200">
                  <w:pPr>
                    <w:widowControl/>
                    <w:tabs>
                      <w:tab w:val="left" w:pos="600"/>
                    </w:tabs>
                    <w:spacing w:line="240" w:lineRule="exact"/>
                    <w:jc w:val="center"/>
                    <w:textAlignment w:val="center"/>
                    <w:rPr>
                      <w:bCs/>
                      <w:color w:val="auto"/>
                      <w:szCs w:val="21"/>
                    </w:rPr>
                  </w:pPr>
                  <w:r>
                    <w:rPr>
                      <w:color w:val="auto"/>
                      <w:kern w:val="0"/>
                      <w:szCs w:val="21"/>
                      <w:lang w:bidi="ar"/>
                    </w:rPr>
                    <w:t>4个</w:t>
                  </w:r>
                </w:p>
              </w:tc>
            </w:tr>
            <w:tr w14:paraId="54DFC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4579300">
                  <w:pPr>
                    <w:pStyle w:val="4"/>
                    <w:numPr>
                      <w:ilvl w:val="2"/>
                      <w:numId w:val="0"/>
                    </w:numPr>
                    <w:spacing w:line="240" w:lineRule="auto"/>
                    <w:jc w:val="center"/>
                    <w:rPr>
                      <w:rFonts w:cs="Times New Roman"/>
                      <w:color w:val="auto"/>
                      <w:sz w:val="21"/>
                      <w:szCs w:val="21"/>
                    </w:rPr>
                  </w:pPr>
                  <w:r>
                    <w:rPr>
                      <w:rFonts w:cs="Times New Roman"/>
                      <w:color w:val="auto"/>
                      <w:sz w:val="21"/>
                      <w:szCs w:val="21"/>
                    </w:rPr>
                    <w:t>6.2</w:t>
                  </w:r>
                </w:p>
              </w:tc>
              <w:tc>
                <w:tcPr>
                  <w:tcW w:w="1547" w:type="pct"/>
                  <w:tcBorders>
                    <w:tl2br w:val="nil"/>
                    <w:tr2bl w:val="nil"/>
                  </w:tcBorders>
                  <w:vAlign w:val="center"/>
                </w:tcPr>
                <w:p w14:paraId="2EAF18FB">
                  <w:pPr>
                    <w:widowControl/>
                    <w:tabs>
                      <w:tab w:val="left" w:pos="600"/>
                    </w:tabs>
                    <w:spacing w:line="240" w:lineRule="exact"/>
                    <w:jc w:val="center"/>
                    <w:textAlignment w:val="center"/>
                    <w:rPr>
                      <w:bCs/>
                      <w:color w:val="auto"/>
                      <w:szCs w:val="21"/>
                    </w:rPr>
                  </w:pPr>
                  <w:r>
                    <w:rPr>
                      <w:color w:val="auto"/>
                      <w:kern w:val="0"/>
                      <w:szCs w:val="21"/>
                      <w:lang w:bidi="ar"/>
                    </w:rPr>
                    <w:t>增氧机用配电箱总承</w:t>
                  </w:r>
                </w:p>
              </w:tc>
              <w:tc>
                <w:tcPr>
                  <w:tcW w:w="2013" w:type="pct"/>
                  <w:tcBorders>
                    <w:tl2br w:val="nil"/>
                    <w:tr2bl w:val="nil"/>
                  </w:tcBorders>
                  <w:vAlign w:val="center"/>
                </w:tcPr>
                <w:p w14:paraId="0E5E0E95">
                  <w:pPr>
                    <w:widowControl/>
                    <w:tabs>
                      <w:tab w:val="left" w:pos="600"/>
                    </w:tabs>
                    <w:spacing w:line="240" w:lineRule="exact"/>
                    <w:jc w:val="center"/>
                    <w:textAlignment w:val="center"/>
                    <w:rPr>
                      <w:bCs/>
                      <w:color w:val="auto"/>
                      <w:szCs w:val="21"/>
                    </w:rPr>
                  </w:pPr>
                  <w:r>
                    <w:rPr>
                      <w:color w:val="auto"/>
                      <w:kern w:val="0"/>
                      <w:szCs w:val="21"/>
                      <w:lang w:bidi="ar"/>
                    </w:rPr>
                    <w:t>15kW变频器2台，缺相保护器，漏电保护器，控制开关</w:t>
                  </w:r>
                </w:p>
              </w:tc>
              <w:tc>
                <w:tcPr>
                  <w:tcW w:w="825" w:type="pct"/>
                  <w:tcBorders>
                    <w:tl2br w:val="nil"/>
                    <w:tr2bl w:val="nil"/>
                  </w:tcBorders>
                  <w:vAlign w:val="center"/>
                </w:tcPr>
                <w:p w14:paraId="496222D9">
                  <w:pPr>
                    <w:widowControl/>
                    <w:tabs>
                      <w:tab w:val="left" w:pos="600"/>
                    </w:tabs>
                    <w:spacing w:line="240" w:lineRule="exact"/>
                    <w:jc w:val="center"/>
                    <w:textAlignment w:val="center"/>
                    <w:rPr>
                      <w:bCs/>
                      <w:color w:val="auto"/>
                      <w:szCs w:val="21"/>
                    </w:rPr>
                  </w:pPr>
                  <w:r>
                    <w:rPr>
                      <w:color w:val="auto"/>
                      <w:kern w:val="0"/>
                      <w:szCs w:val="21"/>
                      <w:lang w:bidi="ar"/>
                    </w:rPr>
                    <w:t>2套</w:t>
                  </w:r>
                </w:p>
              </w:tc>
            </w:tr>
            <w:tr w14:paraId="1BAC4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289F2EEC">
                  <w:pPr>
                    <w:pStyle w:val="4"/>
                    <w:numPr>
                      <w:ilvl w:val="2"/>
                      <w:numId w:val="0"/>
                    </w:numPr>
                    <w:spacing w:line="240" w:lineRule="auto"/>
                    <w:jc w:val="center"/>
                    <w:rPr>
                      <w:rFonts w:cs="Times New Roman"/>
                      <w:color w:val="auto"/>
                      <w:sz w:val="21"/>
                      <w:szCs w:val="21"/>
                    </w:rPr>
                  </w:pPr>
                  <w:r>
                    <w:rPr>
                      <w:rFonts w:cs="Times New Roman"/>
                      <w:color w:val="auto"/>
                      <w:sz w:val="21"/>
                      <w:szCs w:val="21"/>
                    </w:rPr>
                    <w:t>6.3</w:t>
                  </w:r>
                </w:p>
              </w:tc>
              <w:tc>
                <w:tcPr>
                  <w:tcW w:w="1547" w:type="pct"/>
                  <w:tcBorders>
                    <w:tl2br w:val="nil"/>
                    <w:tr2bl w:val="nil"/>
                  </w:tcBorders>
                  <w:vAlign w:val="center"/>
                </w:tcPr>
                <w:p w14:paraId="7DD7D5D1">
                  <w:pPr>
                    <w:widowControl/>
                    <w:tabs>
                      <w:tab w:val="left" w:pos="600"/>
                    </w:tabs>
                    <w:spacing w:line="240" w:lineRule="exact"/>
                    <w:jc w:val="center"/>
                    <w:textAlignment w:val="center"/>
                    <w:rPr>
                      <w:bCs/>
                      <w:color w:val="auto"/>
                      <w:szCs w:val="21"/>
                    </w:rPr>
                  </w:pPr>
                  <w:r>
                    <w:rPr>
                      <w:color w:val="auto"/>
                      <w:kern w:val="0"/>
                      <w:szCs w:val="21"/>
                      <w:lang w:bidi="ar"/>
                    </w:rPr>
                    <w:t>PE弯头</w:t>
                  </w:r>
                </w:p>
              </w:tc>
              <w:tc>
                <w:tcPr>
                  <w:tcW w:w="2013" w:type="pct"/>
                  <w:tcBorders>
                    <w:tl2br w:val="nil"/>
                    <w:tr2bl w:val="nil"/>
                  </w:tcBorders>
                  <w:vAlign w:val="center"/>
                </w:tcPr>
                <w:p w14:paraId="5C32BB12">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φ32*25</w:t>
                  </w:r>
                </w:p>
              </w:tc>
              <w:tc>
                <w:tcPr>
                  <w:tcW w:w="825" w:type="pct"/>
                  <w:tcBorders>
                    <w:tl2br w:val="nil"/>
                    <w:tr2bl w:val="nil"/>
                  </w:tcBorders>
                  <w:vAlign w:val="center"/>
                </w:tcPr>
                <w:p w14:paraId="213F7D07">
                  <w:pPr>
                    <w:widowControl/>
                    <w:tabs>
                      <w:tab w:val="left" w:pos="600"/>
                    </w:tabs>
                    <w:spacing w:line="240" w:lineRule="exact"/>
                    <w:jc w:val="center"/>
                    <w:textAlignment w:val="center"/>
                    <w:rPr>
                      <w:bCs/>
                      <w:color w:val="auto"/>
                      <w:szCs w:val="21"/>
                    </w:rPr>
                  </w:pPr>
                  <w:r>
                    <w:rPr>
                      <w:color w:val="auto"/>
                      <w:kern w:val="0"/>
                      <w:szCs w:val="21"/>
                      <w:lang w:bidi="ar"/>
                    </w:rPr>
                    <w:t>160个</w:t>
                  </w:r>
                </w:p>
              </w:tc>
            </w:tr>
            <w:tr w14:paraId="7872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3B2F22A1">
                  <w:pPr>
                    <w:pStyle w:val="4"/>
                    <w:numPr>
                      <w:ilvl w:val="2"/>
                      <w:numId w:val="0"/>
                    </w:numPr>
                    <w:spacing w:line="240" w:lineRule="auto"/>
                    <w:jc w:val="center"/>
                    <w:rPr>
                      <w:rFonts w:cs="Times New Roman"/>
                      <w:color w:val="auto"/>
                      <w:sz w:val="21"/>
                      <w:szCs w:val="21"/>
                    </w:rPr>
                  </w:pPr>
                  <w:r>
                    <w:rPr>
                      <w:rFonts w:cs="Times New Roman"/>
                      <w:color w:val="auto"/>
                      <w:sz w:val="21"/>
                      <w:szCs w:val="21"/>
                    </w:rPr>
                    <w:t>6.4</w:t>
                  </w:r>
                </w:p>
              </w:tc>
              <w:tc>
                <w:tcPr>
                  <w:tcW w:w="1547" w:type="pct"/>
                  <w:tcBorders>
                    <w:tl2br w:val="nil"/>
                    <w:tr2bl w:val="nil"/>
                  </w:tcBorders>
                  <w:vAlign w:val="center"/>
                </w:tcPr>
                <w:p w14:paraId="1A5050F5">
                  <w:pPr>
                    <w:widowControl/>
                    <w:tabs>
                      <w:tab w:val="left" w:pos="600"/>
                    </w:tabs>
                    <w:spacing w:line="240" w:lineRule="exact"/>
                    <w:jc w:val="center"/>
                    <w:textAlignment w:val="center"/>
                    <w:rPr>
                      <w:bCs/>
                      <w:color w:val="auto"/>
                      <w:szCs w:val="21"/>
                    </w:rPr>
                  </w:pPr>
                  <w:r>
                    <w:rPr>
                      <w:color w:val="auto"/>
                      <w:kern w:val="0"/>
                      <w:szCs w:val="21"/>
                      <w:lang w:bidi="ar"/>
                    </w:rPr>
                    <w:t>PE弯头</w:t>
                  </w:r>
                </w:p>
              </w:tc>
              <w:tc>
                <w:tcPr>
                  <w:tcW w:w="2013" w:type="pct"/>
                  <w:tcBorders>
                    <w:tl2br w:val="nil"/>
                    <w:tr2bl w:val="nil"/>
                  </w:tcBorders>
                  <w:vAlign w:val="center"/>
                </w:tcPr>
                <w:p w14:paraId="163E9203">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φ110</w:t>
                  </w:r>
                </w:p>
              </w:tc>
              <w:tc>
                <w:tcPr>
                  <w:tcW w:w="825" w:type="pct"/>
                  <w:tcBorders>
                    <w:tl2br w:val="nil"/>
                    <w:tr2bl w:val="nil"/>
                  </w:tcBorders>
                  <w:vAlign w:val="center"/>
                </w:tcPr>
                <w:p w14:paraId="797429BE">
                  <w:pPr>
                    <w:widowControl/>
                    <w:tabs>
                      <w:tab w:val="left" w:pos="600"/>
                    </w:tabs>
                    <w:spacing w:line="240" w:lineRule="exact"/>
                    <w:jc w:val="center"/>
                    <w:textAlignment w:val="center"/>
                    <w:rPr>
                      <w:bCs/>
                      <w:color w:val="auto"/>
                      <w:szCs w:val="21"/>
                    </w:rPr>
                  </w:pPr>
                  <w:r>
                    <w:rPr>
                      <w:color w:val="auto"/>
                      <w:kern w:val="0"/>
                      <w:szCs w:val="21"/>
                      <w:lang w:bidi="ar"/>
                    </w:rPr>
                    <w:t>6个</w:t>
                  </w:r>
                </w:p>
              </w:tc>
            </w:tr>
            <w:tr w14:paraId="00836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581117BF">
                  <w:pPr>
                    <w:pStyle w:val="4"/>
                    <w:numPr>
                      <w:ilvl w:val="2"/>
                      <w:numId w:val="0"/>
                    </w:numPr>
                    <w:spacing w:line="240" w:lineRule="auto"/>
                    <w:jc w:val="center"/>
                    <w:rPr>
                      <w:rFonts w:cs="Times New Roman"/>
                      <w:color w:val="auto"/>
                      <w:sz w:val="21"/>
                      <w:szCs w:val="21"/>
                    </w:rPr>
                  </w:pPr>
                  <w:r>
                    <w:rPr>
                      <w:rFonts w:cs="Times New Roman"/>
                      <w:color w:val="auto"/>
                      <w:sz w:val="21"/>
                      <w:szCs w:val="21"/>
                    </w:rPr>
                    <w:t>6.5</w:t>
                  </w:r>
                </w:p>
              </w:tc>
              <w:tc>
                <w:tcPr>
                  <w:tcW w:w="1547" w:type="pct"/>
                  <w:tcBorders>
                    <w:tl2br w:val="nil"/>
                    <w:tr2bl w:val="nil"/>
                  </w:tcBorders>
                  <w:vAlign w:val="center"/>
                </w:tcPr>
                <w:p w14:paraId="22C8D3EE">
                  <w:pPr>
                    <w:widowControl/>
                    <w:tabs>
                      <w:tab w:val="left" w:pos="600"/>
                    </w:tabs>
                    <w:spacing w:line="240" w:lineRule="exact"/>
                    <w:jc w:val="center"/>
                    <w:textAlignment w:val="center"/>
                    <w:rPr>
                      <w:bCs/>
                      <w:color w:val="auto"/>
                      <w:szCs w:val="21"/>
                    </w:rPr>
                  </w:pPr>
                  <w:r>
                    <w:rPr>
                      <w:color w:val="auto"/>
                      <w:kern w:val="0"/>
                      <w:szCs w:val="21"/>
                      <w:lang w:bidi="ar"/>
                    </w:rPr>
                    <w:t>PE弯头</w:t>
                  </w:r>
                </w:p>
              </w:tc>
              <w:tc>
                <w:tcPr>
                  <w:tcW w:w="2013" w:type="pct"/>
                  <w:tcBorders>
                    <w:tl2br w:val="nil"/>
                    <w:tr2bl w:val="nil"/>
                  </w:tcBorders>
                  <w:vAlign w:val="center"/>
                </w:tcPr>
                <w:p w14:paraId="0D770743">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φ32</w:t>
                  </w:r>
                </w:p>
              </w:tc>
              <w:tc>
                <w:tcPr>
                  <w:tcW w:w="825" w:type="pct"/>
                  <w:tcBorders>
                    <w:tl2br w:val="nil"/>
                    <w:tr2bl w:val="nil"/>
                  </w:tcBorders>
                  <w:vAlign w:val="center"/>
                </w:tcPr>
                <w:p w14:paraId="2A5E58DA">
                  <w:pPr>
                    <w:widowControl/>
                    <w:tabs>
                      <w:tab w:val="left" w:pos="600"/>
                    </w:tabs>
                    <w:spacing w:line="240" w:lineRule="exact"/>
                    <w:jc w:val="center"/>
                    <w:textAlignment w:val="center"/>
                    <w:rPr>
                      <w:bCs/>
                      <w:color w:val="auto"/>
                      <w:szCs w:val="21"/>
                    </w:rPr>
                  </w:pPr>
                  <w:r>
                    <w:rPr>
                      <w:color w:val="auto"/>
                      <w:kern w:val="0"/>
                      <w:szCs w:val="21"/>
                      <w:lang w:bidi="ar"/>
                    </w:rPr>
                    <w:t>320个</w:t>
                  </w:r>
                </w:p>
              </w:tc>
            </w:tr>
            <w:tr w14:paraId="1634D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4D698A93">
                  <w:pPr>
                    <w:pStyle w:val="4"/>
                    <w:numPr>
                      <w:ilvl w:val="2"/>
                      <w:numId w:val="0"/>
                    </w:numPr>
                    <w:spacing w:line="240" w:lineRule="auto"/>
                    <w:jc w:val="center"/>
                    <w:rPr>
                      <w:rFonts w:cs="Times New Roman"/>
                      <w:color w:val="auto"/>
                      <w:sz w:val="21"/>
                      <w:szCs w:val="21"/>
                    </w:rPr>
                  </w:pPr>
                  <w:r>
                    <w:rPr>
                      <w:rFonts w:cs="Times New Roman"/>
                      <w:color w:val="auto"/>
                      <w:sz w:val="21"/>
                      <w:szCs w:val="21"/>
                    </w:rPr>
                    <w:t>6.6</w:t>
                  </w:r>
                </w:p>
              </w:tc>
              <w:tc>
                <w:tcPr>
                  <w:tcW w:w="1547" w:type="pct"/>
                  <w:tcBorders>
                    <w:tl2br w:val="nil"/>
                    <w:tr2bl w:val="nil"/>
                  </w:tcBorders>
                  <w:vAlign w:val="center"/>
                </w:tcPr>
                <w:p w14:paraId="64F5FB13">
                  <w:pPr>
                    <w:widowControl/>
                    <w:tabs>
                      <w:tab w:val="left" w:pos="600"/>
                    </w:tabs>
                    <w:spacing w:line="240" w:lineRule="exact"/>
                    <w:jc w:val="center"/>
                    <w:textAlignment w:val="center"/>
                    <w:rPr>
                      <w:bCs/>
                      <w:color w:val="auto"/>
                      <w:szCs w:val="21"/>
                    </w:rPr>
                  </w:pPr>
                  <w:r>
                    <w:rPr>
                      <w:color w:val="auto"/>
                      <w:kern w:val="0"/>
                      <w:szCs w:val="21"/>
                      <w:lang w:bidi="ar"/>
                    </w:rPr>
                    <w:t>PE球阀</w:t>
                  </w:r>
                </w:p>
              </w:tc>
              <w:tc>
                <w:tcPr>
                  <w:tcW w:w="2013" w:type="pct"/>
                  <w:tcBorders>
                    <w:tl2br w:val="nil"/>
                    <w:tr2bl w:val="nil"/>
                  </w:tcBorders>
                  <w:vAlign w:val="center"/>
                </w:tcPr>
                <w:p w14:paraId="4BADECC1">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φ110</w:t>
                  </w:r>
                </w:p>
              </w:tc>
              <w:tc>
                <w:tcPr>
                  <w:tcW w:w="825" w:type="pct"/>
                  <w:tcBorders>
                    <w:tl2br w:val="nil"/>
                    <w:tr2bl w:val="nil"/>
                  </w:tcBorders>
                  <w:vAlign w:val="center"/>
                </w:tcPr>
                <w:p w14:paraId="6A6094AF">
                  <w:pPr>
                    <w:widowControl/>
                    <w:tabs>
                      <w:tab w:val="left" w:pos="600"/>
                    </w:tabs>
                    <w:spacing w:line="240" w:lineRule="exact"/>
                    <w:jc w:val="center"/>
                    <w:textAlignment w:val="center"/>
                    <w:rPr>
                      <w:bCs/>
                      <w:color w:val="auto"/>
                      <w:szCs w:val="21"/>
                    </w:rPr>
                  </w:pPr>
                  <w:r>
                    <w:rPr>
                      <w:color w:val="auto"/>
                      <w:kern w:val="0"/>
                      <w:szCs w:val="21"/>
                      <w:lang w:bidi="ar"/>
                    </w:rPr>
                    <w:t>18个</w:t>
                  </w:r>
                </w:p>
              </w:tc>
            </w:tr>
            <w:tr w14:paraId="1EDD9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55B221F">
                  <w:pPr>
                    <w:pStyle w:val="4"/>
                    <w:numPr>
                      <w:ilvl w:val="2"/>
                      <w:numId w:val="0"/>
                    </w:numPr>
                    <w:spacing w:line="240" w:lineRule="auto"/>
                    <w:jc w:val="center"/>
                    <w:rPr>
                      <w:rFonts w:cs="Times New Roman"/>
                      <w:color w:val="auto"/>
                      <w:sz w:val="21"/>
                      <w:szCs w:val="21"/>
                    </w:rPr>
                  </w:pPr>
                  <w:r>
                    <w:rPr>
                      <w:rFonts w:cs="Times New Roman"/>
                      <w:color w:val="auto"/>
                      <w:sz w:val="21"/>
                      <w:szCs w:val="21"/>
                    </w:rPr>
                    <w:t>6.7</w:t>
                  </w:r>
                </w:p>
              </w:tc>
              <w:tc>
                <w:tcPr>
                  <w:tcW w:w="1547" w:type="pct"/>
                  <w:tcBorders>
                    <w:tl2br w:val="nil"/>
                    <w:tr2bl w:val="nil"/>
                  </w:tcBorders>
                  <w:vAlign w:val="center"/>
                </w:tcPr>
                <w:p w14:paraId="1438B80F">
                  <w:pPr>
                    <w:widowControl/>
                    <w:tabs>
                      <w:tab w:val="left" w:pos="600"/>
                    </w:tabs>
                    <w:spacing w:line="240" w:lineRule="exact"/>
                    <w:jc w:val="center"/>
                    <w:textAlignment w:val="center"/>
                    <w:rPr>
                      <w:bCs/>
                      <w:color w:val="auto"/>
                      <w:szCs w:val="21"/>
                    </w:rPr>
                  </w:pPr>
                  <w:r>
                    <w:rPr>
                      <w:color w:val="auto"/>
                      <w:kern w:val="0"/>
                      <w:szCs w:val="21"/>
                      <w:lang w:bidi="ar"/>
                    </w:rPr>
                    <w:t>PE羊角阀</w:t>
                  </w:r>
                </w:p>
              </w:tc>
              <w:tc>
                <w:tcPr>
                  <w:tcW w:w="2013" w:type="pct"/>
                  <w:tcBorders>
                    <w:tl2br w:val="nil"/>
                    <w:tr2bl w:val="nil"/>
                  </w:tcBorders>
                  <w:vAlign w:val="center"/>
                </w:tcPr>
                <w:p w14:paraId="5EF9E526">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φ25</w:t>
                  </w:r>
                </w:p>
              </w:tc>
              <w:tc>
                <w:tcPr>
                  <w:tcW w:w="825" w:type="pct"/>
                  <w:tcBorders>
                    <w:tl2br w:val="nil"/>
                    <w:tr2bl w:val="nil"/>
                  </w:tcBorders>
                  <w:vAlign w:val="center"/>
                </w:tcPr>
                <w:p w14:paraId="33D8CA82">
                  <w:pPr>
                    <w:widowControl/>
                    <w:tabs>
                      <w:tab w:val="left" w:pos="600"/>
                    </w:tabs>
                    <w:spacing w:line="240" w:lineRule="exact"/>
                    <w:jc w:val="center"/>
                    <w:textAlignment w:val="center"/>
                    <w:rPr>
                      <w:bCs/>
                      <w:color w:val="auto"/>
                      <w:szCs w:val="21"/>
                    </w:rPr>
                  </w:pPr>
                  <w:r>
                    <w:rPr>
                      <w:color w:val="auto"/>
                      <w:kern w:val="0"/>
                      <w:szCs w:val="21"/>
                      <w:lang w:bidi="ar"/>
                    </w:rPr>
                    <w:t>320个</w:t>
                  </w:r>
                </w:p>
              </w:tc>
            </w:tr>
            <w:tr w14:paraId="44FB6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37440133">
                  <w:pPr>
                    <w:pStyle w:val="4"/>
                    <w:numPr>
                      <w:ilvl w:val="2"/>
                      <w:numId w:val="0"/>
                    </w:numPr>
                    <w:spacing w:line="240" w:lineRule="auto"/>
                    <w:jc w:val="center"/>
                    <w:rPr>
                      <w:rFonts w:cs="Times New Roman"/>
                      <w:color w:val="auto"/>
                      <w:sz w:val="21"/>
                      <w:szCs w:val="21"/>
                    </w:rPr>
                  </w:pPr>
                  <w:r>
                    <w:rPr>
                      <w:rFonts w:cs="Times New Roman"/>
                      <w:color w:val="auto"/>
                      <w:sz w:val="21"/>
                      <w:szCs w:val="21"/>
                    </w:rPr>
                    <w:t>6.8</w:t>
                  </w:r>
                </w:p>
              </w:tc>
              <w:tc>
                <w:tcPr>
                  <w:tcW w:w="1547" w:type="pct"/>
                  <w:tcBorders>
                    <w:tl2br w:val="nil"/>
                    <w:tr2bl w:val="nil"/>
                  </w:tcBorders>
                  <w:vAlign w:val="center"/>
                </w:tcPr>
                <w:p w14:paraId="46EEC856">
                  <w:pPr>
                    <w:widowControl/>
                    <w:tabs>
                      <w:tab w:val="left" w:pos="600"/>
                    </w:tabs>
                    <w:spacing w:line="240" w:lineRule="exact"/>
                    <w:jc w:val="center"/>
                    <w:textAlignment w:val="center"/>
                    <w:rPr>
                      <w:bCs/>
                      <w:color w:val="auto"/>
                      <w:szCs w:val="21"/>
                    </w:rPr>
                  </w:pPr>
                  <w:r>
                    <w:rPr>
                      <w:color w:val="auto"/>
                      <w:kern w:val="0"/>
                      <w:szCs w:val="21"/>
                      <w:lang w:bidi="ar"/>
                    </w:rPr>
                    <w:t>T型铜三通</w:t>
                  </w:r>
                </w:p>
              </w:tc>
              <w:tc>
                <w:tcPr>
                  <w:tcW w:w="2013" w:type="pct"/>
                  <w:tcBorders>
                    <w:tl2br w:val="nil"/>
                    <w:tr2bl w:val="nil"/>
                  </w:tcBorders>
                  <w:vAlign w:val="center"/>
                </w:tcPr>
                <w:p w14:paraId="518857AB">
                  <w:pPr>
                    <w:widowControl/>
                    <w:tabs>
                      <w:tab w:val="left" w:pos="600"/>
                    </w:tabs>
                    <w:spacing w:line="240" w:lineRule="exact"/>
                    <w:ind w:firstLine="210" w:firstLineChars="100"/>
                    <w:jc w:val="center"/>
                    <w:textAlignment w:val="center"/>
                    <w:rPr>
                      <w:bCs/>
                      <w:color w:val="auto"/>
                      <w:szCs w:val="21"/>
                    </w:rPr>
                  </w:pPr>
                  <w:r>
                    <w:rPr>
                      <w:color w:val="auto"/>
                      <w:kern w:val="0"/>
                      <w:szCs w:val="21"/>
                      <w:lang w:bidi="ar"/>
                    </w:rPr>
                    <w:t>φ10*32</w:t>
                  </w:r>
                </w:p>
              </w:tc>
              <w:tc>
                <w:tcPr>
                  <w:tcW w:w="825" w:type="pct"/>
                  <w:tcBorders>
                    <w:tl2br w:val="nil"/>
                    <w:tr2bl w:val="nil"/>
                  </w:tcBorders>
                  <w:vAlign w:val="center"/>
                </w:tcPr>
                <w:p w14:paraId="76981F72">
                  <w:pPr>
                    <w:widowControl/>
                    <w:tabs>
                      <w:tab w:val="left" w:pos="600"/>
                    </w:tabs>
                    <w:spacing w:line="240" w:lineRule="exact"/>
                    <w:jc w:val="center"/>
                    <w:textAlignment w:val="center"/>
                    <w:rPr>
                      <w:bCs/>
                      <w:color w:val="auto"/>
                      <w:szCs w:val="21"/>
                    </w:rPr>
                  </w:pPr>
                  <w:r>
                    <w:rPr>
                      <w:color w:val="auto"/>
                      <w:kern w:val="0"/>
                      <w:szCs w:val="21"/>
                      <w:lang w:bidi="ar"/>
                    </w:rPr>
                    <w:t>160个</w:t>
                  </w:r>
                </w:p>
              </w:tc>
            </w:tr>
            <w:tr w14:paraId="76AA8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7AC288DD">
                  <w:pPr>
                    <w:pStyle w:val="4"/>
                    <w:numPr>
                      <w:ilvl w:val="2"/>
                      <w:numId w:val="0"/>
                    </w:numPr>
                    <w:spacing w:line="240" w:lineRule="auto"/>
                    <w:jc w:val="center"/>
                    <w:rPr>
                      <w:rFonts w:cs="Times New Roman"/>
                      <w:b/>
                      <w:bCs w:val="0"/>
                      <w:color w:val="auto"/>
                      <w:sz w:val="21"/>
                      <w:szCs w:val="21"/>
                    </w:rPr>
                  </w:pPr>
                  <w:r>
                    <w:rPr>
                      <w:rFonts w:cs="Times New Roman"/>
                      <w:b/>
                      <w:bCs w:val="0"/>
                      <w:color w:val="auto"/>
                      <w:sz w:val="21"/>
                      <w:szCs w:val="21"/>
                    </w:rPr>
                    <w:t>7</w:t>
                  </w:r>
                </w:p>
              </w:tc>
              <w:tc>
                <w:tcPr>
                  <w:tcW w:w="1547" w:type="pct"/>
                  <w:tcBorders>
                    <w:tl2br w:val="nil"/>
                    <w:tr2bl w:val="nil"/>
                  </w:tcBorders>
                  <w:vAlign w:val="center"/>
                </w:tcPr>
                <w:p w14:paraId="14097089">
                  <w:pPr>
                    <w:widowControl/>
                    <w:tabs>
                      <w:tab w:val="left" w:pos="600"/>
                    </w:tabs>
                    <w:spacing w:line="240" w:lineRule="exact"/>
                    <w:jc w:val="center"/>
                    <w:textAlignment w:val="center"/>
                    <w:rPr>
                      <w:b/>
                      <w:color w:val="auto"/>
                      <w:szCs w:val="21"/>
                    </w:rPr>
                  </w:pPr>
                  <w:r>
                    <w:rPr>
                      <w:b/>
                      <w:color w:val="auto"/>
                      <w:kern w:val="0"/>
                      <w:szCs w:val="21"/>
                      <w:lang w:bidi="ar"/>
                    </w:rPr>
                    <w:t>智能控制系统</w:t>
                  </w:r>
                </w:p>
              </w:tc>
              <w:tc>
                <w:tcPr>
                  <w:tcW w:w="2013" w:type="pct"/>
                  <w:tcBorders>
                    <w:tl2br w:val="nil"/>
                    <w:tr2bl w:val="nil"/>
                  </w:tcBorders>
                  <w:vAlign w:val="center"/>
                </w:tcPr>
                <w:p w14:paraId="492F0120">
                  <w:pPr>
                    <w:widowControl/>
                    <w:spacing w:line="240" w:lineRule="exact"/>
                    <w:jc w:val="center"/>
                    <w:rPr>
                      <w:b/>
                      <w:color w:val="auto"/>
                      <w:szCs w:val="21"/>
                    </w:rPr>
                  </w:pPr>
                  <w:r>
                    <w:rPr>
                      <w:b/>
                      <w:color w:val="auto"/>
                      <w:szCs w:val="21"/>
                    </w:rPr>
                    <w:t>/</w:t>
                  </w:r>
                </w:p>
              </w:tc>
              <w:tc>
                <w:tcPr>
                  <w:tcW w:w="825" w:type="pct"/>
                  <w:tcBorders>
                    <w:tl2br w:val="nil"/>
                    <w:tr2bl w:val="nil"/>
                  </w:tcBorders>
                  <w:vAlign w:val="center"/>
                </w:tcPr>
                <w:p w14:paraId="2B4AFBCC">
                  <w:pPr>
                    <w:jc w:val="center"/>
                    <w:rPr>
                      <w:b/>
                      <w:color w:val="auto"/>
                      <w:szCs w:val="21"/>
                    </w:rPr>
                  </w:pPr>
                  <w:r>
                    <w:rPr>
                      <w:b/>
                      <w:color w:val="auto"/>
                      <w:szCs w:val="21"/>
                    </w:rPr>
                    <w:t>/</w:t>
                  </w:r>
                </w:p>
              </w:tc>
            </w:tr>
            <w:tr w14:paraId="29C32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3" w:type="pct"/>
                  <w:tcBorders>
                    <w:tl2br w:val="nil"/>
                    <w:tr2bl w:val="nil"/>
                  </w:tcBorders>
                  <w:vAlign w:val="center"/>
                </w:tcPr>
                <w:p w14:paraId="07D9870B">
                  <w:pPr>
                    <w:pStyle w:val="4"/>
                    <w:numPr>
                      <w:ilvl w:val="2"/>
                      <w:numId w:val="0"/>
                    </w:numPr>
                    <w:spacing w:line="240" w:lineRule="auto"/>
                    <w:jc w:val="center"/>
                    <w:rPr>
                      <w:rFonts w:cs="Times New Roman"/>
                      <w:color w:val="auto"/>
                      <w:sz w:val="21"/>
                      <w:szCs w:val="21"/>
                    </w:rPr>
                  </w:pPr>
                  <w:r>
                    <w:rPr>
                      <w:rFonts w:cs="Times New Roman"/>
                      <w:color w:val="auto"/>
                      <w:sz w:val="21"/>
                      <w:szCs w:val="21"/>
                    </w:rPr>
                    <w:t>7.1</w:t>
                  </w:r>
                </w:p>
              </w:tc>
              <w:tc>
                <w:tcPr>
                  <w:tcW w:w="1547" w:type="pct"/>
                  <w:tcBorders>
                    <w:tl2br w:val="nil"/>
                    <w:tr2bl w:val="nil"/>
                  </w:tcBorders>
                  <w:vAlign w:val="center"/>
                </w:tcPr>
                <w:p w14:paraId="3F1E5DE1">
                  <w:pPr>
                    <w:widowControl/>
                    <w:tabs>
                      <w:tab w:val="left" w:pos="600"/>
                    </w:tabs>
                    <w:spacing w:line="240" w:lineRule="exact"/>
                    <w:jc w:val="center"/>
                    <w:textAlignment w:val="center"/>
                    <w:rPr>
                      <w:bCs/>
                      <w:color w:val="auto"/>
                      <w:szCs w:val="21"/>
                    </w:rPr>
                  </w:pPr>
                  <w:r>
                    <w:rPr>
                      <w:color w:val="auto"/>
                      <w:kern w:val="0"/>
                      <w:szCs w:val="21"/>
                      <w:lang w:bidi="ar"/>
                    </w:rPr>
                    <w:t>智能控制系统</w:t>
                  </w:r>
                </w:p>
              </w:tc>
              <w:tc>
                <w:tcPr>
                  <w:tcW w:w="2013" w:type="pct"/>
                  <w:tcBorders>
                    <w:tl2br w:val="nil"/>
                    <w:tr2bl w:val="nil"/>
                  </w:tcBorders>
                  <w:vAlign w:val="center"/>
                </w:tcPr>
                <w:p w14:paraId="0B045303">
                  <w:pPr>
                    <w:widowControl/>
                    <w:tabs>
                      <w:tab w:val="left" w:pos="600"/>
                    </w:tabs>
                    <w:spacing w:line="240" w:lineRule="exact"/>
                    <w:jc w:val="center"/>
                    <w:textAlignment w:val="center"/>
                    <w:rPr>
                      <w:bCs/>
                      <w:color w:val="auto"/>
                      <w:szCs w:val="21"/>
                    </w:rPr>
                  </w:pPr>
                  <w:r>
                    <w:rPr>
                      <w:color w:val="auto"/>
                      <w:kern w:val="0"/>
                      <w:szCs w:val="21"/>
                      <w:lang w:bidi="ar"/>
                    </w:rPr>
                    <w:t>水泵、风机智能控制系统</w:t>
                  </w:r>
                </w:p>
              </w:tc>
              <w:tc>
                <w:tcPr>
                  <w:tcW w:w="825" w:type="pct"/>
                  <w:tcBorders>
                    <w:tl2br w:val="nil"/>
                    <w:tr2bl w:val="nil"/>
                  </w:tcBorders>
                  <w:vAlign w:val="center"/>
                </w:tcPr>
                <w:p w14:paraId="3FF15E80">
                  <w:pPr>
                    <w:pStyle w:val="64"/>
                    <w:rPr>
                      <w:rFonts w:ascii="Times New Roman" w:hAnsi="Times New Roman"/>
                      <w:bCs/>
                      <w:color w:val="auto"/>
                    </w:rPr>
                  </w:pPr>
                  <w:r>
                    <w:rPr>
                      <w:rFonts w:ascii="Times New Roman" w:hAnsi="Times New Roman"/>
                      <w:bCs/>
                      <w:color w:val="auto"/>
                    </w:rPr>
                    <w:t>22套</w:t>
                  </w:r>
                </w:p>
              </w:tc>
            </w:tr>
          </w:tbl>
          <w:p w14:paraId="3EE6FC03">
            <w:pPr>
              <w:adjustRightInd w:val="0"/>
              <w:snapToGrid w:val="0"/>
              <w:spacing w:line="360" w:lineRule="auto"/>
              <w:ind w:firstLine="482" w:firstLineChars="200"/>
              <w:rPr>
                <w:rFonts w:hint="eastAsia" w:ascii="宋体" w:hAnsi="宋体" w:cs="宋体"/>
                <w:b/>
                <w:bCs/>
                <w:color w:val="auto"/>
                <w:sz w:val="24"/>
              </w:rPr>
            </w:pPr>
            <w:r>
              <w:rPr>
                <w:b/>
                <w:bCs/>
                <w:color w:val="auto"/>
                <w:sz w:val="24"/>
              </w:rPr>
              <w:t>2.</w:t>
            </w:r>
            <w:r>
              <w:rPr>
                <w:rFonts w:hint="eastAsia"/>
                <w:b/>
                <w:bCs/>
                <w:color w:val="auto"/>
                <w:sz w:val="24"/>
              </w:rPr>
              <w:t>5</w:t>
            </w:r>
            <w:r>
              <w:rPr>
                <w:rFonts w:hint="eastAsia" w:ascii="宋体" w:hAnsi="宋体" w:cs="宋体"/>
                <w:b/>
                <w:bCs/>
                <w:color w:val="auto"/>
                <w:sz w:val="24"/>
              </w:rPr>
              <w:t>产品方案</w:t>
            </w:r>
          </w:p>
          <w:p w14:paraId="00CF3D94">
            <w:pPr>
              <w:adjustRightInd w:val="0"/>
              <w:snapToGrid w:val="0"/>
              <w:spacing w:line="360" w:lineRule="auto"/>
              <w:ind w:firstLine="480" w:firstLineChars="200"/>
              <w:rPr>
                <w:rFonts w:hint="eastAsia" w:eastAsia="宋体"/>
                <w:color w:val="auto"/>
                <w:sz w:val="24"/>
                <w:u w:val="single"/>
                <w:lang w:val="en-US" w:eastAsia="zh-CN"/>
              </w:rPr>
            </w:pPr>
            <w:r>
              <w:rPr>
                <w:color w:val="auto"/>
                <w:sz w:val="24"/>
                <w:u w:val="single"/>
              </w:rPr>
              <w:t>项目主要产品为马口鱼</w:t>
            </w:r>
            <w:r>
              <w:rPr>
                <w:rFonts w:hint="eastAsia"/>
                <w:color w:val="auto"/>
                <w:sz w:val="24"/>
                <w:u w:val="single"/>
              </w:rPr>
              <w:t>及观赏鱼。</w:t>
            </w:r>
            <w:r>
              <w:rPr>
                <w:color w:val="auto"/>
                <w:sz w:val="24"/>
                <w:u w:val="single"/>
              </w:rPr>
              <w:t>一期</w:t>
            </w:r>
            <w:r>
              <w:rPr>
                <w:rFonts w:hint="eastAsia"/>
                <w:color w:val="auto"/>
                <w:sz w:val="24"/>
                <w:u w:val="single"/>
              </w:rPr>
              <w:t>共计</w:t>
            </w:r>
            <w:r>
              <w:rPr>
                <w:color w:val="auto"/>
                <w:sz w:val="24"/>
                <w:szCs w:val="24"/>
                <w:u w:val="single"/>
              </w:rPr>
              <w:t>80个马口鱼圈养桶，年产量</w:t>
            </w:r>
            <w:r>
              <w:rPr>
                <w:rFonts w:hint="eastAsia"/>
                <w:color w:val="auto"/>
                <w:sz w:val="24"/>
                <w:szCs w:val="24"/>
                <w:u w:val="single"/>
              </w:rPr>
              <w:t>约</w:t>
            </w:r>
            <w:r>
              <w:rPr>
                <w:color w:val="auto"/>
                <w:sz w:val="24"/>
                <w:szCs w:val="24"/>
                <w:u w:val="single"/>
              </w:rPr>
              <w:t>2000kg/圈，12个观赏鱼养殖桶，年产量</w:t>
            </w:r>
            <w:r>
              <w:rPr>
                <w:rFonts w:hint="eastAsia"/>
                <w:color w:val="auto"/>
                <w:sz w:val="24"/>
                <w:szCs w:val="24"/>
                <w:u w:val="single"/>
              </w:rPr>
              <w:t>约1250</w:t>
            </w:r>
            <w:r>
              <w:rPr>
                <w:color w:val="auto"/>
                <w:sz w:val="24"/>
                <w:szCs w:val="24"/>
                <w:u w:val="single"/>
              </w:rPr>
              <w:t>kg/圈</w:t>
            </w:r>
            <w:r>
              <w:rPr>
                <w:rFonts w:hint="eastAsia"/>
                <w:color w:val="auto"/>
                <w:sz w:val="24"/>
                <w:szCs w:val="24"/>
                <w:u w:val="single"/>
              </w:rPr>
              <w:t>。</w:t>
            </w:r>
            <w:r>
              <w:rPr>
                <w:rFonts w:hint="eastAsia"/>
                <w:color w:val="auto"/>
                <w:sz w:val="24"/>
                <w:szCs w:val="24"/>
                <w:u w:val="single"/>
                <w:lang w:val="en-US" w:eastAsia="zh-CN"/>
              </w:rPr>
              <w:t>本项目未设置专门的</w:t>
            </w:r>
            <w:r>
              <w:rPr>
                <w:rFonts w:hint="eastAsia"/>
                <w:bCs/>
                <w:color w:val="auto"/>
                <w:kern w:val="0"/>
                <w:sz w:val="24"/>
                <w:szCs w:val="24"/>
                <w:u w:val="single"/>
              </w:rPr>
              <w:t>候鸟</w:t>
            </w:r>
            <w:r>
              <w:rPr>
                <w:rFonts w:hint="eastAsia"/>
                <w:bCs/>
                <w:color w:val="auto"/>
                <w:kern w:val="0"/>
                <w:sz w:val="24"/>
                <w:szCs w:val="24"/>
                <w:u w:val="single"/>
                <w:lang w:val="en-US" w:eastAsia="zh-CN"/>
              </w:rPr>
              <w:t>投喂区域，养殖区域的鱼</w:t>
            </w:r>
            <w:r>
              <w:rPr>
                <w:rFonts w:hint="eastAsia"/>
                <w:bCs/>
                <w:color w:val="auto"/>
                <w:kern w:val="0"/>
                <w:sz w:val="24"/>
                <w:szCs w:val="24"/>
                <w:u w:val="single"/>
              </w:rPr>
              <w:t>由候鸟自行捕食</w:t>
            </w:r>
            <w:r>
              <w:rPr>
                <w:rFonts w:hint="eastAsia"/>
                <w:bCs/>
                <w:color w:val="auto"/>
                <w:kern w:val="0"/>
                <w:sz w:val="24"/>
                <w:szCs w:val="24"/>
                <w:u w:val="single"/>
                <w:lang w:eastAsia="zh-CN"/>
              </w:rPr>
              <w:t>。</w:t>
            </w:r>
          </w:p>
          <w:p w14:paraId="3E5ED542">
            <w:pPr>
              <w:adjustRightInd w:val="0"/>
              <w:snapToGrid w:val="0"/>
              <w:spacing w:line="360" w:lineRule="auto"/>
              <w:ind w:firstLine="480" w:firstLineChars="200"/>
              <w:rPr>
                <w:color w:val="auto"/>
                <w:sz w:val="24"/>
                <w:u w:val="single"/>
              </w:rPr>
            </w:pPr>
            <w:r>
              <w:rPr>
                <w:color w:val="auto"/>
                <w:sz w:val="24"/>
                <w:u w:val="single"/>
              </w:rPr>
              <w:t>主要产品方案详见下表2-</w:t>
            </w:r>
            <w:r>
              <w:rPr>
                <w:rFonts w:hint="eastAsia"/>
                <w:color w:val="auto"/>
                <w:sz w:val="24"/>
                <w:u w:val="single"/>
              </w:rPr>
              <w:t>4</w:t>
            </w:r>
            <w:r>
              <w:rPr>
                <w:color w:val="auto"/>
                <w:sz w:val="24"/>
                <w:u w:val="single"/>
              </w:rPr>
              <w:t>。</w:t>
            </w:r>
          </w:p>
          <w:p w14:paraId="57281A78">
            <w:pPr>
              <w:widowControl/>
              <w:snapToGrid w:val="0"/>
              <w:jc w:val="center"/>
              <w:rPr>
                <w:b/>
                <w:bCs/>
                <w:color w:val="auto"/>
                <w:szCs w:val="21"/>
                <w:u w:val="single"/>
              </w:rPr>
            </w:pPr>
            <w:r>
              <w:rPr>
                <w:b/>
                <w:bCs/>
                <w:color w:val="auto"/>
                <w:szCs w:val="21"/>
                <w:u w:val="single"/>
              </w:rPr>
              <w:t>表2-</w:t>
            </w:r>
            <w:r>
              <w:rPr>
                <w:rFonts w:hint="eastAsia"/>
                <w:b/>
                <w:bCs/>
                <w:color w:val="auto"/>
                <w:szCs w:val="21"/>
                <w:u w:val="single"/>
              </w:rPr>
              <w:t>4</w:t>
            </w:r>
            <w:r>
              <w:rPr>
                <w:b/>
                <w:bCs/>
                <w:color w:val="auto"/>
                <w:szCs w:val="21"/>
                <w:u w:val="single"/>
              </w:rPr>
              <w:t xml:space="preserve">   项目产品一览表</w:t>
            </w:r>
          </w:p>
          <w:tbl>
            <w:tblPr>
              <w:tblStyle w:val="28"/>
              <w:tblW w:w="7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255"/>
              <w:gridCol w:w="1331"/>
              <w:gridCol w:w="4169"/>
            </w:tblGrid>
            <w:tr w14:paraId="200A8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5" w:type="dxa"/>
                  <w:tcBorders>
                    <w:tl2br w:val="nil"/>
                    <w:tr2bl w:val="nil"/>
                  </w:tcBorders>
                  <w:vAlign w:val="center"/>
                </w:tcPr>
                <w:p w14:paraId="388C5119">
                  <w:pPr>
                    <w:adjustRightInd w:val="0"/>
                    <w:jc w:val="center"/>
                    <w:textAlignment w:val="baseline"/>
                    <w:rPr>
                      <w:b/>
                      <w:color w:val="auto"/>
                      <w:kern w:val="0"/>
                      <w:szCs w:val="21"/>
                      <w:u w:val="single"/>
                    </w:rPr>
                  </w:pPr>
                  <w:r>
                    <w:rPr>
                      <w:b/>
                      <w:color w:val="auto"/>
                      <w:kern w:val="0"/>
                      <w:szCs w:val="21"/>
                      <w:u w:val="single"/>
                    </w:rPr>
                    <w:t>序号</w:t>
                  </w:r>
                </w:p>
              </w:tc>
              <w:tc>
                <w:tcPr>
                  <w:tcW w:w="1255" w:type="dxa"/>
                  <w:tcBorders>
                    <w:tl2br w:val="nil"/>
                    <w:tr2bl w:val="nil"/>
                  </w:tcBorders>
                  <w:vAlign w:val="center"/>
                </w:tcPr>
                <w:p w14:paraId="7A100E4F">
                  <w:pPr>
                    <w:adjustRightInd w:val="0"/>
                    <w:jc w:val="center"/>
                    <w:textAlignment w:val="baseline"/>
                    <w:rPr>
                      <w:b/>
                      <w:color w:val="auto"/>
                      <w:kern w:val="0"/>
                      <w:szCs w:val="21"/>
                      <w:u w:val="single"/>
                    </w:rPr>
                  </w:pPr>
                  <w:r>
                    <w:rPr>
                      <w:b/>
                      <w:color w:val="auto"/>
                      <w:kern w:val="0"/>
                      <w:szCs w:val="21"/>
                      <w:u w:val="single"/>
                    </w:rPr>
                    <w:t>产品名称</w:t>
                  </w:r>
                </w:p>
              </w:tc>
              <w:tc>
                <w:tcPr>
                  <w:tcW w:w="1331" w:type="dxa"/>
                  <w:tcBorders>
                    <w:tl2br w:val="nil"/>
                    <w:tr2bl w:val="nil"/>
                  </w:tcBorders>
                  <w:vAlign w:val="center"/>
                </w:tcPr>
                <w:p w14:paraId="5501F1EC">
                  <w:pPr>
                    <w:adjustRightInd w:val="0"/>
                    <w:jc w:val="center"/>
                    <w:textAlignment w:val="baseline"/>
                    <w:rPr>
                      <w:b/>
                      <w:color w:val="auto"/>
                      <w:kern w:val="0"/>
                      <w:szCs w:val="21"/>
                      <w:u w:val="single"/>
                    </w:rPr>
                  </w:pPr>
                  <w:r>
                    <w:rPr>
                      <w:b/>
                      <w:color w:val="auto"/>
                      <w:kern w:val="0"/>
                      <w:szCs w:val="21"/>
                      <w:u w:val="single"/>
                    </w:rPr>
                    <w:t>产量</w:t>
                  </w:r>
                </w:p>
              </w:tc>
              <w:tc>
                <w:tcPr>
                  <w:tcW w:w="4169" w:type="dxa"/>
                  <w:tcBorders>
                    <w:tl2br w:val="nil"/>
                    <w:tr2bl w:val="nil"/>
                  </w:tcBorders>
                  <w:vAlign w:val="center"/>
                </w:tcPr>
                <w:p w14:paraId="46AAC313">
                  <w:pPr>
                    <w:adjustRightInd w:val="0"/>
                    <w:jc w:val="center"/>
                    <w:textAlignment w:val="baseline"/>
                    <w:rPr>
                      <w:b/>
                      <w:color w:val="auto"/>
                      <w:kern w:val="0"/>
                      <w:szCs w:val="21"/>
                      <w:u w:val="single"/>
                    </w:rPr>
                  </w:pPr>
                  <w:r>
                    <w:rPr>
                      <w:b/>
                      <w:color w:val="auto"/>
                      <w:kern w:val="0"/>
                      <w:szCs w:val="21"/>
                      <w:u w:val="single"/>
                    </w:rPr>
                    <w:t>备注</w:t>
                  </w:r>
                </w:p>
              </w:tc>
            </w:tr>
            <w:tr w14:paraId="78F7A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5" w:type="dxa"/>
                  <w:tcBorders>
                    <w:tl2br w:val="nil"/>
                    <w:tr2bl w:val="nil"/>
                  </w:tcBorders>
                  <w:vAlign w:val="center"/>
                </w:tcPr>
                <w:p w14:paraId="5036257A">
                  <w:pPr>
                    <w:adjustRightInd w:val="0"/>
                    <w:jc w:val="center"/>
                    <w:textAlignment w:val="baseline"/>
                    <w:rPr>
                      <w:bCs/>
                      <w:color w:val="auto"/>
                      <w:kern w:val="0"/>
                      <w:szCs w:val="21"/>
                      <w:u w:val="single"/>
                    </w:rPr>
                  </w:pPr>
                  <w:r>
                    <w:rPr>
                      <w:rFonts w:hint="eastAsia"/>
                      <w:bCs/>
                      <w:color w:val="auto"/>
                      <w:kern w:val="0"/>
                      <w:szCs w:val="21"/>
                      <w:u w:val="single"/>
                    </w:rPr>
                    <w:t>1</w:t>
                  </w:r>
                </w:p>
              </w:tc>
              <w:tc>
                <w:tcPr>
                  <w:tcW w:w="1255" w:type="dxa"/>
                  <w:tcBorders>
                    <w:tl2br w:val="nil"/>
                    <w:tr2bl w:val="nil"/>
                  </w:tcBorders>
                  <w:vAlign w:val="center"/>
                </w:tcPr>
                <w:p w14:paraId="4848A66A">
                  <w:pPr>
                    <w:adjustRightInd w:val="0"/>
                    <w:jc w:val="center"/>
                    <w:textAlignment w:val="baseline"/>
                    <w:rPr>
                      <w:bCs/>
                      <w:color w:val="auto"/>
                      <w:kern w:val="0"/>
                      <w:szCs w:val="21"/>
                      <w:u w:val="single"/>
                    </w:rPr>
                  </w:pPr>
                  <w:r>
                    <w:rPr>
                      <w:bCs/>
                      <w:color w:val="auto"/>
                      <w:kern w:val="0"/>
                      <w:szCs w:val="21"/>
                      <w:u w:val="single"/>
                    </w:rPr>
                    <w:t>马口鱼</w:t>
                  </w:r>
                </w:p>
              </w:tc>
              <w:tc>
                <w:tcPr>
                  <w:tcW w:w="1331" w:type="dxa"/>
                  <w:tcBorders>
                    <w:tl2br w:val="nil"/>
                    <w:tr2bl w:val="nil"/>
                  </w:tcBorders>
                  <w:vAlign w:val="center"/>
                </w:tcPr>
                <w:p w14:paraId="26251C55">
                  <w:pPr>
                    <w:adjustRightInd w:val="0"/>
                    <w:jc w:val="center"/>
                    <w:textAlignment w:val="baseline"/>
                    <w:rPr>
                      <w:bCs/>
                      <w:color w:val="auto"/>
                      <w:kern w:val="0"/>
                      <w:szCs w:val="21"/>
                      <w:u w:val="single"/>
                    </w:rPr>
                  </w:pPr>
                  <w:r>
                    <w:rPr>
                      <w:bCs/>
                      <w:color w:val="auto"/>
                      <w:kern w:val="0"/>
                      <w:szCs w:val="21"/>
                      <w:u w:val="single"/>
                    </w:rPr>
                    <w:t>1</w:t>
                  </w:r>
                  <w:r>
                    <w:rPr>
                      <w:rFonts w:hint="eastAsia"/>
                      <w:bCs/>
                      <w:color w:val="auto"/>
                      <w:kern w:val="0"/>
                      <w:szCs w:val="21"/>
                      <w:u w:val="single"/>
                    </w:rPr>
                    <w:t>6</w:t>
                  </w:r>
                  <w:r>
                    <w:rPr>
                      <w:bCs/>
                      <w:color w:val="auto"/>
                      <w:kern w:val="0"/>
                      <w:szCs w:val="21"/>
                      <w:u w:val="single"/>
                    </w:rPr>
                    <w:t>0t/a</w:t>
                  </w:r>
                </w:p>
              </w:tc>
              <w:tc>
                <w:tcPr>
                  <w:tcW w:w="4169" w:type="dxa"/>
                  <w:tcBorders>
                    <w:tl2br w:val="nil"/>
                    <w:tr2bl w:val="nil"/>
                  </w:tcBorders>
                  <w:vAlign w:val="center"/>
                </w:tcPr>
                <w:p w14:paraId="78BCAAF6">
                  <w:pPr>
                    <w:adjustRightInd w:val="0"/>
                    <w:jc w:val="center"/>
                    <w:textAlignment w:val="baseline"/>
                    <w:rPr>
                      <w:bCs/>
                      <w:color w:val="auto"/>
                      <w:kern w:val="0"/>
                      <w:szCs w:val="21"/>
                      <w:u w:val="single"/>
                    </w:rPr>
                  </w:pPr>
                  <w:r>
                    <w:rPr>
                      <w:rFonts w:hint="eastAsia"/>
                      <w:bCs/>
                      <w:color w:val="auto"/>
                      <w:kern w:val="0"/>
                      <w:szCs w:val="21"/>
                      <w:u w:val="single"/>
                    </w:rPr>
                    <w:t>其中约20t由候鸟自行捕食，其余140t外售</w:t>
                  </w:r>
                </w:p>
              </w:tc>
            </w:tr>
            <w:tr w14:paraId="3F4AC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5" w:type="dxa"/>
                  <w:tcBorders>
                    <w:tl2br w:val="nil"/>
                    <w:tr2bl w:val="nil"/>
                  </w:tcBorders>
                  <w:vAlign w:val="center"/>
                </w:tcPr>
                <w:p w14:paraId="4FE22814">
                  <w:pPr>
                    <w:adjustRightInd w:val="0"/>
                    <w:jc w:val="center"/>
                    <w:textAlignment w:val="baseline"/>
                    <w:rPr>
                      <w:bCs/>
                      <w:color w:val="auto"/>
                      <w:kern w:val="0"/>
                      <w:szCs w:val="21"/>
                      <w:u w:val="single"/>
                    </w:rPr>
                  </w:pPr>
                  <w:r>
                    <w:rPr>
                      <w:rFonts w:hint="eastAsia"/>
                      <w:bCs/>
                      <w:color w:val="auto"/>
                      <w:kern w:val="0"/>
                      <w:szCs w:val="21"/>
                      <w:u w:val="single"/>
                    </w:rPr>
                    <w:t>2</w:t>
                  </w:r>
                </w:p>
              </w:tc>
              <w:tc>
                <w:tcPr>
                  <w:tcW w:w="1255" w:type="dxa"/>
                  <w:tcBorders>
                    <w:tl2br w:val="nil"/>
                    <w:tr2bl w:val="nil"/>
                  </w:tcBorders>
                  <w:vAlign w:val="center"/>
                </w:tcPr>
                <w:p w14:paraId="322858DD">
                  <w:pPr>
                    <w:adjustRightInd w:val="0"/>
                    <w:jc w:val="center"/>
                    <w:textAlignment w:val="baseline"/>
                    <w:rPr>
                      <w:bCs/>
                      <w:color w:val="auto"/>
                      <w:kern w:val="0"/>
                      <w:szCs w:val="21"/>
                      <w:u w:val="single"/>
                    </w:rPr>
                  </w:pPr>
                  <w:r>
                    <w:rPr>
                      <w:rFonts w:hint="eastAsia"/>
                      <w:bCs/>
                      <w:color w:val="auto"/>
                      <w:kern w:val="0"/>
                      <w:szCs w:val="21"/>
                      <w:u w:val="single"/>
                    </w:rPr>
                    <w:t>观赏鱼</w:t>
                  </w:r>
                </w:p>
              </w:tc>
              <w:tc>
                <w:tcPr>
                  <w:tcW w:w="1331" w:type="dxa"/>
                  <w:tcBorders>
                    <w:tl2br w:val="nil"/>
                    <w:tr2bl w:val="nil"/>
                  </w:tcBorders>
                  <w:vAlign w:val="center"/>
                </w:tcPr>
                <w:p w14:paraId="50E5E8B5">
                  <w:pPr>
                    <w:adjustRightInd w:val="0"/>
                    <w:jc w:val="center"/>
                    <w:textAlignment w:val="baseline"/>
                    <w:rPr>
                      <w:bCs/>
                      <w:color w:val="auto"/>
                      <w:kern w:val="0"/>
                      <w:szCs w:val="21"/>
                      <w:u w:val="single"/>
                    </w:rPr>
                  </w:pPr>
                  <w:r>
                    <w:rPr>
                      <w:rFonts w:hint="eastAsia"/>
                      <w:bCs/>
                      <w:color w:val="auto"/>
                      <w:kern w:val="0"/>
                      <w:szCs w:val="21"/>
                      <w:u w:val="single"/>
                    </w:rPr>
                    <w:t>1.5</w:t>
                  </w:r>
                  <w:r>
                    <w:rPr>
                      <w:bCs/>
                      <w:color w:val="auto"/>
                      <w:kern w:val="0"/>
                      <w:szCs w:val="21"/>
                      <w:u w:val="single"/>
                    </w:rPr>
                    <w:t>t/a</w:t>
                  </w:r>
                </w:p>
              </w:tc>
              <w:tc>
                <w:tcPr>
                  <w:tcW w:w="4169" w:type="dxa"/>
                  <w:tcBorders>
                    <w:tl2br w:val="nil"/>
                    <w:tr2bl w:val="nil"/>
                  </w:tcBorders>
                  <w:vAlign w:val="center"/>
                </w:tcPr>
                <w:p w14:paraId="1F1D3A1A">
                  <w:pPr>
                    <w:adjustRightInd w:val="0"/>
                    <w:jc w:val="center"/>
                    <w:textAlignment w:val="baseline"/>
                    <w:rPr>
                      <w:bCs/>
                      <w:color w:val="auto"/>
                      <w:kern w:val="0"/>
                      <w:szCs w:val="21"/>
                      <w:u w:val="single"/>
                    </w:rPr>
                  </w:pPr>
                  <w:r>
                    <w:rPr>
                      <w:rFonts w:hint="eastAsia"/>
                      <w:bCs/>
                      <w:color w:val="auto"/>
                      <w:kern w:val="0"/>
                      <w:szCs w:val="21"/>
                      <w:u w:val="single"/>
                    </w:rPr>
                    <w:t>/</w:t>
                  </w:r>
                </w:p>
              </w:tc>
            </w:tr>
          </w:tbl>
          <w:p w14:paraId="3220E827">
            <w:pPr>
              <w:adjustRightInd w:val="0"/>
              <w:snapToGrid w:val="0"/>
              <w:spacing w:line="360" w:lineRule="auto"/>
              <w:ind w:firstLine="482" w:firstLineChars="200"/>
              <w:rPr>
                <w:b/>
                <w:bCs/>
                <w:color w:val="auto"/>
                <w:sz w:val="24"/>
              </w:rPr>
            </w:pPr>
            <w:r>
              <w:rPr>
                <w:rFonts w:hint="eastAsia"/>
                <w:b/>
                <w:bCs/>
                <w:color w:val="auto"/>
                <w:sz w:val="24"/>
              </w:rPr>
              <w:t>2.6公用工程</w:t>
            </w:r>
          </w:p>
          <w:p w14:paraId="3376EF4B">
            <w:pPr>
              <w:autoSpaceDE w:val="0"/>
              <w:autoSpaceDN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（1）给水</w:t>
            </w:r>
            <w:r>
              <w:rPr>
                <w:b/>
                <w:bCs/>
                <w:color w:val="auto"/>
                <w:kern w:val="0"/>
                <w:sz w:val="24"/>
              </w:rPr>
              <w:t>系统</w:t>
            </w:r>
          </w:p>
          <w:p w14:paraId="74C6E2E4">
            <w:pPr>
              <w:autoSpaceDE w:val="0"/>
              <w:autoSpaceDN w:val="0"/>
              <w:spacing w:line="360" w:lineRule="auto"/>
              <w:ind w:firstLine="480" w:firstLineChars="200"/>
              <w:rPr>
                <w:color w:val="auto"/>
                <w:sz w:val="24"/>
              </w:rPr>
            </w:pPr>
            <w:r>
              <w:rPr>
                <w:rFonts w:hint="eastAsia"/>
                <w:color w:val="auto"/>
                <w:kern w:val="0"/>
                <w:sz w:val="24"/>
                <w:lang w:bidi="ar"/>
              </w:rPr>
              <w:t>①</w:t>
            </w:r>
            <w:r>
              <w:rPr>
                <w:color w:val="auto"/>
                <w:kern w:val="0"/>
                <w:sz w:val="24"/>
                <w:lang w:bidi="ar"/>
              </w:rPr>
              <w:t>养殖用</w:t>
            </w:r>
            <w:r>
              <w:rPr>
                <w:color w:val="auto"/>
                <w:sz w:val="24"/>
              </w:rPr>
              <w:t>水：马口鱼</w:t>
            </w:r>
            <w:r>
              <w:rPr>
                <w:rFonts w:hint="eastAsia"/>
                <w:color w:val="auto"/>
                <w:sz w:val="24"/>
              </w:rPr>
              <w:t>及观赏鱼</w:t>
            </w:r>
            <w:r>
              <w:rPr>
                <w:color w:val="auto"/>
                <w:sz w:val="24"/>
              </w:rPr>
              <w:t>养殖环节的供水来源为采桑湖，通过专用输水设施将湖水引入养殖场区，以满足养殖过程中的用水需求。</w:t>
            </w:r>
          </w:p>
          <w:p w14:paraId="0CFB2C15">
            <w:pPr>
              <w:autoSpaceDE w:val="0"/>
              <w:autoSpaceDN w:val="0"/>
              <w:spacing w:line="360" w:lineRule="auto"/>
              <w:ind w:firstLine="480" w:firstLineChars="200"/>
              <w:rPr>
                <w:color w:val="auto"/>
                <w:kern w:val="0"/>
                <w:sz w:val="24"/>
                <w:lang w:bidi="ar"/>
              </w:rPr>
            </w:pPr>
            <w:r>
              <w:rPr>
                <w:rFonts w:hint="eastAsia"/>
                <w:color w:val="auto"/>
                <w:kern w:val="0"/>
                <w:sz w:val="24"/>
                <w:lang w:bidi="ar"/>
              </w:rPr>
              <w:t>本项目共设置马口鱼圈养桶80个、观赏鱼养殖桶12个，所用圈养桶材质为PE（聚乙烯）。马口鱼单个圈养桶高度为4m，直径为6m，其下部（桶底向上0.8m处）采用锥形结构设计，根据设计资料可知，单个圈养桶的最大装水量为98m</w:t>
            </w:r>
            <w:r>
              <w:rPr>
                <w:rFonts w:hint="eastAsia"/>
                <w:color w:val="auto"/>
                <w:kern w:val="0"/>
                <w:sz w:val="24"/>
                <w:vertAlign w:val="superscript"/>
                <w:lang w:bidi="ar"/>
              </w:rPr>
              <w:t>3</w:t>
            </w:r>
            <w:r>
              <w:rPr>
                <w:rFonts w:hint="eastAsia"/>
                <w:color w:val="auto"/>
                <w:kern w:val="0"/>
                <w:sz w:val="24"/>
                <w:lang w:bidi="ar"/>
              </w:rPr>
              <w:t>；观赏鱼养殖桶高4m，直径3m，其下部（桶底向上0.8m处）采用锥形结构设计，单个圈养桶的最大装水量为24.5m</w:t>
            </w:r>
            <w:r>
              <w:rPr>
                <w:rFonts w:hint="eastAsia"/>
                <w:color w:val="auto"/>
                <w:kern w:val="0"/>
                <w:sz w:val="24"/>
                <w:vertAlign w:val="superscript"/>
                <w:lang w:bidi="ar"/>
              </w:rPr>
              <w:t>3</w:t>
            </w:r>
            <w:r>
              <w:rPr>
                <w:rFonts w:hint="eastAsia"/>
                <w:color w:val="auto"/>
                <w:kern w:val="0"/>
                <w:sz w:val="24"/>
                <w:lang w:bidi="ar"/>
              </w:rPr>
              <w:t>。</w:t>
            </w:r>
          </w:p>
          <w:p w14:paraId="1AD6E0CC">
            <w:pPr>
              <w:autoSpaceDE w:val="0"/>
              <w:autoSpaceDN w:val="0"/>
              <w:spacing w:line="360" w:lineRule="auto"/>
              <w:ind w:firstLine="480" w:firstLineChars="200"/>
              <w:rPr>
                <w:color w:val="auto"/>
                <w:kern w:val="0"/>
                <w:sz w:val="24"/>
                <w:lang w:bidi="ar"/>
              </w:rPr>
            </w:pPr>
            <w:r>
              <w:rPr>
                <w:rFonts w:hint="eastAsia"/>
                <w:color w:val="auto"/>
                <w:kern w:val="0"/>
                <w:sz w:val="24"/>
                <w:lang w:bidi="ar"/>
              </w:rPr>
              <w:t>在实际养殖作业中，为预留充足空间以防止水体溢出，并保障鱼类正常活动，装水量一般控制在总容积的80%，据此计算，马口鱼单个圈养桶实际装水量约为78.4m</w:t>
            </w:r>
            <w:r>
              <w:rPr>
                <w:rFonts w:hint="eastAsia"/>
                <w:color w:val="auto"/>
                <w:kern w:val="0"/>
                <w:sz w:val="24"/>
                <w:vertAlign w:val="superscript"/>
                <w:lang w:bidi="ar"/>
              </w:rPr>
              <w:t>3</w:t>
            </w:r>
            <w:r>
              <w:rPr>
                <w:rFonts w:hint="eastAsia"/>
                <w:color w:val="auto"/>
                <w:kern w:val="0"/>
                <w:sz w:val="24"/>
                <w:lang w:bidi="ar"/>
              </w:rPr>
              <w:t>，观赏鱼单个养殖桶实际装水量约为19.6m</w:t>
            </w:r>
            <w:r>
              <w:rPr>
                <w:rFonts w:hint="eastAsia"/>
                <w:color w:val="auto"/>
                <w:kern w:val="0"/>
                <w:sz w:val="24"/>
                <w:vertAlign w:val="superscript"/>
                <w:lang w:bidi="ar"/>
              </w:rPr>
              <w:t>3</w:t>
            </w:r>
            <w:r>
              <w:rPr>
                <w:rFonts w:hint="eastAsia"/>
                <w:color w:val="auto"/>
                <w:kern w:val="0"/>
                <w:sz w:val="24"/>
                <w:lang w:bidi="ar"/>
              </w:rPr>
              <w:t>。</w:t>
            </w:r>
          </w:p>
          <w:p w14:paraId="407AAA4E">
            <w:pPr>
              <w:autoSpaceDE w:val="0"/>
              <w:autoSpaceDN w:val="0"/>
              <w:spacing w:line="360" w:lineRule="auto"/>
              <w:ind w:firstLine="480" w:firstLineChars="200"/>
              <w:rPr>
                <w:color w:val="auto"/>
                <w:kern w:val="0"/>
                <w:sz w:val="24"/>
                <w:lang w:bidi="ar"/>
              </w:rPr>
            </w:pPr>
            <w:r>
              <w:rPr>
                <w:rFonts w:hint="eastAsia"/>
                <w:color w:val="auto"/>
                <w:sz w:val="24"/>
              </w:rPr>
              <w:t>根据计算，养殖过程92个桶共计装水量为6507.2</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，依据项目业主提供的数据，为保障养殖水体清洁度、降低养殖产品泥腥味，进而提升产品品质，圈养桶内养殖水预计需每周抽排1次，将所有水抽出后，通过净化再回用至圈养桶。全年更换水量338374.4m</w:t>
            </w:r>
            <w:r>
              <w:rPr>
                <w:rFonts w:hint="eastAsia"/>
                <w:color w:val="auto"/>
                <w:kern w:val="0"/>
                <w:sz w:val="24"/>
                <w:vertAlign w:val="superscript"/>
                <w:lang w:bidi="ar"/>
              </w:rPr>
              <w:t>3</w:t>
            </w:r>
            <w:r>
              <w:rPr>
                <w:rFonts w:hint="eastAsia"/>
                <w:color w:val="auto"/>
                <w:kern w:val="0"/>
                <w:sz w:val="24"/>
                <w:lang w:bidi="ar"/>
              </w:rPr>
              <w:t>。</w:t>
            </w:r>
          </w:p>
          <w:p w14:paraId="3CE45504">
            <w:pPr>
              <w:autoSpaceDE w:val="0"/>
              <w:autoSpaceDN w:val="0"/>
              <w:spacing w:line="360" w:lineRule="auto"/>
              <w:ind w:firstLine="480" w:firstLineChars="200"/>
              <w:rPr>
                <w:color w:val="auto"/>
                <w:sz w:val="24"/>
              </w:rPr>
            </w:pPr>
            <w:r>
              <w:rPr>
                <w:rFonts w:hint="eastAsia"/>
                <w:color w:val="auto"/>
                <w:kern w:val="0"/>
                <w:sz w:val="24"/>
                <w:lang w:bidi="ar"/>
              </w:rPr>
              <w:t>在圈养桶养殖过程预计有1%的水量损耗（包括自然蒸发、排污携带、人工捕捞携带等），预计单次抽排后需补充水量65.07m</w:t>
            </w:r>
            <w:r>
              <w:rPr>
                <w:rFonts w:hint="eastAsia"/>
                <w:color w:val="auto"/>
                <w:kern w:val="0"/>
                <w:sz w:val="24"/>
                <w:vertAlign w:val="superscript"/>
                <w:lang w:bidi="ar"/>
              </w:rPr>
              <w:t>3</w:t>
            </w:r>
            <w:r>
              <w:rPr>
                <w:rFonts w:hint="eastAsia"/>
                <w:color w:val="auto"/>
                <w:kern w:val="0"/>
                <w:sz w:val="24"/>
                <w:lang w:bidi="ar"/>
              </w:rPr>
              <w:t>/周，年补充水量3383.64m</w:t>
            </w:r>
            <w:r>
              <w:rPr>
                <w:rFonts w:hint="eastAsia"/>
                <w:color w:val="auto"/>
                <w:kern w:val="0"/>
                <w:sz w:val="24"/>
                <w:vertAlign w:val="superscript"/>
                <w:lang w:bidi="ar"/>
              </w:rPr>
              <w:t>3</w:t>
            </w:r>
            <w:r>
              <w:rPr>
                <w:rFonts w:hint="eastAsia"/>
                <w:color w:val="auto"/>
                <w:kern w:val="0"/>
                <w:sz w:val="24"/>
                <w:lang w:bidi="ar"/>
              </w:rPr>
              <w:t>，根据后续水平衡及污染源强计算，预计循环水量为334990.76m</w:t>
            </w:r>
            <w:r>
              <w:rPr>
                <w:rFonts w:hint="eastAsia"/>
                <w:color w:val="auto"/>
                <w:kern w:val="0"/>
                <w:sz w:val="24"/>
                <w:vertAlign w:val="superscript"/>
                <w:lang w:bidi="ar"/>
              </w:rPr>
              <w:t>3</w:t>
            </w:r>
            <w:r>
              <w:rPr>
                <w:rFonts w:hint="eastAsia"/>
                <w:color w:val="auto"/>
                <w:kern w:val="0"/>
                <w:sz w:val="24"/>
                <w:lang w:bidi="ar"/>
              </w:rPr>
              <w:t>/年。</w:t>
            </w:r>
          </w:p>
          <w:p w14:paraId="1E9E5CC3">
            <w:pPr>
              <w:autoSpaceDE w:val="0"/>
              <w:autoSpaceDN w:val="0"/>
              <w:spacing w:line="360" w:lineRule="auto"/>
              <w:ind w:firstLine="480" w:firstLineChars="200"/>
              <w:rPr>
                <w:color w:val="auto"/>
                <w:sz w:val="24"/>
              </w:rPr>
            </w:pPr>
            <w:r>
              <w:rPr>
                <w:rFonts w:hint="eastAsia"/>
                <w:color w:val="auto"/>
                <w:kern w:val="0"/>
                <w:sz w:val="24"/>
                <w:lang w:bidi="ar"/>
              </w:rPr>
              <w:t>②</w:t>
            </w:r>
            <w:r>
              <w:rPr>
                <w:color w:val="auto"/>
                <w:kern w:val="0"/>
                <w:sz w:val="24"/>
                <w:lang w:bidi="ar"/>
              </w:rPr>
              <w:t>生活用水</w:t>
            </w:r>
            <w:r>
              <w:rPr>
                <w:rFonts w:hint="eastAsia"/>
                <w:color w:val="auto"/>
                <w:sz w:val="24"/>
              </w:rPr>
              <w:t>：</w:t>
            </w:r>
            <w:r>
              <w:rPr>
                <w:color w:val="auto"/>
                <w:sz w:val="24"/>
              </w:rPr>
              <w:t>项目职工人数为3人，不</w:t>
            </w:r>
            <w:r>
              <w:rPr>
                <w:rFonts w:hint="eastAsia"/>
                <w:color w:val="auto"/>
                <w:sz w:val="24"/>
              </w:rPr>
              <w:t>在项目区</w:t>
            </w:r>
            <w:r>
              <w:rPr>
                <w:color w:val="auto"/>
                <w:sz w:val="24"/>
              </w:rPr>
              <w:t>食宿，按照《湖南省用水定额》（DB43/T388-202</w:t>
            </w:r>
            <w:r>
              <w:rPr>
                <w:rFonts w:hint="eastAsia"/>
                <w:color w:val="auto"/>
                <w:sz w:val="24"/>
              </w:rPr>
              <w:t>5</w:t>
            </w:r>
            <w:r>
              <w:rPr>
                <w:color w:val="auto"/>
                <w:sz w:val="24"/>
              </w:rPr>
              <w:t>）</w:t>
            </w:r>
            <w:r>
              <w:rPr>
                <w:rFonts w:hint="eastAsia"/>
                <w:color w:val="auto"/>
                <w:sz w:val="24"/>
              </w:rPr>
              <w:t>中</w:t>
            </w:r>
            <w:r>
              <w:rPr>
                <w:color w:val="auto"/>
                <w:sz w:val="24"/>
              </w:rPr>
              <w:t>38m³/人·a计，则本项目生活用水量为0.316m³/d（11</w:t>
            </w:r>
            <w:r>
              <w:rPr>
                <w:rFonts w:hint="eastAsia"/>
                <w:color w:val="auto"/>
                <w:sz w:val="24"/>
              </w:rPr>
              <w:t>3.76</w:t>
            </w:r>
            <w:r>
              <w:rPr>
                <w:color w:val="auto"/>
                <w:sz w:val="24"/>
              </w:rPr>
              <w:t>m³/a）。</w:t>
            </w:r>
          </w:p>
          <w:p w14:paraId="3C59644E">
            <w:pPr>
              <w:autoSpaceDE w:val="0"/>
              <w:autoSpaceDN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（2）排水</w:t>
            </w:r>
            <w:r>
              <w:rPr>
                <w:b/>
                <w:bCs/>
                <w:color w:val="auto"/>
                <w:kern w:val="0"/>
                <w:sz w:val="24"/>
              </w:rPr>
              <w:t>系统</w:t>
            </w:r>
          </w:p>
          <w:p w14:paraId="4C69D868">
            <w:pPr>
              <w:pStyle w:val="21"/>
              <w:autoSpaceDE w:val="0"/>
              <w:autoSpaceDN w:val="0"/>
              <w:spacing w:line="360" w:lineRule="auto"/>
              <w:ind w:left="0" w:leftChars="0" w:firstLine="480" w:firstLineChars="200"/>
              <w:rPr>
                <w:color w:val="auto"/>
                <w:sz w:val="24"/>
              </w:rPr>
            </w:pPr>
            <w:r>
              <w:rPr>
                <w:rFonts w:hint="eastAsia"/>
                <w:color w:val="auto"/>
                <w:sz w:val="24"/>
              </w:rPr>
              <w:t>本项目拟针对抽排出的养殖废水配套建设尾水罐及人工湿地，马口鱼</w:t>
            </w:r>
            <w:r>
              <w:rPr>
                <w:color w:val="auto"/>
                <w:sz w:val="24"/>
              </w:rPr>
              <w:t>养殖过程中产生的黑水，经专用尾水管道输送至尾水</w:t>
            </w:r>
            <w:r>
              <w:rPr>
                <w:rFonts w:hint="eastAsia"/>
                <w:color w:val="auto"/>
                <w:sz w:val="24"/>
              </w:rPr>
              <w:t>罐</w:t>
            </w:r>
            <w:r>
              <w:rPr>
                <w:color w:val="auto"/>
                <w:sz w:val="24"/>
              </w:rPr>
              <w:t>，通过沉淀工艺分离出淤泥；沉淀后形成的上清液，排入人工湿地进行深度净化处理，处理达标后回用于圈养桶。</w:t>
            </w:r>
          </w:p>
          <w:p w14:paraId="139FDFFB">
            <w:pPr>
              <w:pStyle w:val="21"/>
              <w:autoSpaceDE w:val="0"/>
              <w:autoSpaceDN w:val="0"/>
              <w:spacing w:line="360" w:lineRule="auto"/>
              <w:ind w:left="0" w:leftChars="0" w:firstLine="480" w:firstLineChars="200"/>
              <w:rPr>
                <w:color w:val="auto"/>
                <w:sz w:val="24"/>
              </w:rPr>
            </w:pPr>
            <w:r>
              <w:rPr>
                <w:rFonts w:hint="eastAsia"/>
                <w:color w:val="auto"/>
                <w:sz w:val="24"/>
              </w:rPr>
              <w:t>本项目拟针对养殖过程中抽排的废水配套建设尾水罐与人工湿地处理系统。马口鱼圈养桶抽排过程前5分钟产生的养殖黑水，将通过专用尾水输送管道导入尾水罐，依托沉淀工艺实现固液分离，分离出的淤泥将进行集中收集处置；经沉淀处理后形成的上清液，将被输送至人工湿地进行深度净化处理，待水质指标符合养殖用水标准后回用于圈养桶循环使用，以实现水资源的高效利用与养殖废水的零外排目标。观赏鱼</w:t>
            </w:r>
            <w:r>
              <w:rPr>
                <w:color w:val="auto"/>
                <w:sz w:val="24"/>
              </w:rPr>
              <w:t>养殖桶下方有孔与人工湿地相连，采用流动水养殖，</w:t>
            </w:r>
            <w:r>
              <w:rPr>
                <w:rFonts w:hint="eastAsia"/>
                <w:color w:val="auto"/>
                <w:sz w:val="24"/>
              </w:rPr>
              <w:t>不产生养殖黑水。</w:t>
            </w:r>
          </w:p>
          <w:p w14:paraId="77605D9F">
            <w:pPr>
              <w:spacing w:line="360" w:lineRule="auto"/>
              <w:ind w:firstLine="480" w:firstLineChars="200"/>
              <w:rPr>
                <w:color w:val="auto"/>
                <w:sz w:val="24"/>
              </w:rPr>
            </w:pPr>
            <w:r>
              <w:rPr>
                <w:rFonts w:hint="eastAsia"/>
                <w:color w:val="auto"/>
                <w:sz w:val="24"/>
              </w:rPr>
              <w:t>马口鱼后续（除前5分钟）抽排的养殖尾水以及</w:t>
            </w:r>
            <w:r>
              <w:rPr>
                <w:color w:val="auto"/>
                <w:sz w:val="24"/>
              </w:rPr>
              <w:t>观赏鱼</w:t>
            </w:r>
            <w:r>
              <w:rPr>
                <w:rFonts w:hint="eastAsia"/>
                <w:color w:val="auto"/>
                <w:sz w:val="24"/>
              </w:rPr>
              <w:t>全部尾水，将直接进入</w:t>
            </w:r>
            <w:r>
              <w:rPr>
                <w:color w:val="auto"/>
                <w:sz w:val="24"/>
              </w:rPr>
              <w:t>人工湿地处理，</w:t>
            </w:r>
            <w:r>
              <w:rPr>
                <w:rFonts w:hint="eastAsia"/>
                <w:color w:val="auto"/>
                <w:sz w:val="24"/>
              </w:rPr>
              <w:t>待水质指标符合养殖用水标准后回用于圈养桶循环使用。</w:t>
            </w:r>
          </w:p>
          <w:p w14:paraId="46F49ADE">
            <w:pPr>
              <w:autoSpaceDE w:val="0"/>
              <w:autoSpaceDN w:val="0"/>
              <w:spacing w:line="360" w:lineRule="auto"/>
              <w:ind w:firstLine="480" w:firstLineChars="200"/>
              <w:rPr>
                <w:color w:val="auto"/>
              </w:rPr>
            </w:pPr>
            <w:r>
              <w:rPr>
                <w:color w:val="auto"/>
                <w:sz w:val="24"/>
              </w:rPr>
              <w:t>项目生活污水产生量0.253m³/d（91.2m³/a），污水</w:t>
            </w:r>
            <w:r>
              <w:rPr>
                <w:rFonts w:hint="eastAsia"/>
                <w:color w:val="auto"/>
                <w:sz w:val="24"/>
              </w:rPr>
              <w:t>通过</w:t>
            </w:r>
            <w:r>
              <w:rPr>
                <w:color w:val="auto"/>
                <w:sz w:val="24"/>
              </w:rPr>
              <w:t>化粪池预处理后用于周边农田浇灌。</w:t>
            </w:r>
          </w:p>
          <w:p w14:paraId="30E60519">
            <w:pPr>
              <w:pStyle w:val="5"/>
              <w:rPr>
                <w:color w:val="auto"/>
              </w:rPr>
            </w:pPr>
            <w:r>
              <w:rPr>
                <w:color w:val="auto"/>
              </w:rPr>
              <w:t>项目水平衡图</w:t>
            </w:r>
            <w:r>
              <w:rPr>
                <w:rFonts w:hint="eastAsia"/>
                <w:color w:val="auto"/>
              </w:rPr>
              <w:t>：</w:t>
            </w:r>
          </w:p>
          <w:p w14:paraId="035E70BE">
            <w:pPr>
              <w:pStyle w:val="6"/>
              <w:rPr>
                <w:rFonts w:hint="eastAsia" w:ascii="宋体" w:hAnsi="宋体" w:cs="宋体"/>
                <w:color w:val="auto"/>
                <w:szCs w:val="24"/>
                <w:u w:val="single"/>
              </w:rPr>
            </w:pPr>
            <w:r>
              <w:rPr>
                <w:color w:val="auto"/>
                <w:u w:val="single"/>
              </w:rPr>
              <w:object>
                <v:shape id="_x0000_i1025" o:spt="75" type="#_x0000_t75" style="height:180pt;width:369pt;" o:ole="t" filled="f" o:preferrelative="t" stroked="f" coordsize="21600,21600">
                  <v:path/>
                  <v:fill on="f" focussize="0,0"/>
                  <v:stroke on="f" joinstyle="miter"/>
                  <v:imagedata r:id="rId39" o:title=""/>
                  <o:lock v:ext="edit" aspectratio="f"/>
                  <w10:wrap type="none"/>
                  <w10:anchorlock/>
                </v:shape>
                <o:OLEObject Type="Embed" ProgID="Visio.Drawing.11" ShapeID="_x0000_i1025" DrawAspect="Content" ObjectID="_1468075725" r:id="rId38">
                  <o:LockedField>false</o:LockedField>
                </o:OLEObject>
              </w:object>
            </w:r>
          </w:p>
          <w:p w14:paraId="5917E8A3">
            <w:pPr>
              <w:jc w:val="center"/>
              <w:rPr>
                <w:rFonts w:hint="eastAsia" w:ascii="宋体" w:hAnsi="宋体" w:cs="宋体"/>
                <w:b/>
                <w:color w:val="auto"/>
                <w:szCs w:val="21"/>
                <w:u w:val="single"/>
              </w:rPr>
            </w:pPr>
            <w:r>
              <w:rPr>
                <w:rFonts w:hint="eastAsia"/>
                <w:b/>
                <w:color w:val="auto"/>
                <w:szCs w:val="21"/>
                <w:u w:val="single"/>
              </w:rPr>
              <w:t>图2-1   水平衡图（m³/a）</w:t>
            </w:r>
          </w:p>
          <w:p w14:paraId="0544973A">
            <w:pPr>
              <w:adjustRightInd w:val="0"/>
              <w:snapToGrid w:val="0"/>
              <w:spacing w:line="360" w:lineRule="auto"/>
              <w:ind w:firstLine="482" w:firstLineChars="200"/>
              <w:rPr>
                <w:b/>
                <w:bCs/>
                <w:color w:val="auto"/>
                <w:sz w:val="24"/>
              </w:rPr>
            </w:pPr>
            <w:r>
              <w:rPr>
                <w:rFonts w:hint="eastAsia"/>
                <w:b/>
                <w:bCs/>
                <w:color w:val="auto"/>
                <w:sz w:val="24"/>
              </w:rPr>
              <w:t>（3）供电</w:t>
            </w:r>
            <w:r>
              <w:rPr>
                <w:b/>
                <w:bCs/>
                <w:color w:val="auto"/>
                <w:kern w:val="0"/>
                <w:sz w:val="24"/>
              </w:rPr>
              <w:t>系统</w:t>
            </w:r>
          </w:p>
          <w:p w14:paraId="336A2FAA">
            <w:pPr>
              <w:adjustRightInd w:val="0"/>
              <w:snapToGrid w:val="0"/>
              <w:spacing w:line="360" w:lineRule="auto"/>
              <w:ind w:firstLine="480" w:firstLineChars="200"/>
              <w:rPr>
                <w:color w:val="auto"/>
                <w:sz w:val="24"/>
              </w:rPr>
            </w:pPr>
            <w:r>
              <w:rPr>
                <w:rFonts w:hint="eastAsia"/>
                <w:color w:val="auto"/>
                <w:sz w:val="24"/>
              </w:rPr>
              <w:t>项目区设置变压器，变压器采用箱式变压器，低压及高压电缆为电缆排管内敷设，管材采用高强度双壁波纹管。室外敷设电缆均采用YJY22型，单芯电缆除外，线路穿越道路时穿钢管保护，埋深道路下0.8米。</w:t>
            </w:r>
          </w:p>
          <w:p w14:paraId="0BB34AF4">
            <w:pPr>
              <w:adjustRightInd w:val="0"/>
              <w:snapToGrid w:val="0"/>
              <w:spacing w:line="360" w:lineRule="auto"/>
              <w:ind w:firstLine="480" w:firstLineChars="200"/>
              <w:rPr>
                <w:color w:val="auto"/>
                <w:sz w:val="24"/>
              </w:rPr>
            </w:pPr>
            <w:r>
              <w:rPr>
                <w:rFonts w:hint="eastAsia"/>
                <w:color w:val="auto"/>
                <w:sz w:val="24"/>
              </w:rPr>
              <w:t>另外为防止出现无电的情况下，增氧系统无法为圈养桶鱼提供氧气，导致养殖产生风险，计划在管理用房配备一台300KW柴油发电机。</w:t>
            </w:r>
          </w:p>
          <w:p w14:paraId="784F1CF9">
            <w:pPr>
              <w:widowControl/>
              <w:spacing w:line="360" w:lineRule="auto"/>
              <w:ind w:firstLine="482" w:firstLineChars="200"/>
              <w:rPr>
                <w:b/>
                <w:bCs/>
                <w:color w:val="auto"/>
                <w:kern w:val="0"/>
                <w:sz w:val="24"/>
              </w:rPr>
            </w:pPr>
            <w:r>
              <w:rPr>
                <w:rFonts w:hint="eastAsia"/>
                <w:b/>
                <w:bCs/>
                <w:color w:val="auto"/>
                <w:kern w:val="0"/>
                <w:sz w:val="24"/>
              </w:rPr>
              <w:t>（4）</w:t>
            </w:r>
            <w:r>
              <w:rPr>
                <w:b/>
                <w:bCs/>
                <w:color w:val="auto"/>
                <w:kern w:val="0"/>
                <w:sz w:val="24"/>
              </w:rPr>
              <w:t>养殖、捕捞系统</w:t>
            </w:r>
          </w:p>
          <w:p w14:paraId="0E176E5A">
            <w:pPr>
              <w:widowControl/>
              <w:spacing w:line="360" w:lineRule="auto"/>
              <w:ind w:firstLine="480" w:firstLineChars="200"/>
              <w:rPr>
                <w:color w:val="auto"/>
                <w:kern w:val="0"/>
                <w:sz w:val="24"/>
              </w:rPr>
            </w:pPr>
            <w:r>
              <w:rPr>
                <w:rFonts w:hint="eastAsia"/>
                <w:color w:val="auto"/>
                <w:kern w:val="0"/>
                <w:sz w:val="24"/>
              </w:rPr>
              <w:t>为有效规避养殖鱼类聚集扎堆及局部水域缺氧等问题，圈养桶内部均配置固定式防逃网与活动式捕捞网隔等专业设施。当需要进行分级作业或捕捞操作时，仅需升起捕捞网隔，即可实现便捷化起捕流程。在常规作业场景下，该捕捞流程仅需两名工作人员即可完成，劳动力成本节约效果显著。后续待集成吸鱼泵技术装备后，可进一步实现捕捞作业的机械化运作，提升整体养殖生产效率。</w:t>
            </w:r>
          </w:p>
          <w:p w14:paraId="33F129C5">
            <w:pPr>
              <w:widowControl/>
              <w:spacing w:line="360" w:lineRule="auto"/>
              <w:ind w:firstLine="482" w:firstLineChars="200"/>
              <w:rPr>
                <w:b/>
                <w:bCs/>
                <w:color w:val="auto"/>
                <w:kern w:val="0"/>
                <w:sz w:val="24"/>
              </w:rPr>
            </w:pPr>
            <w:r>
              <w:rPr>
                <w:rFonts w:hint="eastAsia"/>
                <w:b/>
                <w:bCs/>
                <w:color w:val="auto"/>
                <w:kern w:val="0"/>
                <w:sz w:val="24"/>
              </w:rPr>
              <w:t>（5）</w:t>
            </w:r>
            <w:r>
              <w:rPr>
                <w:b/>
                <w:bCs/>
                <w:color w:val="auto"/>
                <w:kern w:val="0"/>
                <w:sz w:val="24"/>
              </w:rPr>
              <w:t>增氧、推水系统</w:t>
            </w:r>
          </w:p>
          <w:p w14:paraId="45DC3173">
            <w:pPr>
              <w:widowControl/>
              <w:spacing w:line="360" w:lineRule="auto"/>
              <w:ind w:firstLine="480" w:firstLineChars="200"/>
              <w:rPr>
                <w:color w:val="auto"/>
                <w:kern w:val="0"/>
                <w:sz w:val="24"/>
              </w:rPr>
            </w:pPr>
            <w:r>
              <w:rPr>
                <w:color w:val="auto"/>
                <w:kern w:val="0"/>
                <w:sz w:val="24"/>
              </w:rPr>
              <w:t>在圈养桶养殖系统底部，沿桶壁安装两圈微孔增氧管，采用空压机、罗茨鼓风机等进行微孔增氧。增氧产生的气泡在圈养系统内形成由四周向中央推送的水流，可将残饵、粪便等养殖废弃物推送到圈养系统中央部位，以利于其沉降、收集。根据需要，还可加装推水水泵，利用水流的冲击形成环流，不仅锻炼鱼类，而且便于收集残饵、粪便。</w:t>
            </w:r>
          </w:p>
          <w:p w14:paraId="2B61DC2D">
            <w:pPr>
              <w:widowControl/>
              <w:spacing w:line="360" w:lineRule="auto"/>
              <w:ind w:firstLine="482" w:firstLineChars="200"/>
              <w:rPr>
                <w:b/>
                <w:bCs/>
                <w:color w:val="auto"/>
                <w:kern w:val="0"/>
                <w:sz w:val="24"/>
              </w:rPr>
            </w:pPr>
            <w:r>
              <w:rPr>
                <w:rFonts w:hint="eastAsia"/>
                <w:b/>
                <w:bCs/>
                <w:color w:val="auto"/>
                <w:kern w:val="0"/>
                <w:sz w:val="24"/>
              </w:rPr>
              <w:t>（6）</w:t>
            </w:r>
            <w:r>
              <w:rPr>
                <w:b/>
                <w:bCs/>
                <w:color w:val="auto"/>
                <w:kern w:val="0"/>
                <w:sz w:val="24"/>
              </w:rPr>
              <w:t>圈养池塘</w:t>
            </w:r>
            <w:r>
              <w:rPr>
                <w:rFonts w:hint="eastAsia"/>
                <w:b/>
                <w:bCs/>
                <w:color w:val="auto"/>
                <w:kern w:val="0"/>
                <w:sz w:val="24"/>
              </w:rPr>
              <w:t>人工湿地</w:t>
            </w:r>
          </w:p>
          <w:p w14:paraId="64486431">
            <w:pPr>
              <w:widowControl/>
              <w:spacing w:line="360" w:lineRule="auto"/>
              <w:ind w:firstLine="480" w:firstLineChars="200"/>
              <w:rPr>
                <w:color w:val="auto"/>
                <w:kern w:val="0"/>
                <w:sz w:val="24"/>
              </w:rPr>
            </w:pPr>
            <w:r>
              <w:rPr>
                <w:rFonts w:hint="eastAsia"/>
                <w:color w:val="auto"/>
                <w:kern w:val="0"/>
                <w:sz w:val="24"/>
              </w:rPr>
              <w:t>池塘南侧拟设置20亩人工湿地，</w:t>
            </w:r>
            <w:r>
              <w:rPr>
                <w:color w:val="auto"/>
                <w:kern w:val="0"/>
                <w:sz w:val="24"/>
              </w:rPr>
              <w:t>通过移植苦草、狐尾藻等沉水植物，以及布设生物刷等措施，强化池塘水体的自净能力。在养殖期间，</w:t>
            </w:r>
            <w:r>
              <w:rPr>
                <w:rFonts w:hint="eastAsia"/>
                <w:color w:val="auto"/>
                <w:kern w:val="0"/>
                <w:sz w:val="24"/>
              </w:rPr>
              <w:t>通过人工湿地可</w:t>
            </w:r>
            <w:r>
              <w:rPr>
                <w:color w:val="auto"/>
                <w:kern w:val="0"/>
                <w:sz w:val="24"/>
              </w:rPr>
              <w:t>维持水体清洁，不仅大幅减少养殖对象病害发生率，减少渔药使用量，而且大幅降低了养殖产品的泥腥味，提升了产品品质。</w:t>
            </w:r>
          </w:p>
          <w:p w14:paraId="48388E55">
            <w:pPr>
              <w:adjustRightInd w:val="0"/>
              <w:snapToGrid w:val="0"/>
              <w:spacing w:line="360" w:lineRule="auto"/>
              <w:ind w:firstLine="480" w:firstLineChars="200"/>
              <w:rPr>
                <w:b/>
                <w:bCs/>
                <w:color w:val="auto"/>
                <w:sz w:val="24"/>
              </w:rPr>
            </w:pPr>
            <w:r>
              <w:rPr>
                <w:color w:val="auto"/>
                <w:kern w:val="0"/>
                <w:sz w:val="24"/>
              </w:rPr>
              <w:t>养殖系统突出了养殖废弃物收集与净化处理的高效性、养殖产品的安全性、生产管理的便利性和灵活性，以及养殖生产的经济性和高效性，实现了养殖废弃物高效收集，是一种生态、环保、安全、高效的全新绿色养殖模式。通过集成、运用饲料风送技术、自动捕捞技术、在线监测和远程控制技术、物联网技术等机械化、信息化技术，该技术可引领传统水产养殖技术向工业化养殖技术深度转型；不仅服务于水产养殖业的可持续发展，而且更是一项引领消费潮流和生产潮流的新型技术。</w:t>
            </w:r>
          </w:p>
          <w:p w14:paraId="3CB92740">
            <w:pPr>
              <w:adjustRightInd w:val="0"/>
              <w:snapToGrid w:val="0"/>
              <w:spacing w:line="360" w:lineRule="auto"/>
              <w:ind w:firstLine="482" w:firstLineChars="200"/>
              <w:rPr>
                <w:b/>
                <w:bCs/>
                <w:color w:val="auto"/>
                <w:sz w:val="24"/>
              </w:rPr>
            </w:pPr>
            <w:r>
              <w:rPr>
                <w:rFonts w:hint="eastAsia"/>
                <w:b/>
                <w:bCs/>
                <w:color w:val="auto"/>
                <w:sz w:val="24"/>
              </w:rPr>
              <w:t>（7）工作制度和劳动定员</w:t>
            </w:r>
          </w:p>
          <w:p w14:paraId="262389F5">
            <w:pPr>
              <w:autoSpaceDE w:val="0"/>
              <w:autoSpaceDN w:val="0"/>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项目施工期劳动定员10人，雇佣当地居民，不提供食宿。运营期劳动定员3人，每天工作8小时。项目员工均为附近居民，不提供食宿。</w:t>
            </w:r>
          </w:p>
        </w:tc>
      </w:tr>
      <w:tr w14:paraId="61BE9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53" w:type="dxa"/>
            <w:vAlign w:val="center"/>
          </w:tcPr>
          <w:p w14:paraId="3B9FFC64">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总平面及现场布置</w:t>
            </w:r>
          </w:p>
        </w:tc>
        <w:tc>
          <w:tcPr>
            <w:tcW w:w="8069" w:type="dxa"/>
            <w:vAlign w:val="center"/>
          </w:tcPr>
          <w:p w14:paraId="03A26EFC">
            <w:pPr>
              <w:autoSpaceDE w:val="0"/>
              <w:autoSpaceDN w:val="0"/>
              <w:spacing w:line="360" w:lineRule="auto"/>
              <w:textAlignment w:val="baseline"/>
              <w:rPr>
                <w:rFonts w:ascii="宋体" w:hAnsi="Courier New"/>
                <w:b/>
                <w:bCs/>
                <w:color w:val="auto"/>
                <w:sz w:val="24"/>
                <w:u w:val="single"/>
              </w:rPr>
            </w:pPr>
            <w:r>
              <w:rPr>
                <w:rFonts w:hint="eastAsia" w:ascii="宋体" w:hAnsi="Courier New"/>
                <w:b/>
                <w:bCs/>
                <w:color w:val="auto"/>
                <w:sz w:val="24"/>
                <w:u w:val="single"/>
              </w:rPr>
              <w:t>1、施工平面布局</w:t>
            </w:r>
          </w:p>
          <w:p w14:paraId="0988672F">
            <w:pPr>
              <w:widowControl/>
              <w:spacing w:line="360" w:lineRule="auto"/>
              <w:ind w:firstLine="480" w:firstLineChars="200"/>
              <w:rPr>
                <w:color w:val="auto"/>
                <w:kern w:val="0"/>
                <w:sz w:val="24"/>
                <w:u w:val="single"/>
              </w:rPr>
            </w:pPr>
            <w:r>
              <w:rPr>
                <w:color w:val="auto"/>
                <w:kern w:val="0"/>
                <w:sz w:val="24"/>
                <w:u w:val="single"/>
              </w:rPr>
              <w:t>施工布置主要是施工临时设施布置、施工道路和临时堆土区的规划。施工辅助设施一般布置在渠堤两侧开敞地带，要求便于施工、节约能源、减少运输、提高效率，工程完工后恢复绿地或耕地。租借附近的民房要便于管理和联系，尽量少占用土地和居民拆迁。</w:t>
            </w:r>
          </w:p>
          <w:p w14:paraId="50EB1AF0">
            <w:pPr>
              <w:pStyle w:val="77"/>
              <w:widowControl w:val="0"/>
              <w:tabs>
                <w:tab w:val="left" w:pos="567"/>
                <w:tab w:val="left" w:pos="851"/>
              </w:tabs>
              <w:adjustRightInd w:val="0"/>
              <w:spacing w:line="360" w:lineRule="auto"/>
              <w:ind w:firstLine="480" w:firstLineChars="200"/>
              <w:rPr>
                <w:rFonts w:ascii="Times New Roman" w:hAnsi="Times New Roman" w:eastAsia="宋体" w:cs="Times New Roman"/>
                <w:bCs/>
                <w:color w:val="auto"/>
                <w:sz w:val="24"/>
                <w:u w:val="single"/>
              </w:rPr>
            </w:pPr>
            <w:r>
              <w:rPr>
                <w:rFonts w:ascii="Times New Roman" w:hAnsi="Times New Roman" w:eastAsia="宋体" w:cs="Times New Roman"/>
                <w:color w:val="auto"/>
                <w:kern w:val="0"/>
                <w:sz w:val="24"/>
                <w:u w:val="single"/>
              </w:rPr>
              <w:t>根据本工程的具体情况，</w:t>
            </w:r>
            <w:r>
              <w:rPr>
                <w:rFonts w:ascii="Times New Roman" w:hAnsi="Times New Roman" w:eastAsia="宋体" w:cs="Times New Roman"/>
                <w:bCs/>
                <w:color w:val="auto"/>
                <w:sz w:val="24"/>
                <w:u w:val="single"/>
              </w:rPr>
              <w:t>工程主要施工场地、施工仓库，机械设备停放场、养殖设备停放区等，机械设备的维修保养可到城区机修厂进行。钢筋加工及木材加工与模板制作，在租用场地进行。工地不设油料、炸药仓库，砂石、水泥要借用民房和搭建工棚堆放，施工点设少量材料仓库。本项目</w:t>
            </w:r>
            <w:r>
              <w:rPr>
                <w:rFonts w:hint="eastAsia" w:ascii="Times New Roman" w:hAnsi="Times New Roman" w:eastAsia="宋体" w:cs="Times New Roman"/>
                <w:bCs/>
                <w:color w:val="auto"/>
                <w:sz w:val="24"/>
                <w:u w:val="single"/>
              </w:rPr>
              <w:t>设</w:t>
            </w:r>
            <w:r>
              <w:rPr>
                <w:rFonts w:ascii="Times New Roman" w:hAnsi="Times New Roman" w:eastAsia="宋体" w:cs="Times New Roman"/>
                <w:bCs/>
                <w:color w:val="auto"/>
                <w:sz w:val="24"/>
                <w:u w:val="single"/>
              </w:rPr>
              <w:t>临时施工仓库</w:t>
            </w:r>
            <w:r>
              <w:rPr>
                <w:rFonts w:hint="eastAsia" w:ascii="Times New Roman" w:hAnsi="Times New Roman" w:eastAsia="宋体" w:cs="Times New Roman"/>
                <w:bCs/>
                <w:color w:val="auto"/>
                <w:sz w:val="24"/>
                <w:u w:val="single"/>
              </w:rPr>
              <w:t>2</w:t>
            </w:r>
            <w:r>
              <w:rPr>
                <w:rFonts w:ascii="Times New Roman" w:hAnsi="Times New Roman" w:eastAsia="宋体" w:cs="Times New Roman"/>
                <w:bCs/>
                <w:color w:val="auto"/>
                <w:sz w:val="24"/>
                <w:u w:val="single"/>
              </w:rPr>
              <w:t>00</w:t>
            </w:r>
            <w:r>
              <w:rPr>
                <w:rFonts w:hint="eastAsia" w:ascii="Times New Roman" w:hAnsi="Times New Roman" w:eastAsia="宋体" w:cs="Times New Roman"/>
                <w:bCs/>
                <w:color w:val="auto"/>
                <w:sz w:val="24"/>
                <w:u w:val="single"/>
              </w:rPr>
              <w:t>m</w:t>
            </w:r>
            <w:r>
              <w:rPr>
                <w:rFonts w:hint="eastAsia" w:ascii="Times New Roman" w:hAnsi="Times New Roman" w:eastAsia="宋体" w:cs="Times New Roman"/>
                <w:bCs/>
                <w:color w:val="auto"/>
                <w:sz w:val="24"/>
                <w:u w:val="single"/>
                <w:vertAlign w:val="superscript"/>
              </w:rPr>
              <w:t>2</w:t>
            </w:r>
            <w:r>
              <w:rPr>
                <w:rFonts w:ascii="Times New Roman" w:hAnsi="Times New Roman" w:eastAsia="宋体" w:cs="Times New Roman"/>
                <w:bCs/>
                <w:color w:val="auto"/>
                <w:sz w:val="24"/>
                <w:u w:val="single"/>
              </w:rPr>
              <w:t>，</w:t>
            </w:r>
            <w:r>
              <w:rPr>
                <w:rFonts w:hint="eastAsia" w:ascii="Times New Roman" w:hAnsi="Times New Roman" w:eastAsia="宋体" w:cs="Times New Roman"/>
                <w:bCs/>
                <w:color w:val="auto"/>
                <w:sz w:val="24"/>
                <w:u w:val="single"/>
              </w:rPr>
              <w:t>均</w:t>
            </w:r>
            <w:r>
              <w:rPr>
                <w:rFonts w:ascii="Times New Roman" w:hAnsi="Times New Roman" w:eastAsia="宋体" w:cs="Times New Roman"/>
                <w:bCs/>
                <w:color w:val="auto"/>
                <w:sz w:val="24"/>
                <w:u w:val="single"/>
              </w:rPr>
              <w:t>租用民房。各施工场地的布置尽可能不占或少占农田，就近布置，在可能条件下，应以租用为主。</w:t>
            </w:r>
          </w:p>
          <w:p w14:paraId="6675511C">
            <w:pPr>
              <w:pStyle w:val="77"/>
              <w:widowControl w:val="0"/>
              <w:tabs>
                <w:tab w:val="left" w:pos="567"/>
                <w:tab w:val="left" w:pos="851"/>
              </w:tabs>
              <w:adjustRightInd w:val="0"/>
              <w:spacing w:line="360" w:lineRule="auto"/>
              <w:ind w:firstLine="480" w:firstLineChars="200"/>
              <w:rPr>
                <w:rFonts w:ascii="Times New Roman" w:hAnsi="Times New Roman" w:eastAsia="宋体" w:cs="Times New Roman"/>
                <w:bCs/>
                <w:color w:val="auto"/>
                <w:sz w:val="24"/>
                <w:u w:val="single"/>
              </w:rPr>
            </w:pPr>
            <w:r>
              <w:rPr>
                <w:rFonts w:ascii="Times New Roman" w:hAnsi="Times New Roman" w:eastAsia="宋体" w:cs="Times New Roman"/>
                <w:bCs/>
                <w:color w:val="auto"/>
                <w:sz w:val="24"/>
                <w:u w:val="single"/>
              </w:rPr>
              <w:t>鱼塘清淤淤泥</w:t>
            </w:r>
            <w:r>
              <w:rPr>
                <w:rFonts w:ascii="Times New Roman" w:hAnsi="Times New Roman" w:eastAsia="宋体" w:cs="Times New Roman"/>
                <w:color w:val="auto"/>
                <w:kern w:val="0"/>
                <w:sz w:val="24"/>
                <w:u w:val="single"/>
                <w:lang w:bidi="ar"/>
              </w:rPr>
              <w:t>8000</w:t>
            </w:r>
            <w:r>
              <w:rPr>
                <w:rFonts w:ascii="Times New Roman" w:hAnsi="Times New Roman" w:eastAsia="宋体" w:cs="Times New Roman"/>
                <w:color w:val="auto"/>
                <w:sz w:val="24"/>
                <w:u w:val="single"/>
              </w:rPr>
              <w:t>m³，所清理的淤泥临时堆放在鱼塘附近的空闲地，占地面积</w:t>
            </w:r>
            <w:r>
              <w:rPr>
                <w:rFonts w:ascii="Times New Roman" w:hAnsi="Times New Roman" w:eastAsia="宋体" w:cs="Times New Roman"/>
                <w:bCs/>
                <w:color w:val="auto"/>
                <w:sz w:val="24"/>
                <w:u w:val="single"/>
              </w:rPr>
              <w:t>80㎡，最大堆高1.5m。项目施工临时设施占地主要为</w:t>
            </w:r>
            <w:r>
              <w:rPr>
                <w:rFonts w:hint="eastAsia" w:ascii="Times New Roman" w:hAnsi="Times New Roman" w:eastAsia="宋体" w:cs="Times New Roman"/>
                <w:bCs/>
                <w:color w:val="auto"/>
                <w:sz w:val="24"/>
                <w:u w:val="single"/>
              </w:rPr>
              <w:t>临时堆土场</w:t>
            </w:r>
            <w:r>
              <w:rPr>
                <w:rFonts w:ascii="Times New Roman" w:hAnsi="Times New Roman" w:eastAsia="宋体" w:cs="Times New Roman"/>
                <w:bCs/>
                <w:color w:val="auto"/>
                <w:sz w:val="24"/>
                <w:u w:val="single"/>
              </w:rPr>
              <w:t>。尽量利用施工区内的闲置土地，工程完工后需进行场地清理，恢复植被和耕地。</w:t>
            </w:r>
          </w:p>
          <w:p w14:paraId="3DB59CE7">
            <w:pPr>
              <w:jc w:val="center"/>
              <w:rPr>
                <w:b/>
                <w:bCs/>
                <w:color w:val="auto"/>
                <w:kern w:val="0"/>
                <w:szCs w:val="21"/>
                <w:u w:val="single"/>
              </w:rPr>
            </w:pPr>
            <w:r>
              <w:rPr>
                <w:b/>
                <w:bCs/>
                <w:color w:val="auto"/>
                <w:kern w:val="0"/>
                <w:szCs w:val="21"/>
                <w:u w:val="single"/>
              </w:rPr>
              <w:t>表2</w:t>
            </w:r>
            <w:r>
              <w:rPr>
                <w:rFonts w:hint="eastAsia"/>
                <w:b/>
                <w:bCs/>
                <w:color w:val="auto"/>
                <w:kern w:val="0"/>
                <w:szCs w:val="21"/>
                <w:u w:val="single"/>
              </w:rPr>
              <w:t>-5</w:t>
            </w:r>
            <w:r>
              <w:rPr>
                <w:b/>
                <w:bCs/>
                <w:color w:val="auto"/>
                <w:kern w:val="0"/>
                <w:szCs w:val="21"/>
                <w:u w:val="single"/>
              </w:rPr>
              <w:t xml:space="preserve">   施工临时占地面积表</w:t>
            </w:r>
          </w:p>
          <w:tbl>
            <w:tblPr>
              <w:tblStyle w:val="5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96"/>
              <w:gridCol w:w="1373"/>
              <w:gridCol w:w="4956"/>
            </w:tblGrid>
            <w:tr w14:paraId="55FF48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56" w:type="pct"/>
                  <w:tcBorders>
                    <w:tl2br w:val="nil"/>
                    <w:tr2bl w:val="nil"/>
                  </w:tcBorders>
                  <w:vAlign w:val="center"/>
                </w:tcPr>
                <w:p w14:paraId="7B511BD0">
                  <w:pPr>
                    <w:jc w:val="center"/>
                    <w:rPr>
                      <w:b/>
                      <w:bCs/>
                      <w:color w:val="auto"/>
                      <w:kern w:val="0"/>
                      <w:szCs w:val="21"/>
                      <w:u w:val="single"/>
                    </w:rPr>
                  </w:pPr>
                  <w:r>
                    <w:rPr>
                      <w:b/>
                      <w:bCs/>
                      <w:color w:val="auto"/>
                      <w:kern w:val="0"/>
                      <w:szCs w:val="21"/>
                      <w:u w:val="single"/>
                    </w:rPr>
                    <w:t>项目</w:t>
                  </w:r>
                </w:p>
              </w:tc>
              <w:tc>
                <w:tcPr>
                  <w:tcW w:w="877" w:type="pct"/>
                  <w:tcBorders>
                    <w:tl2br w:val="nil"/>
                    <w:tr2bl w:val="nil"/>
                  </w:tcBorders>
                  <w:vAlign w:val="center"/>
                </w:tcPr>
                <w:p w14:paraId="71A4E8DB">
                  <w:pPr>
                    <w:jc w:val="center"/>
                    <w:rPr>
                      <w:b/>
                      <w:bCs/>
                      <w:color w:val="auto"/>
                      <w:kern w:val="0"/>
                      <w:szCs w:val="21"/>
                      <w:u w:val="single"/>
                    </w:rPr>
                  </w:pPr>
                  <w:r>
                    <w:rPr>
                      <w:b/>
                      <w:bCs/>
                      <w:color w:val="auto"/>
                      <w:kern w:val="0"/>
                      <w:szCs w:val="21"/>
                      <w:u w:val="single"/>
                    </w:rPr>
                    <w:t>占地面积（m</w:t>
                  </w:r>
                  <w:r>
                    <w:rPr>
                      <w:b/>
                      <w:bCs/>
                      <w:color w:val="auto"/>
                      <w:kern w:val="0"/>
                      <w:szCs w:val="21"/>
                      <w:u w:val="single"/>
                      <w:vertAlign w:val="superscript"/>
                    </w:rPr>
                    <w:t>2</w:t>
                  </w:r>
                  <w:r>
                    <w:rPr>
                      <w:b/>
                      <w:bCs/>
                      <w:color w:val="auto"/>
                      <w:kern w:val="0"/>
                      <w:szCs w:val="21"/>
                      <w:u w:val="single"/>
                    </w:rPr>
                    <w:t>）</w:t>
                  </w:r>
                </w:p>
              </w:tc>
              <w:tc>
                <w:tcPr>
                  <w:tcW w:w="3166" w:type="pct"/>
                  <w:tcBorders>
                    <w:tl2br w:val="nil"/>
                    <w:tr2bl w:val="nil"/>
                  </w:tcBorders>
                  <w:vAlign w:val="center"/>
                </w:tcPr>
                <w:p w14:paraId="5E8601C8">
                  <w:pPr>
                    <w:jc w:val="center"/>
                    <w:rPr>
                      <w:b/>
                      <w:bCs/>
                      <w:color w:val="auto"/>
                      <w:kern w:val="0"/>
                      <w:szCs w:val="21"/>
                      <w:u w:val="single"/>
                    </w:rPr>
                  </w:pPr>
                  <w:r>
                    <w:rPr>
                      <w:b/>
                      <w:bCs/>
                      <w:color w:val="auto"/>
                      <w:kern w:val="0"/>
                      <w:szCs w:val="21"/>
                      <w:u w:val="single"/>
                    </w:rPr>
                    <w:t>备注</w:t>
                  </w:r>
                </w:p>
              </w:tc>
            </w:tr>
            <w:tr w14:paraId="66C43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56" w:type="pct"/>
                  <w:tcBorders>
                    <w:tl2br w:val="nil"/>
                    <w:tr2bl w:val="nil"/>
                  </w:tcBorders>
                  <w:vAlign w:val="center"/>
                </w:tcPr>
                <w:p w14:paraId="3D9F40D7">
                  <w:pPr>
                    <w:pStyle w:val="78"/>
                    <w:widowControl w:val="0"/>
                    <w:jc w:val="center"/>
                    <w:rPr>
                      <w:rFonts w:ascii="Times New Roman" w:hAnsi="Times New Roman" w:eastAsia="宋体" w:cs="Times New Roman"/>
                      <w:color w:val="auto"/>
                      <w:sz w:val="21"/>
                      <w:szCs w:val="21"/>
                      <w:u w:val="single"/>
                      <w:lang w:eastAsia="zh-CN"/>
                    </w:rPr>
                  </w:pPr>
                  <w:r>
                    <w:rPr>
                      <w:rFonts w:hint="eastAsia" w:ascii="Times New Roman" w:hAnsi="Times New Roman" w:eastAsia="宋体" w:cs="Times New Roman"/>
                      <w:color w:val="auto"/>
                      <w:sz w:val="21"/>
                      <w:szCs w:val="21"/>
                      <w:u w:val="single"/>
                      <w:lang w:eastAsia="zh-CN"/>
                    </w:rPr>
                    <w:t>临时堆土场</w:t>
                  </w:r>
                </w:p>
              </w:tc>
              <w:tc>
                <w:tcPr>
                  <w:tcW w:w="877" w:type="pct"/>
                  <w:tcBorders>
                    <w:tl2br w:val="nil"/>
                    <w:tr2bl w:val="nil"/>
                  </w:tcBorders>
                  <w:vAlign w:val="center"/>
                </w:tcPr>
                <w:p w14:paraId="21873D6B">
                  <w:pPr>
                    <w:jc w:val="center"/>
                    <w:rPr>
                      <w:color w:val="auto"/>
                      <w:kern w:val="0"/>
                      <w:szCs w:val="21"/>
                      <w:u w:val="single"/>
                    </w:rPr>
                  </w:pPr>
                  <w:r>
                    <w:rPr>
                      <w:color w:val="auto"/>
                      <w:kern w:val="0"/>
                      <w:szCs w:val="21"/>
                      <w:u w:val="single"/>
                    </w:rPr>
                    <w:t>80</w:t>
                  </w:r>
                </w:p>
              </w:tc>
              <w:tc>
                <w:tcPr>
                  <w:tcW w:w="3166" w:type="pct"/>
                  <w:tcBorders>
                    <w:tl2br w:val="nil"/>
                    <w:tr2bl w:val="nil"/>
                  </w:tcBorders>
                  <w:vAlign w:val="center"/>
                </w:tcPr>
                <w:p w14:paraId="5C4BE605">
                  <w:pPr>
                    <w:pStyle w:val="78"/>
                    <w:widowControl w:val="0"/>
                    <w:jc w:val="center"/>
                    <w:rPr>
                      <w:rFonts w:ascii="Times New Roman" w:hAnsi="Times New Roman" w:eastAsia="宋体" w:cs="Times New Roman"/>
                      <w:color w:val="auto"/>
                      <w:sz w:val="21"/>
                      <w:szCs w:val="21"/>
                      <w:u w:val="single"/>
                      <w:lang w:eastAsia="zh-CN"/>
                    </w:rPr>
                  </w:pPr>
                  <w:r>
                    <w:rPr>
                      <w:rFonts w:ascii="Times New Roman" w:hAnsi="Times New Roman" w:eastAsia="宋体" w:cs="Times New Roman"/>
                      <w:color w:val="auto"/>
                      <w:sz w:val="21"/>
                      <w:szCs w:val="21"/>
                      <w:u w:val="single"/>
                      <w:lang w:eastAsia="zh-CN"/>
                    </w:rPr>
                    <w:t>清淤的淤泥临时堆置在鱼塘</w:t>
                  </w:r>
                  <w:r>
                    <w:rPr>
                      <w:rFonts w:hint="eastAsia" w:ascii="Times New Roman" w:hAnsi="Times New Roman" w:eastAsia="宋体" w:cs="Times New Roman"/>
                      <w:color w:val="auto"/>
                      <w:sz w:val="21"/>
                      <w:szCs w:val="21"/>
                      <w:u w:val="single"/>
                      <w:lang w:eastAsia="zh-CN"/>
                    </w:rPr>
                    <w:t>东南方向</w:t>
                  </w:r>
                  <w:r>
                    <w:rPr>
                      <w:rFonts w:ascii="Times New Roman" w:hAnsi="Times New Roman" w:eastAsia="宋体" w:cs="Times New Roman"/>
                      <w:color w:val="auto"/>
                      <w:sz w:val="21"/>
                      <w:szCs w:val="21"/>
                      <w:u w:val="single"/>
                      <w:lang w:eastAsia="zh-CN"/>
                    </w:rPr>
                    <w:t>空闲地，占地面积约80m</w:t>
                  </w:r>
                  <w:r>
                    <w:rPr>
                      <w:rFonts w:ascii="Times New Roman" w:hAnsi="Times New Roman" w:eastAsia="宋体" w:cs="Times New Roman"/>
                      <w:color w:val="auto"/>
                      <w:sz w:val="21"/>
                      <w:szCs w:val="21"/>
                      <w:u w:val="single"/>
                      <w:vertAlign w:val="superscript"/>
                      <w:lang w:eastAsia="zh-CN"/>
                    </w:rPr>
                    <w:t>2</w:t>
                  </w:r>
                  <w:r>
                    <w:rPr>
                      <w:rFonts w:ascii="Times New Roman" w:hAnsi="Times New Roman" w:eastAsia="宋体" w:cs="Times New Roman"/>
                      <w:color w:val="auto"/>
                      <w:sz w:val="21"/>
                      <w:szCs w:val="21"/>
                      <w:u w:val="single"/>
                      <w:lang w:eastAsia="zh-CN"/>
                    </w:rPr>
                    <w:t>，最大堆高1.5m。位于自然保护区实验区</w:t>
                  </w:r>
                </w:p>
              </w:tc>
            </w:tr>
            <w:tr w14:paraId="1322F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56" w:type="pct"/>
                  <w:tcBorders>
                    <w:tl2br w:val="nil"/>
                    <w:tr2bl w:val="nil"/>
                  </w:tcBorders>
                  <w:vAlign w:val="center"/>
                </w:tcPr>
                <w:p w14:paraId="109F0DC6">
                  <w:pPr>
                    <w:pStyle w:val="78"/>
                    <w:widowControl w:val="0"/>
                    <w:jc w:val="center"/>
                    <w:rPr>
                      <w:rFonts w:ascii="Times New Roman" w:hAnsi="Times New Roman" w:eastAsia="宋体" w:cs="Times New Roman"/>
                      <w:color w:val="auto"/>
                      <w:sz w:val="21"/>
                      <w:szCs w:val="21"/>
                      <w:u w:val="single"/>
                      <w:lang w:eastAsia="zh-CN"/>
                    </w:rPr>
                  </w:pPr>
                  <w:r>
                    <w:rPr>
                      <w:rFonts w:ascii="Times New Roman" w:hAnsi="Times New Roman" w:eastAsia="宋体" w:cs="Times New Roman"/>
                      <w:color w:val="auto"/>
                      <w:sz w:val="21"/>
                      <w:szCs w:val="21"/>
                      <w:u w:val="single"/>
                      <w:lang w:eastAsia="zh-CN"/>
                    </w:rPr>
                    <w:t>合计</w:t>
                  </w:r>
                </w:p>
              </w:tc>
              <w:tc>
                <w:tcPr>
                  <w:tcW w:w="877" w:type="pct"/>
                  <w:tcBorders>
                    <w:tl2br w:val="nil"/>
                    <w:tr2bl w:val="nil"/>
                  </w:tcBorders>
                  <w:vAlign w:val="center"/>
                </w:tcPr>
                <w:p w14:paraId="40E0102A">
                  <w:pPr>
                    <w:autoSpaceDE w:val="0"/>
                    <w:autoSpaceDN w:val="0"/>
                    <w:jc w:val="center"/>
                    <w:textAlignment w:val="center"/>
                    <w:rPr>
                      <w:color w:val="auto"/>
                      <w:kern w:val="0"/>
                      <w:szCs w:val="21"/>
                      <w:u w:val="single"/>
                    </w:rPr>
                  </w:pPr>
                  <w:r>
                    <w:rPr>
                      <w:color w:val="auto"/>
                      <w:kern w:val="0"/>
                      <w:szCs w:val="21"/>
                      <w:u w:val="single"/>
                    </w:rPr>
                    <w:t>80</w:t>
                  </w:r>
                </w:p>
              </w:tc>
              <w:tc>
                <w:tcPr>
                  <w:tcW w:w="3166" w:type="pct"/>
                  <w:tcBorders>
                    <w:tl2br w:val="nil"/>
                    <w:tr2bl w:val="nil"/>
                  </w:tcBorders>
                  <w:vAlign w:val="center"/>
                </w:tcPr>
                <w:p w14:paraId="6ED8EDAD">
                  <w:pPr>
                    <w:autoSpaceDE w:val="0"/>
                    <w:autoSpaceDN w:val="0"/>
                    <w:jc w:val="center"/>
                    <w:textAlignment w:val="center"/>
                    <w:rPr>
                      <w:color w:val="auto"/>
                      <w:kern w:val="0"/>
                      <w:szCs w:val="21"/>
                      <w:u w:val="single"/>
                    </w:rPr>
                  </w:pPr>
                  <w:r>
                    <w:rPr>
                      <w:color w:val="auto"/>
                      <w:kern w:val="0"/>
                      <w:szCs w:val="21"/>
                      <w:u w:val="single"/>
                    </w:rPr>
                    <w:t>/</w:t>
                  </w:r>
                </w:p>
              </w:tc>
            </w:tr>
          </w:tbl>
          <w:p w14:paraId="408C7F67">
            <w:pPr>
              <w:spacing w:line="360" w:lineRule="auto"/>
              <w:ind w:firstLine="480" w:firstLineChars="200"/>
              <w:rPr>
                <w:color w:val="auto"/>
                <w:kern w:val="0"/>
                <w:sz w:val="24"/>
                <w:u w:val="single"/>
              </w:rPr>
            </w:pPr>
            <w:r>
              <w:rPr>
                <w:color w:val="auto"/>
                <w:kern w:val="0"/>
                <w:sz w:val="24"/>
                <w:u w:val="single"/>
              </w:rPr>
              <w:t>施工单位在淤泥临时堆放时应做好临时排水、临时苫盖等措施，尽量减少淤泥临时堆放的水土流失。项目不设置取弃土场，淤泥进行翻晒改良后用于</w:t>
            </w:r>
            <w:r>
              <w:rPr>
                <w:rFonts w:hint="eastAsia"/>
                <w:color w:val="auto"/>
                <w:sz w:val="24"/>
                <w:u w:val="single"/>
              </w:rPr>
              <w:t>鱼塘</w:t>
            </w:r>
            <w:r>
              <w:rPr>
                <w:color w:val="auto"/>
                <w:kern w:val="0"/>
                <w:sz w:val="24"/>
                <w:u w:val="single"/>
              </w:rPr>
              <w:t>边坡回填。</w:t>
            </w:r>
          </w:p>
          <w:p w14:paraId="690068E2">
            <w:pPr>
              <w:spacing w:line="360" w:lineRule="auto"/>
              <w:ind w:firstLine="480" w:firstLineChars="200"/>
              <w:jc w:val="left"/>
              <w:rPr>
                <w:b/>
                <w:bCs/>
                <w:color w:val="auto"/>
                <w:u w:val="single"/>
              </w:rPr>
            </w:pPr>
            <w:r>
              <w:rPr>
                <w:bCs/>
                <w:color w:val="auto"/>
                <w:sz w:val="24"/>
                <w:u w:val="single"/>
              </w:rPr>
              <w:t>项目施工交通均以公路运输为主，干线主要为乡镇公路、渠堤公路，施工机械设备能够直接运输到施工现场，无需另外新建施工道路。工程施工区地势平坦，交通便利，施工交通运输条件可满足要求。</w:t>
            </w:r>
          </w:p>
          <w:p w14:paraId="4FC49778">
            <w:pPr>
              <w:autoSpaceDE w:val="0"/>
              <w:autoSpaceDN w:val="0"/>
              <w:spacing w:line="360" w:lineRule="auto"/>
              <w:textAlignment w:val="baseline"/>
              <w:rPr>
                <w:rFonts w:ascii="宋体" w:hAnsi="Courier New"/>
                <w:b/>
                <w:bCs/>
                <w:color w:val="auto"/>
                <w:sz w:val="24"/>
                <w:u w:val="single"/>
              </w:rPr>
            </w:pPr>
            <w:r>
              <w:rPr>
                <w:rFonts w:hint="eastAsia" w:ascii="宋体" w:hAnsi="Courier New"/>
                <w:b/>
                <w:bCs/>
                <w:color w:val="auto"/>
                <w:sz w:val="24"/>
                <w:u w:val="single"/>
              </w:rPr>
              <w:t>2、运营期平面布局</w:t>
            </w:r>
          </w:p>
          <w:p w14:paraId="43F3A99D">
            <w:pPr>
              <w:autoSpaceDE w:val="0"/>
              <w:autoSpaceDN w:val="0"/>
              <w:adjustRightInd w:val="0"/>
              <w:snapToGrid w:val="0"/>
              <w:spacing w:line="360" w:lineRule="auto"/>
              <w:ind w:firstLine="480" w:firstLineChars="200"/>
              <w:jc w:val="left"/>
              <w:rPr>
                <w:rFonts w:hint="eastAsia" w:ascii="宋体" w:hAnsi="宋体" w:cs="宋体"/>
                <w:color w:val="auto"/>
                <w:sz w:val="24"/>
                <w:u w:val="single"/>
              </w:rPr>
            </w:pPr>
            <w:r>
              <w:rPr>
                <w:rFonts w:hint="eastAsia" w:ascii="宋体" w:hAnsi="宋体" w:cs="宋体"/>
                <w:color w:val="auto"/>
                <w:sz w:val="24"/>
                <w:u w:val="single"/>
              </w:rPr>
              <w:t>根据项目主要建设内容及功能要求，密切结合场区自然条件，充分利用场区现有池塘及配套设施进行总平面布置方案设计。</w:t>
            </w:r>
          </w:p>
          <w:p w14:paraId="75BECFC3">
            <w:pPr>
              <w:numPr>
                <w:ilvl w:val="0"/>
                <w:numId w:val="5"/>
              </w:numPr>
              <w:autoSpaceDE w:val="0"/>
              <w:autoSpaceDN w:val="0"/>
              <w:adjustRightInd w:val="0"/>
              <w:snapToGrid w:val="0"/>
              <w:spacing w:line="360" w:lineRule="auto"/>
              <w:ind w:firstLine="480" w:firstLineChars="200"/>
              <w:jc w:val="left"/>
              <w:rPr>
                <w:rFonts w:hint="eastAsia" w:ascii="宋体" w:hAnsi="宋体" w:cs="宋体"/>
                <w:color w:val="auto"/>
                <w:sz w:val="24"/>
                <w:u w:val="single"/>
              </w:rPr>
            </w:pPr>
            <w:r>
              <w:rPr>
                <w:rFonts w:hint="eastAsia" w:ascii="宋体" w:hAnsi="宋体" w:cs="宋体"/>
                <w:color w:val="auto"/>
                <w:sz w:val="24"/>
                <w:u w:val="single"/>
              </w:rPr>
              <w:t>功能分区</w:t>
            </w:r>
          </w:p>
          <w:p w14:paraId="343562FA">
            <w:pPr>
              <w:tabs>
                <w:tab w:val="left" w:pos="600"/>
              </w:tabs>
              <w:spacing w:line="360" w:lineRule="auto"/>
              <w:ind w:firstLine="480" w:firstLineChars="200"/>
              <w:jc w:val="left"/>
              <w:rPr>
                <w:color w:val="auto"/>
                <w:sz w:val="24"/>
                <w:u w:val="single"/>
              </w:rPr>
            </w:pPr>
            <w:r>
              <w:rPr>
                <w:color w:val="auto"/>
                <w:sz w:val="24"/>
                <w:u w:val="single"/>
              </w:rPr>
              <w:t>水体净化区域：净化水体水域</w:t>
            </w:r>
            <w:r>
              <w:rPr>
                <w:rFonts w:hint="eastAsia"/>
                <w:color w:val="auto"/>
                <w:sz w:val="24"/>
                <w:u w:val="single"/>
              </w:rPr>
              <w:t>（人工湿地）</w:t>
            </w:r>
            <w:r>
              <w:rPr>
                <w:color w:val="auto"/>
                <w:sz w:val="24"/>
                <w:u w:val="single"/>
              </w:rPr>
              <w:t>，平均水深1.5</w:t>
            </w:r>
            <w:r>
              <w:rPr>
                <w:rFonts w:hint="eastAsia"/>
                <w:color w:val="auto"/>
                <w:sz w:val="24"/>
                <w:u w:val="single"/>
              </w:rPr>
              <w:t>m</w:t>
            </w:r>
            <w:r>
              <w:rPr>
                <w:color w:val="auto"/>
                <w:sz w:val="24"/>
                <w:u w:val="single"/>
              </w:rPr>
              <w:t>，其中水域较深处种植浮水植物水葫芦，较浅处种植沉水植物苦草，水域内可放养鲢鳙、泥鳅、河虾、河蚌等底栖动物以净化水质。</w:t>
            </w:r>
          </w:p>
          <w:p w14:paraId="7F22E376">
            <w:pPr>
              <w:tabs>
                <w:tab w:val="left" w:pos="600"/>
              </w:tabs>
              <w:spacing w:line="360" w:lineRule="auto"/>
              <w:ind w:firstLine="480" w:firstLineChars="200"/>
              <w:jc w:val="left"/>
              <w:rPr>
                <w:color w:val="auto"/>
                <w:sz w:val="24"/>
                <w:u w:val="single"/>
              </w:rPr>
            </w:pPr>
            <w:r>
              <w:rPr>
                <w:color w:val="auto"/>
                <w:sz w:val="24"/>
                <w:u w:val="single"/>
              </w:rPr>
              <w:t>养殖区域：主要为圈养桶养殖区。</w:t>
            </w:r>
          </w:p>
          <w:p w14:paraId="787D337B">
            <w:pPr>
              <w:tabs>
                <w:tab w:val="left" w:pos="600"/>
              </w:tabs>
              <w:spacing w:line="360" w:lineRule="auto"/>
              <w:ind w:firstLine="480" w:firstLineChars="200"/>
              <w:jc w:val="left"/>
              <w:rPr>
                <w:color w:val="auto"/>
                <w:sz w:val="24"/>
                <w:u w:val="single"/>
              </w:rPr>
            </w:pPr>
            <w:r>
              <w:rPr>
                <w:color w:val="auto"/>
                <w:sz w:val="24"/>
                <w:u w:val="single"/>
              </w:rPr>
              <w:t>交通区域：作为主要的道路与外界联系。</w:t>
            </w:r>
          </w:p>
          <w:p w14:paraId="762CDB35">
            <w:pPr>
              <w:tabs>
                <w:tab w:val="left" w:pos="600"/>
              </w:tabs>
              <w:spacing w:line="360" w:lineRule="auto"/>
              <w:ind w:firstLine="480" w:firstLineChars="200"/>
              <w:jc w:val="left"/>
              <w:rPr>
                <w:color w:val="auto"/>
                <w:u w:val="single"/>
              </w:rPr>
            </w:pPr>
            <w:r>
              <w:rPr>
                <w:color w:val="auto"/>
                <w:sz w:val="24"/>
                <w:u w:val="single"/>
              </w:rPr>
              <w:t>工作区域：工作区域设置发电变电设备平台、管理房（现状建筑）、粪污</w:t>
            </w:r>
            <w:r>
              <w:rPr>
                <w:rFonts w:hint="eastAsia"/>
                <w:color w:val="auto"/>
                <w:sz w:val="24"/>
                <w:u w:val="single"/>
              </w:rPr>
              <w:t>处理</w:t>
            </w:r>
            <w:r>
              <w:rPr>
                <w:color w:val="auto"/>
                <w:sz w:val="24"/>
                <w:u w:val="single"/>
              </w:rPr>
              <w:t>设施（及时用车辆运走浇灌菜园或果树）、食源仓库（现状建筑）以及相应的操作场地等。</w:t>
            </w:r>
          </w:p>
          <w:p w14:paraId="31E28541">
            <w:pPr>
              <w:numPr>
                <w:ilvl w:val="0"/>
                <w:numId w:val="5"/>
              </w:numPr>
              <w:tabs>
                <w:tab w:val="left" w:pos="600"/>
              </w:tabs>
              <w:spacing w:line="360" w:lineRule="auto"/>
              <w:ind w:firstLine="480" w:firstLineChars="200"/>
              <w:jc w:val="left"/>
              <w:rPr>
                <w:color w:val="auto"/>
                <w:sz w:val="24"/>
                <w:u w:val="single"/>
              </w:rPr>
            </w:pPr>
            <w:r>
              <w:rPr>
                <w:rFonts w:hint="eastAsia"/>
                <w:color w:val="auto"/>
                <w:sz w:val="24"/>
                <w:u w:val="single"/>
              </w:rPr>
              <w:t>总平面布局</w:t>
            </w:r>
          </w:p>
          <w:p w14:paraId="5A1ED1F9">
            <w:pPr>
              <w:tabs>
                <w:tab w:val="left" w:pos="600"/>
              </w:tabs>
              <w:spacing w:line="360" w:lineRule="auto"/>
              <w:ind w:firstLine="480" w:firstLineChars="200"/>
              <w:jc w:val="left"/>
              <w:rPr>
                <w:color w:val="auto"/>
                <w:sz w:val="24"/>
                <w:u w:val="single"/>
              </w:rPr>
            </w:pPr>
            <w:r>
              <w:rPr>
                <w:color w:val="auto"/>
                <w:sz w:val="24"/>
                <w:u w:val="single"/>
              </w:rPr>
              <w:t>项目总平面布置优化工作严格遵循物流路径顺畅、功能走向合理的核心原则开展。在水域范围内，自北向南依次规划设置管理用房、食源仓库、尾水塔</w:t>
            </w:r>
            <w:r>
              <w:rPr>
                <w:rFonts w:hint="eastAsia"/>
                <w:color w:val="auto"/>
                <w:sz w:val="24"/>
                <w:u w:val="single"/>
                <w:lang w:eastAsia="zh-CN"/>
              </w:rPr>
              <w:t>、</w:t>
            </w:r>
            <w:r>
              <w:rPr>
                <w:color w:val="auto"/>
                <w:sz w:val="24"/>
                <w:u w:val="single"/>
              </w:rPr>
              <w:t>料塔、变电设备平台、马口鱼圈养区、观赏类生物圈养区及水体净化功能区等关键设施，各功能区域布局与项目运营需求高度适配。</w:t>
            </w:r>
          </w:p>
          <w:p w14:paraId="6B6A229C">
            <w:pPr>
              <w:tabs>
                <w:tab w:val="left" w:pos="600"/>
              </w:tabs>
              <w:spacing w:line="360" w:lineRule="auto"/>
              <w:ind w:firstLine="480" w:firstLineChars="200"/>
              <w:jc w:val="left"/>
              <w:rPr>
                <w:color w:val="auto"/>
                <w:sz w:val="24"/>
              </w:rPr>
            </w:pPr>
            <w:r>
              <w:rPr>
                <w:color w:val="auto"/>
                <w:sz w:val="24"/>
                <w:u w:val="single"/>
              </w:rPr>
              <w:t>从环境保护专业角度进行评估，该项目总平面布置在功能分区划分、污染物防控距离设置、生态保护空间预留等方面均符合相关规范要求，整体布局具备基本合理性。</w:t>
            </w:r>
          </w:p>
        </w:tc>
      </w:tr>
      <w:tr w14:paraId="2B955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14:paraId="6890691C">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施工方案</w:t>
            </w:r>
          </w:p>
        </w:tc>
        <w:tc>
          <w:tcPr>
            <w:tcW w:w="8069" w:type="dxa"/>
            <w:vAlign w:val="center"/>
          </w:tcPr>
          <w:p w14:paraId="071D3E94">
            <w:pPr>
              <w:adjustRightInd w:val="0"/>
              <w:snapToGrid w:val="0"/>
              <w:spacing w:line="360" w:lineRule="auto"/>
              <w:rPr>
                <w:b/>
                <w:bCs/>
                <w:color w:val="auto"/>
                <w:sz w:val="24"/>
              </w:rPr>
            </w:pPr>
            <w:r>
              <w:rPr>
                <w:b/>
                <w:bCs/>
                <w:color w:val="auto"/>
                <w:sz w:val="24"/>
              </w:rPr>
              <w:t>1、施工</w:t>
            </w:r>
            <w:r>
              <w:rPr>
                <w:rFonts w:hint="eastAsia"/>
                <w:b/>
                <w:bCs/>
                <w:color w:val="auto"/>
                <w:sz w:val="24"/>
              </w:rPr>
              <w:t>方案</w:t>
            </w:r>
          </w:p>
          <w:p w14:paraId="07F65A5C">
            <w:pPr>
              <w:widowControl/>
              <w:spacing w:line="360" w:lineRule="auto"/>
              <w:ind w:firstLine="480" w:firstLineChars="200"/>
              <w:jc w:val="left"/>
              <w:rPr>
                <w:color w:val="auto"/>
                <w:sz w:val="24"/>
              </w:rPr>
            </w:pPr>
            <w:r>
              <w:rPr>
                <w:color w:val="auto"/>
                <w:kern w:val="0"/>
                <w:sz w:val="24"/>
                <w:lang w:bidi="ar"/>
              </w:rPr>
              <w:t>本项目施工期工程内容包括：道路</w:t>
            </w:r>
            <w:r>
              <w:rPr>
                <w:rFonts w:hint="eastAsia"/>
                <w:color w:val="auto"/>
                <w:kern w:val="0"/>
                <w:sz w:val="24"/>
                <w:lang w:bidi="ar"/>
              </w:rPr>
              <w:t>拆除、修复拓宽</w:t>
            </w:r>
            <w:r>
              <w:rPr>
                <w:color w:val="auto"/>
                <w:kern w:val="0"/>
                <w:sz w:val="24"/>
                <w:lang w:bidi="ar"/>
              </w:rPr>
              <w:t>、发电变电设备平台建设、池塘清淤工程以及圈养系统、电力系统、自动投料系统等设备的安装。</w:t>
            </w:r>
            <w:r>
              <w:rPr>
                <w:color w:val="auto"/>
                <w:sz w:val="24"/>
              </w:rPr>
              <w:t>施工期工艺流程及产污环节图见2-2所示：</w:t>
            </w:r>
          </w:p>
          <w:p w14:paraId="10F51D71">
            <w:pPr>
              <w:widowControl/>
              <w:spacing w:line="360" w:lineRule="auto"/>
              <w:jc w:val="center"/>
              <w:rPr>
                <w:b/>
                <w:bCs/>
                <w:color w:val="auto"/>
                <w:sz w:val="24"/>
              </w:rPr>
            </w:pPr>
            <w:r>
              <w:rPr>
                <w:color w:val="auto"/>
                <w:sz w:val="24"/>
              </w:rPr>
              <w:object>
                <v:shape id="_x0000_i1026" o:spt="75" type="#_x0000_t75" style="height:80pt;width:399pt;" o:ole="t" filled="f" o:preferrelative="t" stroked="f" coordsize="21600,21600">
                  <v:path/>
                  <v:fill on="f" focussize="0,0"/>
                  <v:stroke on="f" joinstyle="miter"/>
                  <v:imagedata r:id="rId41" o:title=""/>
                  <o:lock v:ext="edit" aspectratio="f"/>
                  <w10:wrap type="none"/>
                  <w10:anchorlock/>
                </v:shape>
                <o:OLEObject Type="Embed" ProgID="Visio.Drawing.11" ShapeID="_x0000_i1026" DrawAspect="Content" ObjectID="_1468075726" r:id="rId40">
                  <o:LockedField>false</o:LockedField>
                </o:OLEObject>
              </w:object>
            </w:r>
            <w:r>
              <w:rPr>
                <w:b/>
                <w:bCs/>
                <w:color w:val="auto"/>
                <w:sz w:val="24"/>
              </w:rPr>
              <w:t>图2-2   施工期工艺流程及污染工序图</w:t>
            </w:r>
          </w:p>
          <w:p w14:paraId="26773D5D">
            <w:pPr>
              <w:spacing w:line="360" w:lineRule="auto"/>
              <w:ind w:firstLine="482" w:firstLineChars="200"/>
              <w:rPr>
                <w:b/>
                <w:color w:val="auto"/>
                <w:sz w:val="24"/>
              </w:rPr>
            </w:pPr>
            <w:r>
              <w:rPr>
                <w:rFonts w:hint="eastAsia"/>
                <w:b/>
                <w:color w:val="auto"/>
                <w:sz w:val="24"/>
              </w:rPr>
              <w:t>1.1道路修复拓宽施工方案</w:t>
            </w:r>
          </w:p>
          <w:p w14:paraId="4779CCEF">
            <w:pPr>
              <w:spacing w:line="360" w:lineRule="auto"/>
              <w:ind w:firstLine="480" w:firstLineChars="200"/>
              <w:rPr>
                <w:color w:val="auto"/>
                <w:sz w:val="24"/>
              </w:rPr>
            </w:pPr>
            <w:r>
              <w:rPr>
                <w:rFonts w:hint="eastAsia"/>
                <w:color w:val="auto"/>
                <w:sz w:val="24"/>
              </w:rPr>
              <w:t>根据项目区现状，该项目区四周道路基本已经硬化，本次施工期将保留西北侧现有田埂道路和东侧田埂道路，对该田埂道路进行修复拓宽，其余田埂进行拆除，使整个区域形成一个连通的水域。道路宽4.0米，道路两边各设置0.5米宽土路肩；将四个区域之间及四周的田埂进行修复硬化，田埂宽4.0米，道路两边各设置0.5米宽土路肩。</w:t>
            </w:r>
          </w:p>
          <w:p w14:paraId="26B7D6DA">
            <w:pPr>
              <w:spacing w:line="360" w:lineRule="auto"/>
              <w:ind w:firstLine="480" w:firstLineChars="200"/>
              <w:rPr>
                <w:color w:val="auto"/>
                <w:sz w:val="24"/>
              </w:rPr>
            </w:pPr>
            <w:r>
              <w:rPr>
                <w:rFonts w:hint="eastAsia"/>
                <w:color w:val="auto"/>
                <w:sz w:val="24"/>
              </w:rPr>
              <w:t>田埂道路拆除：按照从路面到基层、由上至下的顺序依次进行。土质田埂道路由于其结构相对松散，先用推土机将路面上的杂草、杂物等推除，再使用挖掘机直接进行挖掘拆除。挖掘时，挖掘机沿着田埂道路的中心线纵向作业，将拆除的土方直接装车运走。对于一些小型的、挖掘机难以到达的区域，安排人工使用铁锹、锄头进行拆除，确保拆除工作的全面性。</w:t>
            </w:r>
          </w:p>
          <w:p w14:paraId="75BA1D7E">
            <w:pPr>
              <w:spacing w:line="360" w:lineRule="auto"/>
              <w:ind w:firstLine="480" w:firstLineChars="200"/>
              <w:rPr>
                <w:color w:val="auto"/>
                <w:sz w:val="24"/>
              </w:rPr>
            </w:pPr>
            <w:r>
              <w:rPr>
                <w:rFonts w:hint="eastAsia"/>
                <w:color w:val="auto"/>
                <w:sz w:val="24"/>
              </w:rPr>
              <w:t>田埂道路修复拓宽：先清拓宽区域杂物，清除施工区域内的杂草、树根、腐殖土等杂物。根据地基情况进行基底处理，如翻松碾压、换填、强夯等。进行路基填筑，分层填筑并压实，每层填筑完成后及时检测压实度，确保路基质量。后续进行压实度检测和修整。根据路面设计方案，进行路面材料的铺设和施工。若采用水泥稳定碎石基层加水泥混凝土面层，先进行水泥稳定碎石基层的拌合、摊铺和碾压，养护后进行水泥混凝土面层的施工，包括测量放样、支立模板、混凝土浇筑、振捣、抹面、切缝等工序，后完成水泥稳定碎石基层施工以及水泥混凝土面层施工。同步进行排水设施、防护设施和交通标志标线的建设。</w:t>
            </w:r>
          </w:p>
          <w:p w14:paraId="000A62BD">
            <w:pPr>
              <w:spacing w:line="360" w:lineRule="auto"/>
              <w:ind w:firstLine="482" w:firstLineChars="200"/>
              <w:rPr>
                <w:b/>
                <w:color w:val="auto"/>
                <w:sz w:val="24"/>
              </w:rPr>
            </w:pPr>
            <w:r>
              <w:rPr>
                <w:rFonts w:hint="eastAsia"/>
                <w:b/>
                <w:color w:val="auto"/>
                <w:sz w:val="24"/>
              </w:rPr>
              <w:t>1.2、发电变电设备平台修建</w:t>
            </w:r>
          </w:p>
          <w:p w14:paraId="297A98CB">
            <w:pPr>
              <w:spacing w:line="360" w:lineRule="auto"/>
              <w:ind w:firstLine="480" w:firstLineChars="200"/>
              <w:rPr>
                <w:b/>
                <w:color w:val="auto"/>
                <w:sz w:val="24"/>
              </w:rPr>
            </w:pPr>
            <w:r>
              <w:rPr>
                <w:rFonts w:eastAsia="Segoe UI"/>
                <w:color w:val="auto"/>
                <w:sz w:val="24"/>
                <w:shd w:val="clear" w:color="auto" w:fill="FFFFFF"/>
              </w:rPr>
              <w:t>发电变电设备平台长10m</w:t>
            </w:r>
            <w:r>
              <w:rPr>
                <w:color w:val="auto"/>
                <w:sz w:val="24"/>
                <w:shd w:val="clear" w:color="auto" w:fill="FFFFFF"/>
              </w:rPr>
              <w:t>、</w:t>
            </w:r>
            <w:r>
              <w:rPr>
                <w:rFonts w:eastAsia="Segoe UI"/>
                <w:color w:val="auto"/>
                <w:sz w:val="24"/>
                <w:shd w:val="clear" w:color="auto" w:fill="FFFFFF"/>
              </w:rPr>
              <w:t>宽8m，主要</w:t>
            </w:r>
            <w:r>
              <w:rPr>
                <w:color w:val="auto"/>
                <w:sz w:val="24"/>
                <w:shd w:val="clear" w:color="auto" w:fill="FFFFFF"/>
              </w:rPr>
              <w:t>为</w:t>
            </w:r>
            <w:r>
              <w:rPr>
                <w:rFonts w:eastAsia="Segoe UI"/>
                <w:color w:val="auto"/>
                <w:sz w:val="24"/>
                <w:shd w:val="clear" w:color="auto" w:fill="FFFFFF"/>
              </w:rPr>
              <w:t>养殖及配套设施用电，平台均采用15cm厚C25混凝土硬化。小型发电变电设备平台修建，先勘察场地明确设备尺寸与承重需求，出具简易方案并备好建材工具；接着平整场地、开挖基坑，浇筑混凝土基础并养护至强度达标；待基础干透后，组装钢构或砌筑台体，确保水平度与承重</w:t>
            </w:r>
            <w:r>
              <w:rPr>
                <w:rFonts w:ascii="Segoe UI" w:hAnsi="Segoe UI" w:eastAsia="Segoe UI" w:cs="Segoe UI"/>
                <w:color w:val="auto"/>
                <w:sz w:val="24"/>
                <w:shd w:val="clear" w:color="auto" w:fill="FFFFFF"/>
              </w:rPr>
              <w:t>符合要求；随后吊装设备至平台固定，连接线路并做好防水绝缘处理；最后检查结构与安装情况，通电调试设备，确认运行正常后完成交付。</w:t>
            </w:r>
          </w:p>
          <w:p w14:paraId="5F447D0F">
            <w:pPr>
              <w:spacing w:line="360" w:lineRule="auto"/>
              <w:ind w:firstLine="482" w:firstLineChars="200"/>
              <w:rPr>
                <w:b/>
                <w:color w:val="auto"/>
                <w:sz w:val="24"/>
                <w:u w:val="single"/>
              </w:rPr>
            </w:pPr>
            <w:r>
              <w:rPr>
                <w:rFonts w:hint="eastAsia"/>
                <w:b/>
                <w:color w:val="auto"/>
                <w:sz w:val="24"/>
                <w:u w:val="single"/>
              </w:rPr>
              <w:t>1.3、池塘清淤工程</w:t>
            </w:r>
          </w:p>
          <w:p w14:paraId="617EA3B4">
            <w:pPr>
              <w:spacing w:line="360" w:lineRule="auto"/>
              <w:ind w:firstLine="480" w:firstLineChars="200"/>
              <w:rPr>
                <w:color w:val="auto"/>
                <w:sz w:val="24"/>
                <w:u w:val="single"/>
              </w:rPr>
            </w:pPr>
            <w:r>
              <w:rPr>
                <w:rFonts w:hint="eastAsia"/>
                <w:color w:val="auto"/>
                <w:sz w:val="24"/>
                <w:u w:val="single"/>
              </w:rPr>
              <w:t>清淤工程是解决水体内源污染、控制水体污染及富营养化的一种重要措施。其目的是通过清除底泥，清除沉积物中所含污染物，减少沉积物中污染物向水体的释放，一般仅需保留底泥10-15cm即可。清淤工序可改善基底的污染程度，增加水域容积和水体自净能力，为鱼类提供适宜的生存条件。</w:t>
            </w:r>
          </w:p>
          <w:p w14:paraId="525B28E0">
            <w:pPr>
              <w:autoSpaceDE w:val="0"/>
              <w:autoSpaceDN w:val="0"/>
              <w:adjustRightInd w:val="0"/>
              <w:spacing w:line="360" w:lineRule="auto"/>
              <w:ind w:firstLine="480" w:firstLineChars="200"/>
              <w:textAlignment w:val="baseline"/>
              <w:rPr>
                <w:color w:val="auto"/>
                <w:sz w:val="24"/>
              </w:rPr>
            </w:pPr>
            <w:r>
              <w:rPr>
                <w:rFonts w:hint="eastAsia" w:ascii="宋体"/>
                <w:color w:val="auto"/>
                <w:sz w:val="24"/>
                <w:u w:val="single"/>
              </w:rPr>
              <w:t>根据项目设计方案可知，池塘清淤</w:t>
            </w:r>
            <w:r>
              <w:rPr>
                <w:rFonts w:hint="eastAsia"/>
                <w:color w:val="auto"/>
                <w:sz w:val="24"/>
                <w:u w:val="single"/>
              </w:rPr>
              <w:t>大部分釆取挖泥船清淤，挖泥时运用钢缆上的抓斗，依靠其重力作用，放入水中一定的深度，通过插入泥层和闭合抓斗来挖掘，然后通过操纵船上的起重机机械提升抓斗出水面，回旋到预定位置将泥沙卸入泥舱或泥驳中，如此反复进行。局部采用人工清淤，清理出来的污泥在临时堆土场内堆存，淤泥进行翻晒改良后可用于鱼塘边坡回填。</w:t>
            </w:r>
          </w:p>
          <w:p w14:paraId="0E3BF637">
            <w:pPr>
              <w:spacing w:line="360" w:lineRule="auto"/>
              <w:rPr>
                <w:b/>
                <w:color w:val="auto"/>
                <w:sz w:val="24"/>
              </w:rPr>
            </w:pPr>
            <w:r>
              <w:rPr>
                <w:b/>
                <w:color w:val="auto"/>
                <w:sz w:val="24"/>
              </w:rPr>
              <w:t>2</w:t>
            </w:r>
            <w:r>
              <w:rPr>
                <w:rFonts w:hint="eastAsia"/>
                <w:b/>
                <w:color w:val="auto"/>
                <w:sz w:val="24"/>
              </w:rPr>
              <w:t>、施工条件</w:t>
            </w:r>
          </w:p>
          <w:p w14:paraId="2D61517B">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rPr>
              <w:t>施工用水：本项目施工期用水计划引入地块周边的乡镇供水管网提供，施工用水包括砂浆拌和、基础养护、施工人员生活用水等，可满足施工期用水需求。</w:t>
            </w:r>
          </w:p>
          <w:p w14:paraId="097FA9B0">
            <w:pPr>
              <w:spacing w:line="360" w:lineRule="auto"/>
              <w:ind w:firstLine="480" w:firstLineChars="200"/>
              <w:rPr>
                <w:color w:val="auto"/>
                <w:sz w:val="24"/>
              </w:rPr>
            </w:pPr>
            <w:r>
              <w:rPr>
                <w:rFonts w:hint="eastAsia"/>
                <w:color w:val="auto"/>
                <w:sz w:val="24"/>
              </w:rPr>
              <w:t>②施工用电：本项目地块附近乡镇电力设施完善，施工期间，以满足项目施工用电需求。</w:t>
            </w:r>
          </w:p>
          <w:p w14:paraId="019D7BCA">
            <w:pPr>
              <w:spacing w:line="360" w:lineRule="auto"/>
              <w:ind w:firstLine="480" w:firstLineChars="200"/>
              <w:rPr>
                <w:color w:val="auto"/>
                <w:sz w:val="24"/>
              </w:rPr>
            </w:pPr>
            <w:r>
              <w:rPr>
                <w:rFonts w:hint="eastAsia"/>
                <w:color w:val="auto"/>
                <w:sz w:val="24"/>
              </w:rPr>
              <w:t>③施工通信：项目区域内电信服务商有中国电信通讯公司，其通讯网覆盖面广，宽带信息网络完善，实现了网络数字化、传输光纤化、业务信息化，能够满足通讯需要。</w:t>
            </w:r>
          </w:p>
          <w:p w14:paraId="11A2A65D">
            <w:pPr>
              <w:spacing w:line="360" w:lineRule="auto"/>
              <w:ind w:firstLine="480" w:firstLineChars="200"/>
              <w:rPr>
                <w:color w:val="auto"/>
                <w:sz w:val="24"/>
              </w:rPr>
            </w:pPr>
            <w:r>
              <w:rPr>
                <w:rFonts w:hint="eastAsia"/>
                <w:color w:val="auto"/>
                <w:sz w:val="24"/>
              </w:rPr>
              <w:t>④建筑材料供应：本项目施工所需的建筑材料，可在岳阳内采购供应，且运输方便。工程基础及路面硬化所需混凝土从附近的混凝土搅拌站购买，能满足施工需求。</w:t>
            </w:r>
          </w:p>
          <w:p w14:paraId="27D4F72F">
            <w:pPr>
              <w:pStyle w:val="12"/>
              <w:adjustRightInd/>
              <w:spacing w:line="360" w:lineRule="auto"/>
              <w:rPr>
                <w:b/>
                <w:bCs/>
                <w:color w:val="auto"/>
                <w:u w:val="single"/>
              </w:rPr>
            </w:pPr>
            <w:r>
              <w:rPr>
                <w:rFonts w:hint="eastAsia"/>
                <w:b/>
                <w:bCs/>
                <w:color w:val="auto"/>
                <w:u w:val="single"/>
              </w:rPr>
              <w:t>5、施工时序</w:t>
            </w:r>
          </w:p>
          <w:p w14:paraId="301B8A4C">
            <w:pPr>
              <w:spacing w:line="360" w:lineRule="auto"/>
              <w:ind w:firstLine="480" w:firstLineChars="200"/>
              <w:rPr>
                <w:color w:val="auto"/>
              </w:rPr>
            </w:pPr>
            <w:r>
              <w:rPr>
                <w:rFonts w:hint="eastAsia"/>
                <w:color w:val="auto"/>
                <w:sz w:val="24"/>
                <w:u w:val="single"/>
              </w:rPr>
              <w:t>为避开候鸟越冬季节，建设单位拟将工程安排在2026年3月～6月进行。预计2026年3~4月，完成项目建安工程、田间工程施工及清淤工序等；2026年6月，完成设备安装调试工作。</w:t>
            </w:r>
          </w:p>
        </w:tc>
      </w:tr>
      <w:tr w14:paraId="24311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53" w:type="dxa"/>
            <w:vAlign w:val="center"/>
          </w:tcPr>
          <w:p w14:paraId="1BD08826">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其他</w:t>
            </w:r>
          </w:p>
        </w:tc>
        <w:tc>
          <w:tcPr>
            <w:tcW w:w="8069" w:type="dxa"/>
            <w:vAlign w:val="center"/>
          </w:tcPr>
          <w:p w14:paraId="2A03C8AD">
            <w:pPr>
              <w:spacing w:line="360" w:lineRule="auto"/>
              <w:ind w:firstLine="482" w:firstLineChars="200"/>
              <w:jc w:val="left"/>
              <w:rPr>
                <w:rFonts w:hint="eastAsia" w:ascii="宋体" w:hAnsi="宋体" w:cs="宋体"/>
                <w:b/>
                <w:bCs/>
                <w:color w:val="auto"/>
                <w:sz w:val="24"/>
              </w:rPr>
            </w:pPr>
            <w:r>
              <w:rPr>
                <w:rFonts w:hint="eastAsia" w:ascii="宋体" w:hAnsi="宋体" w:cs="宋体"/>
                <w:b/>
                <w:bCs/>
                <w:color w:val="auto"/>
                <w:sz w:val="24"/>
              </w:rPr>
              <w:t>1、鱼类养殖流程</w:t>
            </w:r>
          </w:p>
          <w:p w14:paraId="6E364CC7">
            <w:pPr>
              <w:jc w:val="center"/>
              <w:rPr>
                <w:rFonts w:hint="eastAsia" w:ascii="宋体" w:hAnsi="宋体" w:cs="宋体"/>
                <w:color w:val="auto"/>
                <w:szCs w:val="21"/>
                <w:lang w:bidi="zh-CN"/>
              </w:rPr>
            </w:pPr>
            <w:r>
              <w:rPr>
                <w:b/>
                <w:bCs/>
                <w:color w:val="auto"/>
                <w:szCs w:val="21"/>
              </w:rPr>
              <w:object>
                <v:shape id="_x0000_i1027" o:spt="75" type="#_x0000_t75" style="height:190pt;width:407pt;" o:ole="t" filled="f" o:preferrelative="t" stroked="f" coordsize="21600,21600">
                  <v:path/>
                  <v:fill on="f" focussize="0,0"/>
                  <v:stroke on="f" joinstyle="miter"/>
                  <v:imagedata r:id="rId43" o:title=""/>
                  <o:lock v:ext="edit" aspectratio="f"/>
                  <w10:wrap type="none"/>
                  <w10:anchorlock/>
                </v:shape>
                <o:OLEObject Type="Embed" ProgID="Visio.Drawing.11" ShapeID="_x0000_i1027" DrawAspect="Content" ObjectID="_1468075727" r:id="rId42">
                  <o:LockedField>false</o:LockedField>
                </o:OLEObject>
              </w:object>
            </w:r>
            <w:r>
              <w:rPr>
                <w:rFonts w:hint="eastAsia" w:ascii="宋体" w:hAnsi="宋体" w:cs="宋体"/>
                <w:b/>
                <w:bCs/>
                <w:color w:val="auto"/>
                <w:szCs w:val="21"/>
                <w:lang w:bidi="zh-CN"/>
              </w:rPr>
              <w:t>图2-3   鱼类养殖流程及产污环节图</w:t>
            </w:r>
          </w:p>
          <w:p w14:paraId="342C7221">
            <w:pPr>
              <w:spacing w:after="120"/>
              <w:ind w:firstLine="480" w:firstLineChars="200"/>
              <w:rPr>
                <w:color w:val="auto"/>
                <w:sz w:val="24"/>
              </w:rPr>
            </w:pPr>
            <w:r>
              <w:rPr>
                <w:rFonts w:hint="eastAsia"/>
                <w:color w:val="auto"/>
                <w:sz w:val="24"/>
              </w:rPr>
              <w:t>马口鱼及观赏鱼养殖流程一致，具体养殖流程如下：</w:t>
            </w:r>
          </w:p>
          <w:p w14:paraId="28233993">
            <w:pPr>
              <w:numPr>
                <w:ilvl w:val="0"/>
                <w:numId w:val="6"/>
              </w:numPr>
              <w:autoSpaceDE w:val="0"/>
              <w:autoSpaceDN w:val="0"/>
              <w:adjustRightInd w:val="0"/>
              <w:snapToGrid w:val="0"/>
              <w:spacing w:line="360" w:lineRule="auto"/>
              <w:ind w:firstLine="480" w:firstLineChars="200"/>
              <w:jc w:val="left"/>
              <w:rPr>
                <w:color w:val="auto"/>
                <w:sz w:val="24"/>
              </w:rPr>
            </w:pPr>
            <w:r>
              <w:rPr>
                <w:color w:val="auto"/>
                <w:sz w:val="24"/>
              </w:rPr>
              <w:t>圈养桶消毒环节：在圈养桶养殖设施建设完成后、投放鱼苗前，需对设施进行全面清理与消毒处理，以防控病虫害。马口鱼及观赏鱼养殖过程中常见病害为寄生虫病，主要由车轮虫与指环虫引发，具体防控措施如下：鱼种放养前，采用浓度为1g/m³的硫酸铜溶液进行全池泼洒，并保持浸浴30分钟，可有效预防寄生虫病；针对车轮虫病，需将硫酸铜（0.5g/m³）与硫酸亚铁（0.2g/m³）配制为合剂后，进行全池泼洒；针对指环虫病，需使用浓度为2g/m³的10%甲苯达唑溶液，对养殖水体进行2小时浸泡处理。</w:t>
            </w:r>
          </w:p>
          <w:p w14:paraId="6A649138">
            <w:pPr>
              <w:numPr>
                <w:ilvl w:val="0"/>
                <w:numId w:val="6"/>
              </w:numPr>
              <w:autoSpaceDE w:val="0"/>
              <w:autoSpaceDN w:val="0"/>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鱼苗放养</w:t>
            </w:r>
            <w:r>
              <w:rPr>
                <w:color w:val="auto"/>
                <w:sz w:val="24"/>
              </w:rPr>
              <w:t>环节</w:t>
            </w:r>
            <w:r>
              <w:rPr>
                <w:rFonts w:hint="eastAsia" w:ascii="宋体" w:hAnsi="宋体" w:cs="宋体"/>
                <w:color w:val="auto"/>
                <w:sz w:val="24"/>
              </w:rPr>
              <w:t>：鱼苗放养前1日，需先开展试水养殖作业，确认养殖环境无异常后，选取无病无伤、规格均匀、体质健壮的鱼苗，移入标准养殖桶内进行养殖。</w:t>
            </w:r>
          </w:p>
          <w:p w14:paraId="2F2402DD">
            <w:pPr>
              <w:numPr>
                <w:ilvl w:val="0"/>
                <w:numId w:val="6"/>
              </w:numPr>
              <w:autoSpaceDE w:val="0"/>
              <w:autoSpaceDN w:val="0"/>
              <w:adjustRightInd w:val="0"/>
              <w:snapToGrid w:val="0"/>
              <w:spacing w:line="360" w:lineRule="auto"/>
              <w:ind w:firstLine="480" w:firstLineChars="200"/>
              <w:jc w:val="left"/>
              <w:rPr>
                <w:color w:val="auto"/>
                <w:sz w:val="24"/>
              </w:rPr>
            </w:pPr>
            <w:r>
              <w:rPr>
                <w:color w:val="auto"/>
                <w:sz w:val="24"/>
              </w:rPr>
              <w:t>饲料投喂环节：喂养主要采用小鱼、小虾作为养殖饲料，投喂作业需严格遵循“四定”原则：①定时：每日分两次投喂，投喂时间分别为9:00与15:00；②定质：选用营养成分全面、质量符合标准的小鱼作为饲料；③定量：投喂量需根据马口鱼及观赏鱼体重、实际摄食情况及天气条件综合确定，通常控制在鱼体重的2%~3%；④定点：投喂位置需保持相对固定，以方便鱼类摄食。</w:t>
            </w:r>
            <w:r>
              <w:rPr>
                <w:rFonts w:hint="eastAsia" w:ascii="宋体" w:hAnsi="宋体" w:cs="宋体"/>
                <w:color w:val="auto"/>
                <w:sz w:val="24"/>
              </w:rPr>
              <w:t>本项目养殖过程中</w:t>
            </w:r>
            <w:r>
              <w:rPr>
                <w:color w:val="auto"/>
                <w:sz w:val="24"/>
              </w:rPr>
              <w:t>，不涉及天然水域投肥与投饵操作。</w:t>
            </w:r>
          </w:p>
          <w:p w14:paraId="138E92E2">
            <w:pPr>
              <w:numPr>
                <w:ilvl w:val="0"/>
                <w:numId w:val="6"/>
              </w:numPr>
              <w:autoSpaceDE w:val="0"/>
              <w:autoSpaceDN w:val="0"/>
              <w:adjustRightInd w:val="0"/>
              <w:snapToGrid w:val="0"/>
              <w:spacing w:line="360" w:lineRule="auto"/>
              <w:ind w:firstLine="480" w:firstLineChars="200"/>
              <w:jc w:val="left"/>
              <w:rPr>
                <w:color w:val="auto"/>
                <w:sz w:val="24"/>
              </w:rPr>
            </w:pPr>
            <w:r>
              <w:rPr>
                <w:color w:val="auto"/>
                <w:sz w:val="24"/>
              </w:rPr>
              <w:t>捕捞环节：马口鱼及观赏鱼养殖达到一定周期后（</w:t>
            </w:r>
            <w:r>
              <w:rPr>
                <w:rFonts w:hint="eastAsia"/>
                <w:color w:val="auto"/>
                <w:sz w:val="24"/>
              </w:rPr>
              <w:t>马口鱼</w:t>
            </w:r>
            <w:r>
              <w:rPr>
                <w:color w:val="auto"/>
                <w:sz w:val="24"/>
              </w:rPr>
              <w:t>养殖6-8个月可达到上市规格</w:t>
            </w:r>
            <w:r>
              <w:rPr>
                <w:rFonts w:hint="eastAsia"/>
                <w:color w:val="auto"/>
                <w:sz w:val="24"/>
              </w:rPr>
              <w:t>，观赏鱼</w:t>
            </w:r>
            <w:r>
              <w:rPr>
                <w:color w:val="auto"/>
                <w:sz w:val="24"/>
              </w:rPr>
              <w:t>养殖6-</w:t>
            </w:r>
            <w:r>
              <w:rPr>
                <w:rFonts w:hint="eastAsia"/>
                <w:color w:val="auto"/>
                <w:sz w:val="24"/>
              </w:rPr>
              <w:t>12</w:t>
            </w:r>
            <w:r>
              <w:rPr>
                <w:color w:val="auto"/>
                <w:sz w:val="24"/>
              </w:rPr>
              <w:t>个月可达到上市规格），采用自动捕捞技术开展捕捞。当需要进行分级处理或捕捞时，升起捕捞网隔即可实现便捷化起捕，该操作通常仅需2人即可完成，劳动力成本节约效果显著。待集成吸鱼泵技术装备后，可进一步实现捕捞作业机械化，完成成鱼捕捞工作。</w:t>
            </w:r>
          </w:p>
          <w:p w14:paraId="5FA59D39">
            <w:pPr>
              <w:numPr>
                <w:ilvl w:val="0"/>
                <w:numId w:val="6"/>
              </w:numPr>
              <w:autoSpaceDE w:val="0"/>
              <w:autoSpaceDN w:val="0"/>
              <w:adjustRightInd w:val="0"/>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外售</w:t>
            </w:r>
            <w:r>
              <w:rPr>
                <w:rFonts w:ascii="宋体" w:hAnsi="宋体" w:cs="宋体"/>
                <w:color w:val="auto"/>
                <w:sz w:val="24"/>
              </w:rPr>
              <w:t>环节</w:t>
            </w:r>
            <w:r>
              <w:rPr>
                <w:rFonts w:hint="eastAsia" w:ascii="宋体" w:hAnsi="宋体" w:cs="宋体"/>
                <w:color w:val="auto"/>
                <w:sz w:val="24"/>
              </w:rPr>
              <w:t>:完成全面捕捞作业后，对成鱼进行整理，随后开展对外销售工作，该养殖项目经济效益可观。</w:t>
            </w:r>
          </w:p>
          <w:p w14:paraId="6F8D8B97">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马口鱼、观赏鱼养殖过程主要产生的污染物为养殖黑水、养殖尾水、养殖恶臭、病死鱼及设备运行噪声；养殖黑水经吸污泵至尾水塔固液分离后上清液进入人工湿地净化后回用于圈养桶，养殖尾水经吸污泵至人工湿地净化后回用于圈养桶；养殖区产生少量的臭气无组织排放；同时，病死鱼及时清捞，一旦发现病死鱼，立即进行清捞处理，以减少水体发臭现象。</w:t>
            </w:r>
          </w:p>
        </w:tc>
      </w:tr>
    </w:tbl>
    <w:p w14:paraId="097FCA08">
      <w:pPr>
        <w:pStyle w:val="23"/>
        <w:jc w:val="center"/>
        <w:outlineLvl w:val="0"/>
        <w:rPr>
          <w:rFonts w:hint="eastAsia" w:ascii="黑体" w:hAnsi="黑体" w:eastAsia="黑体"/>
          <w:snapToGrid w:val="0"/>
          <w:color w:val="auto"/>
          <w:sz w:val="30"/>
          <w:szCs w:val="30"/>
        </w:rPr>
      </w:pPr>
      <w:r>
        <w:rPr>
          <w:rFonts w:eastAsia="仿宋_GB2312"/>
          <w:b/>
          <w:bCs/>
          <w:color w:val="auto"/>
        </w:rPr>
        <w:br w:type="page"/>
      </w:r>
      <w:bookmarkStart w:id="20" w:name="_Toc27771"/>
      <w:bookmarkStart w:id="21" w:name="_Toc27215"/>
      <w:bookmarkStart w:id="22" w:name="_Toc25544"/>
      <w:r>
        <w:rPr>
          <w:rFonts w:hint="eastAsia" w:ascii="黑体" w:hAnsi="黑体" w:eastAsia="黑体"/>
          <w:snapToGrid w:val="0"/>
          <w:color w:val="auto"/>
          <w:sz w:val="30"/>
          <w:szCs w:val="30"/>
        </w:rPr>
        <w:t>三、生态环境现状、保护目标及评价标准</w:t>
      </w:r>
      <w:bookmarkEnd w:id="20"/>
      <w:bookmarkEnd w:id="21"/>
      <w:bookmarkEnd w:id="22"/>
    </w:p>
    <w:tbl>
      <w:tblPr>
        <w:tblStyle w:val="27"/>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067"/>
      </w:tblGrid>
      <w:tr w14:paraId="66FA4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455" w:type="dxa"/>
            <w:vAlign w:val="center"/>
          </w:tcPr>
          <w:p w14:paraId="0676408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生态环境现状</w:t>
            </w:r>
          </w:p>
        </w:tc>
        <w:tc>
          <w:tcPr>
            <w:tcW w:w="8067" w:type="dxa"/>
            <w:vAlign w:val="center"/>
          </w:tcPr>
          <w:p w14:paraId="0195D6DB">
            <w:pPr>
              <w:widowControl/>
              <w:adjustRightInd w:val="0"/>
              <w:spacing w:line="360" w:lineRule="auto"/>
              <w:rPr>
                <w:rFonts w:hint="eastAsia" w:ascii="宋体" w:hAnsi="宋体" w:cs="宋体"/>
                <w:b/>
                <w:bCs/>
                <w:color w:val="auto"/>
                <w:sz w:val="24"/>
              </w:rPr>
            </w:pPr>
            <w:r>
              <w:rPr>
                <w:rFonts w:hint="eastAsia" w:ascii="宋体" w:hAnsi="宋体" w:cs="宋体"/>
                <w:b/>
                <w:bCs/>
                <w:color w:val="auto"/>
                <w:sz w:val="24"/>
              </w:rPr>
              <w:t>1、生态环境质量</w:t>
            </w:r>
          </w:p>
          <w:p w14:paraId="6C604D4C">
            <w:pPr>
              <w:adjustRightInd w:val="0"/>
              <w:snapToGrid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1.1、生态环境功能区划</w:t>
            </w:r>
          </w:p>
          <w:p w14:paraId="4582503A">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（1）主体功能区划</w:t>
            </w:r>
          </w:p>
          <w:p w14:paraId="334C8A93">
            <w:pPr>
              <w:pStyle w:val="9"/>
              <w:spacing w:before="0" w:after="0" w:line="360" w:lineRule="auto"/>
              <w:ind w:right="0" w:firstLine="480" w:firstLineChars="200"/>
              <w:rPr>
                <w:rFonts w:hint="eastAsia" w:ascii="宋体" w:hAnsi="宋体" w:cs="宋体"/>
                <w:color w:val="auto"/>
                <w:kern w:val="2"/>
                <w:sz w:val="24"/>
                <w:szCs w:val="24"/>
              </w:rPr>
            </w:pPr>
            <w:r>
              <w:rPr>
                <w:rFonts w:hint="eastAsia" w:ascii="宋体" w:hAnsi="宋体" w:cs="宋体"/>
                <w:color w:val="auto"/>
                <w:kern w:val="2"/>
                <w:sz w:val="24"/>
                <w:szCs w:val="24"/>
              </w:rPr>
              <w:t>根据《湖南省主体功能区规划》，岳阳市重点发展石化、电力、林纸一体化、农产品深加工旅游，打造中南地区大型石化产业基地、长江中游重要的航运口岸和物流基地，建成北连武汉城市圈、对接长三角的重要港口城市和环洞庭湖经济圈的重要中心城市。构建以沿湖风光带、南湖、君山为主体的城市绿地生态体系，打造宜居生态城市和休闲度假旅游城市，提升国家级历史文化名城品位。</w:t>
            </w:r>
          </w:p>
          <w:p w14:paraId="1A6D0A83">
            <w:pPr>
              <w:pStyle w:val="9"/>
              <w:spacing w:before="0" w:after="0" w:line="360" w:lineRule="auto"/>
              <w:ind w:right="0" w:firstLine="480" w:firstLineChars="200"/>
              <w:rPr>
                <w:color w:val="auto"/>
                <w:sz w:val="24"/>
                <w:szCs w:val="24"/>
              </w:rPr>
            </w:pPr>
            <w:r>
              <w:rPr>
                <w:rFonts w:hint="eastAsia"/>
                <w:color w:val="auto"/>
                <w:sz w:val="24"/>
                <w:szCs w:val="24"/>
              </w:rPr>
              <w:t>根据</w:t>
            </w:r>
            <w:r>
              <w:rPr>
                <w:color w:val="auto"/>
                <w:sz w:val="24"/>
                <w:szCs w:val="24"/>
              </w:rPr>
              <w:t>《岳阳市生态环境局关于发布岳阳市生态环境分区管控动态更新成果(2023年版)的通知》（岳环发〔2024〕14号）</w:t>
            </w:r>
            <w:r>
              <w:rPr>
                <w:rFonts w:hint="eastAsia"/>
                <w:color w:val="auto"/>
                <w:sz w:val="24"/>
                <w:szCs w:val="24"/>
              </w:rPr>
              <w:t>钱粮湖</w:t>
            </w:r>
            <w:r>
              <w:rPr>
                <w:color w:val="auto"/>
                <w:sz w:val="24"/>
                <w:szCs w:val="24"/>
              </w:rPr>
              <w:t>镇经济产业布局</w:t>
            </w:r>
            <w:r>
              <w:rPr>
                <w:rFonts w:hint="eastAsia"/>
                <w:color w:val="auto"/>
                <w:sz w:val="24"/>
                <w:szCs w:val="24"/>
              </w:rPr>
              <w:t>为</w:t>
            </w:r>
            <w:r>
              <w:rPr>
                <w:color w:val="auto"/>
                <w:sz w:val="24"/>
                <w:szCs w:val="24"/>
              </w:rPr>
              <w:t>发展现代高效农业、发展水产养殖业和林业、发展农副产品加工工业、发展旅游、旅游服务业、畜禽养殖业。</w:t>
            </w:r>
            <w:r>
              <w:rPr>
                <w:rFonts w:hint="eastAsia"/>
                <w:color w:val="auto"/>
                <w:sz w:val="24"/>
                <w:szCs w:val="24"/>
              </w:rPr>
              <w:t>本项目为渔业养殖项目，项目建设不会改变区域的功能区划，本项目与《湖南省主体功能区划》相符。</w:t>
            </w:r>
          </w:p>
          <w:p w14:paraId="643906A6">
            <w:pPr>
              <w:pStyle w:val="9"/>
              <w:spacing w:before="0" w:after="0" w:line="360" w:lineRule="auto"/>
              <w:ind w:right="0" w:firstLine="480" w:firstLineChars="200"/>
              <w:rPr>
                <w:color w:val="auto"/>
                <w:sz w:val="24"/>
                <w:szCs w:val="24"/>
              </w:rPr>
            </w:pPr>
            <w:r>
              <w:rPr>
                <w:rFonts w:hint="eastAsia"/>
                <w:color w:val="auto"/>
                <w:sz w:val="24"/>
                <w:szCs w:val="24"/>
              </w:rPr>
              <w:t>（2）生态功能区划</w:t>
            </w:r>
          </w:p>
          <w:p w14:paraId="3F6C0F82">
            <w:pPr>
              <w:widowControl/>
              <w:snapToGrid w:val="0"/>
              <w:spacing w:before="0" w:after="0" w:line="360" w:lineRule="auto"/>
              <w:ind w:right="0" w:firstLine="480" w:firstLineChars="20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全国生态功能区划（修编版）》（环境保护部、中国科学院，2015年），项目区属生态调节功能区-洪水调蓄功能区-洞庭湖洪水调蓄与生物多样性保护功能区。项目位于洞庭湖区，为长江中游的天然洪水调蓄库，也是我国重要水产品生产区，此外，该区洲滩及湿地植物发育，为迁徙鸟类重要的越冬地，区域生物多样性丰富。</w:t>
            </w:r>
          </w:p>
          <w:p w14:paraId="7BE879AE">
            <w:pPr>
              <w:autoSpaceDE w:val="0"/>
              <w:autoSpaceDN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 xml:space="preserve">表3-1   </w:t>
            </w:r>
            <w:r>
              <w:rPr>
                <w:rFonts w:hint="default" w:ascii="Times New Roman" w:hAnsi="Times New Roman" w:eastAsia="宋体" w:cs="Times New Roman"/>
                <w:b/>
                <w:bCs/>
                <w:color w:val="auto"/>
                <w:szCs w:val="21"/>
                <w:lang w:val="en-US" w:eastAsia="zh-CN"/>
              </w:rPr>
              <w:t>评价区所在全国生态功能区划</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01"/>
              <w:gridCol w:w="987"/>
              <w:gridCol w:w="2184"/>
              <w:gridCol w:w="3646"/>
            </w:tblGrid>
            <w:tr w14:paraId="1C0CD3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9" w:hRule="atLeast"/>
                <w:jc w:val="center"/>
              </w:trPr>
              <w:tc>
                <w:tcPr>
                  <w:tcW w:w="640" w:type="pct"/>
                  <w:tcBorders>
                    <w:tl2br w:val="nil"/>
                    <w:tr2bl w:val="nil"/>
                  </w:tcBorders>
                  <w:vAlign w:val="center"/>
                </w:tcPr>
                <w:p w14:paraId="0B5D4675">
                  <w:pPr>
                    <w:pStyle w:val="9"/>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lang w:val="en-US" w:eastAsia="zh-CN"/>
                    </w:rPr>
                    <w:t>生态功能区</w:t>
                  </w:r>
                </w:p>
              </w:tc>
              <w:tc>
                <w:tcPr>
                  <w:tcW w:w="631" w:type="pct"/>
                  <w:tcBorders>
                    <w:tl2br w:val="nil"/>
                    <w:tr2bl w:val="nil"/>
                  </w:tcBorders>
                  <w:vAlign w:val="center"/>
                </w:tcPr>
                <w:p w14:paraId="526E0AC1">
                  <w:pPr>
                    <w:pStyle w:val="9"/>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lang w:val="en-US" w:eastAsia="zh-CN"/>
                    </w:rPr>
                    <w:t>生态功能</w:t>
                  </w:r>
                </w:p>
              </w:tc>
              <w:tc>
                <w:tcPr>
                  <w:tcW w:w="1396" w:type="pct"/>
                  <w:tcBorders>
                    <w:tl2br w:val="nil"/>
                    <w:tr2bl w:val="nil"/>
                  </w:tcBorders>
                  <w:vAlign w:val="center"/>
                </w:tcPr>
                <w:p w14:paraId="5EA9F2FA">
                  <w:pPr>
                    <w:widowControl w:val="0"/>
                    <w:adjustRightInd w:val="0"/>
                    <w:spacing w:line="240" w:lineRule="auto"/>
                    <w:ind w:right="-76"/>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lang w:val="en-US" w:eastAsia="zh-CN"/>
                    </w:rPr>
                    <w:t>主要生态问题</w:t>
                  </w:r>
                </w:p>
              </w:tc>
              <w:tc>
                <w:tcPr>
                  <w:tcW w:w="2331" w:type="pct"/>
                  <w:tcBorders>
                    <w:tl2br w:val="nil"/>
                    <w:tr2bl w:val="nil"/>
                  </w:tcBorders>
                  <w:vAlign w:val="center"/>
                </w:tcPr>
                <w:p w14:paraId="5249FF24">
                  <w:pPr>
                    <w:widowControl w:val="0"/>
                    <w:adjustRightInd w:val="0"/>
                    <w:spacing w:line="240" w:lineRule="auto"/>
                    <w:ind w:right="-76"/>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sz w:val="21"/>
                      <w:szCs w:val="21"/>
                      <w:lang w:val="en-US" w:eastAsia="zh-CN"/>
                    </w:rPr>
                    <w:t>保护措施</w:t>
                  </w:r>
                </w:p>
              </w:tc>
            </w:tr>
            <w:tr w14:paraId="76A4F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63" w:hRule="atLeast"/>
                <w:jc w:val="center"/>
              </w:trPr>
              <w:tc>
                <w:tcPr>
                  <w:tcW w:w="640" w:type="pct"/>
                  <w:tcBorders>
                    <w:tl2br w:val="nil"/>
                    <w:tr2bl w:val="nil"/>
                  </w:tcBorders>
                  <w:vAlign w:val="center"/>
                </w:tcPr>
                <w:p w14:paraId="113EC3CF">
                  <w:pPr>
                    <w:pStyle w:val="9"/>
                    <w:spacing w:before="0" w:after="0" w:line="240" w:lineRule="auto"/>
                    <w:ind w:right="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洞庭湖洪水调蓄与生物多样性保护功能区</w:t>
                  </w:r>
                </w:p>
              </w:tc>
              <w:tc>
                <w:tcPr>
                  <w:tcW w:w="631" w:type="pct"/>
                  <w:tcBorders>
                    <w:tl2br w:val="nil"/>
                    <w:tr2bl w:val="nil"/>
                  </w:tcBorders>
                  <w:vAlign w:val="center"/>
                </w:tcPr>
                <w:p w14:paraId="66962588">
                  <w:pPr>
                    <w:autoSpaceDE w:val="0"/>
                    <w:autoSpaceDN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洪水调蓄、生物多样性保护</w:t>
                  </w:r>
                </w:p>
              </w:tc>
              <w:tc>
                <w:tcPr>
                  <w:tcW w:w="1396" w:type="pct"/>
                  <w:tcBorders>
                    <w:tl2br w:val="nil"/>
                    <w:tr2bl w:val="nil"/>
                  </w:tcBorders>
                  <w:vAlign w:val="center"/>
                </w:tcPr>
                <w:p w14:paraId="4E5E8127">
                  <w:pPr>
                    <w:pStyle w:val="9"/>
                    <w:spacing w:before="0" w:after="0" w:line="240" w:lineRule="auto"/>
                    <w:ind w:right="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湖泊围垦和泥沙淤积导致湖泊面积和容积缩小，洪水调蓄能力降低；迁徙鸟类等重要物种的栖息地受到损害；随着洞庭湖流域经济发展与城市化，水环境质量面临威胁</w:t>
                  </w:r>
                </w:p>
              </w:tc>
              <w:tc>
                <w:tcPr>
                  <w:tcW w:w="2331" w:type="pct"/>
                  <w:tcBorders>
                    <w:tl2br w:val="nil"/>
                    <w:tr2bl w:val="nil"/>
                  </w:tcBorders>
                  <w:vAlign w:val="center"/>
                </w:tcPr>
                <w:p w14:paraId="1A07CA37">
                  <w:pPr>
                    <w:pStyle w:val="9"/>
                    <w:spacing w:before="0" w:after="0" w:line="240" w:lineRule="auto"/>
                    <w:ind w:right="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实行平垸行洪、退田还湖、移民建镇，扩大湖泊面积，提高其洪水调蓄的能力；以湿地生物多样性保护为核心，加强区内湿地自然保护区的建设与管理，处理好湿地生态保护与经济发展关系，保护渔业资源与水生生物多样性；控制点源和面源污染，加强江湖关系演变的监测和研究，实施长江干流水利工程的生态调度，保护与恢复洞庭湖生态系统结构与功能</w:t>
                  </w:r>
                </w:p>
              </w:tc>
            </w:tr>
          </w:tbl>
          <w:p w14:paraId="299738FA">
            <w:pPr>
              <w:pStyle w:val="9"/>
              <w:spacing w:before="0" w:after="0" w:line="360" w:lineRule="auto"/>
              <w:ind w:right="0" w:firstLine="480" w:firstLineChars="200"/>
              <w:rPr>
                <w:rFonts w:hint="eastAsia"/>
                <w:color w:val="auto"/>
                <w:sz w:val="24"/>
                <w:szCs w:val="24"/>
              </w:rPr>
            </w:pPr>
            <w:r>
              <w:rPr>
                <w:rFonts w:hint="eastAsia"/>
                <w:color w:val="auto"/>
                <w:sz w:val="24"/>
                <w:szCs w:val="24"/>
                <w:lang w:val="en-US" w:eastAsia="zh-CN"/>
              </w:rPr>
              <w:t xml:space="preserve">（二）湖南省生态功能区划 </w:t>
            </w:r>
          </w:p>
          <w:p w14:paraId="48B10818">
            <w:pPr>
              <w:pStyle w:val="9"/>
              <w:spacing w:before="0" w:after="0" w:line="360" w:lineRule="auto"/>
              <w:ind w:right="0" w:firstLine="480" w:firstLineChars="200"/>
              <w:rPr>
                <w:rFonts w:hint="eastAsia"/>
                <w:color w:val="auto"/>
                <w:sz w:val="24"/>
                <w:szCs w:val="24"/>
              </w:rPr>
            </w:pPr>
            <w:r>
              <w:rPr>
                <w:rFonts w:hint="eastAsia"/>
                <w:color w:val="auto"/>
                <w:sz w:val="24"/>
                <w:szCs w:val="24"/>
                <w:lang w:val="en-US" w:eastAsia="zh-CN"/>
              </w:rPr>
              <w:t>根据《湖南省生态功能区划研究报告》(湖南省环境保护局等，2005 年)，评价区属洞庭湖平原农业生态区—洞庭湖平原湿地与农业生态亚区—洞庭湖湖泊洪水调蓄与生物多样性保护生态功能区。本区湖泊面积大，是长江中下游极重要的天然洪水调蓄库，对湖南省乃至长江流域的生态安全具有十分重要的作用。同时湖内湿生植物丰富，洲滩连片，为水禽提供了良好的栖息和觅食条件，是珍稀水禽的重要越冬地，区域生物多样性丰富。</w:t>
            </w:r>
          </w:p>
          <w:p w14:paraId="718FFCE7">
            <w:pPr>
              <w:autoSpaceDE w:val="0"/>
              <w:autoSpaceDN w:val="0"/>
              <w:jc w:val="center"/>
              <w:rPr>
                <w:rFonts w:hint="eastAsia" w:ascii="宋体" w:hAnsi="宋体" w:eastAsia="宋体" w:cs="宋体"/>
                <w:b/>
                <w:bCs/>
                <w:color w:val="auto"/>
                <w:szCs w:val="21"/>
              </w:rPr>
            </w:pPr>
            <w:r>
              <w:rPr>
                <w:rFonts w:hint="eastAsia" w:ascii="宋体" w:hAnsi="宋体" w:eastAsia="宋体" w:cs="宋体"/>
                <w:b/>
                <w:bCs/>
                <w:color w:val="auto"/>
                <w:szCs w:val="21"/>
              </w:rPr>
              <w:t>表3-</w:t>
            </w:r>
            <w:r>
              <w:rPr>
                <w:rFonts w:hint="eastAsia" w:ascii="宋体" w:hAnsi="宋体" w:eastAsia="宋体" w:cs="宋体"/>
                <w:b/>
                <w:bCs/>
                <w:color w:val="auto"/>
                <w:szCs w:val="21"/>
                <w:lang w:val="en-US" w:eastAsia="zh-CN"/>
              </w:rPr>
              <w:t>2</w:t>
            </w:r>
            <w:r>
              <w:rPr>
                <w:rFonts w:hint="eastAsia" w:ascii="宋体" w:hAnsi="宋体" w:eastAsia="宋体" w:cs="宋体"/>
                <w:b/>
                <w:bCs/>
                <w:color w:val="auto"/>
                <w:szCs w:val="21"/>
              </w:rPr>
              <w:t xml:space="preserve">   </w:t>
            </w:r>
            <w:r>
              <w:rPr>
                <w:rFonts w:hint="eastAsia" w:ascii="宋体" w:hAnsi="宋体" w:eastAsia="宋体" w:cs="宋体"/>
                <w:b/>
                <w:bCs/>
                <w:color w:val="auto"/>
                <w:szCs w:val="21"/>
                <w:lang w:val="en-US" w:eastAsia="zh-CN"/>
              </w:rPr>
              <w:t>评价区所在湖南省生态功能区划</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80"/>
              <w:gridCol w:w="1175"/>
              <w:gridCol w:w="5063"/>
            </w:tblGrid>
            <w:tr w14:paraId="046866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9" w:hRule="atLeast"/>
                <w:jc w:val="center"/>
              </w:trPr>
              <w:tc>
                <w:tcPr>
                  <w:tcW w:w="1011" w:type="pct"/>
                  <w:tcBorders>
                    <w:tl2br w:val="nil"/>
                    <w:tr2bl w:val="nil"/>
                  </w:tcBorders>
                  <w:vAlign w:val="center"/>
                </w:tcPr>
                <w:p w14:paraId="4E34EFCA">
                  <w:pPr>
                    <w:pStyle w:val="9"/>
                    <w:spacing w:before="0" w:after="0" w:line="240" w:lineRule="auto"/>
                    <w:ind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生态功能区</w:t>
                  </w:r>
                </w:p>
              </w:tc>
              <w:tc>
                <w:tcPr>
                  <w:tcW w:w="751" w:type="pct"/>
                  <w:tcBorders>
                    <w:tl2br w:val="nil"/>
                    <w:tr2bl w:val="nil"/>
                  </w:tcBorders>
                  <w:vAlign w:val="center"/>
                </w:tcPr>
                <w:p w14:paraId="3574353E">
                  <w:pPr>
                    <w:pStyle w:val="9"/>
                    <w:spacing w:before="0" w:after="0" w:line="240" w:lineRule="auto"/>
                    <w:ind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生态功能</w:t>
                  </w:r>
                </w:p>
              </w:tc>
              <w:tc>
                <w:tcPr>
                  <w:tcW w:w="3237" w:type="pct"/>
                  <w:tcBorders>
                    <w:tl2br w:val="nil"/>
                    <w:tr2bl w:val="nil"/>
                  </w:tcBorders>
                  <w:vAlign w:val="center"/>
                </w:tcPr>
                <w:p w14:paraId="3C669D3F">
                  <w:pPr>
                    <w:pStyle w:val="9"/>
                    <w:spacing w:before="0" w:after="0" w:line="240" w:lineRule="auto"/>
                    <w:ind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保护措施</w:t>
                  </w:r>
                </w:p>
              </w:tc>
            </w:tr>
            <w:tr w14:paraId="78FF0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5" w:hRule="atLeast"/>
                <w:jc w:val="center"/>
              </w:trPr>
              <w:tc>
                <w:tcPr>
                  <w:tcW w:w="1011" w:type="pct"/>
                  <w:tcBorders>
                    <w:tl2br w:val="nil"/>
                    <w:tr2bl w:val="nil"/>
                  </w:tcBorders>
                  <w:vAlign w:val="center"/>
                </w:tcPr>
                <w:p w14:paraId="3E3E6582">
                  <w:pPr>
                    <w:pStyle w:val="9"/>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洞庭湖湖泊洪水调蓄与生物多样性保护生态功能区</w:t>
                  </w:r>
                </w:p>
              </w:tc>
              <w:tc>
                <w:tcPr>
                  <w:tcW w:w="751" w:type="pct"/>
                  <w:tcBorders>
                    <w:tl2br w:val="nil"/>
                    <w:tr2bl w:val="nil"/>
                  </w:tcBorders>
                  <w:vAlign w:val="center"/>
                </w:tcPr>
                <w:p w14:paraId="2F033034">
                  <w:pPr>
                    <w:pStyle w:val="9"/>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洪水调蓄、生物多样性保护</w:t>
                  </w:r>
                </w:p>
              </w:tc>
              <w:tc>
                <w:tcPr>
                  <w:tcW w:w="3237" w:type="pct"/>
                  <w:tcBorders>
                    <w:tl2br w:val="nil"/>
                    <w:tr2bl w:val="nil"/>
                  </w:tcBorders>
                  <w:vAlign w:val="center"/>
                </w:tcPr>
                <w:p w14:paraId="1EF821CD">
                  <w:pPr>
                    <w:pStyle w:val="9"/>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实行平垸行洪、退田还湖、移民建镇，扩大湖泊面积，提高其调蓄洪水的能力；以湿地生物多样性保护为核心，加强区内湿地自然保护区的建设与管理；加强生态水产养殖，控制面源污染。</w:t>
                  </w:r>
                </w:p>
              </w:tc>
            </w:tr>
          </w:tbl>
          <w:p w14:paraId="6953812E">
            <w:pPr>
              <w:adjustRightInd w:val="0"/>
              <w:snapToGrid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1.2、陆生生态环境现状</w:t>
            </w:r>
          </w:p>
          <w:p w14:paraId="438FB733">
            <w:pPr>
              <w:adjustRightInd w:val="0"/>
              <w:snapToGrid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（1）植被群落及种类</w:t>
            </w:r>
          </w:p>
          <w:p w14:paraId="7B73F22C">
            <w:pPr>
              <w:spacing w:line="360" w:lineRule="auto"/>
              <w:ind w:firstLine="480" w:firstLineChars="200"/>
              <w:jc w:val="left"/>
              <w:rPr>
                <w:color w:val="auto"/>
                <w:kern w:val="0"/>
                <w:sz w:val="24"/>
              </w:rPr>
            </w:pPr>
            <w:r>
              <w:rPr>
                <w:color w:val="auto"/>
                <w:kern w:val="0"/>
                <w:sz w:val="24"/>
              </w:rPr>
              <w:t>评价区内植被的水平分布来源于人为干扰强度不同及水文的差异。工程堤岸背水面以耕地及建筑用地为主，人为活动频繁，植被以栽培植被及次生植被为主，栽培植被主要为水稻、玉米等；次生植被主要有构树、狗牙根等。堤岸迎水面以滩涂地及水域为主，植被多为湿地植被及栽培植被，湿地植被常见有蒌蒿、芦苇、酸模叶蓼、凤眼莲、空心莲子草等；栽培植被主要为人工防护林，常见有加杨等。评价区水系发达，农耕历史悠久，人为活动频繁，区内基本不存在原生植被，自然植被分布较少，群落结构组成相对简单。</w:t>
            </w:r>
          </w:p>
          <w:p w14:paraId="2A1E693D">
            <w:pPr>
              <w:keepNext/>
              <w:keepLines/>
              <w:spacing w:line="360" w:lineRule="auto"/>
              <w:ind w:firstLine="482" w:firstLineChars="200"/>
              <w:jc w:val="left"/>
              <w:outlineLvl w:val="2"/>
              <w:rPr>
                <w:b/>
                <w:bCs/>
                <w:color w:val="auto"/>
                <w:sz w:val="24"/>
                <w:lang w:val="zh-CN"/>
              </w:rPr>
            </w:pPr>
            <w:r>
              <w:rPr>
                <w:rFonts w:hint="eastAsia"/>
                <w:b/>
                <w:bCs/>
                <w:color w:val="auto"/>
                <w:sz w:val="24"/>
              </w:rPr>
              <w:t>（2）野生动物情况</w:t>
            </w:r>
          </w:p>
          <w:p w14:paraId="6BB80853">
            <w:pPr>
              <w:widowControl/>
              <w:spacing w:line="360" w:lineRule="auto"/>
              <w:ind w:firstLine="480" w:firstLineChars="200"/>
              <w:rPr>
                <w:color w:val="auto"/>
                <w:kern w:val="0"/>
                <w:sz w:val="24"/>
              </w:rPr>
            </w:pPr>
            <w:r>
              <w:rPr>
                <w:rFonts w:hint="eastAsia"/>
                <w:color w:val="auto"/>
                <w:sz w:val="24"/>
              </w:rPr>
              <w:t>根据现场调查，评价区两栖类主要是栖息于水域及附近灌草丛中的物种，以陆栖型和静水型两栖类为主。工程施工占用的水域及草地面积，会对两栖类生存空间形成挤压，受工程影响较大的主要有在静水或缓流中觅食的黑斑侧褶蛙、湖北侧褶蛙和虎纹蛙等，栖息在离水源较近的陆地上的中华蟾蜍、饰纹姬蛙、泽陆蛙等。</w:t>
            </w:r>
            <w:r>
              <w:rPr>
                <w:color w:val="auto"/>
                <w:kern w:val="0"/>
                <w:sz w:val="24"/>
              </w:rPr>
              <w:t>评价区中爬行类种类最多的是林栖傍水型，包括赤链蛇、虎斑颈槽蛇、赤链蛇、银环蛇、乌梢蛇等，施工过程中开挖会影响其生存和繁殖。由于工程影响区域附近相似生境较多，爬行类可以顺利迁移，且施工结束后临时占地区植被得以恢复，其可重新回到原来的栖息地生活。</w:t>
            </w:r>
            <w:r>
              <w:rPr>
                <w:color w:val="auto"/>
                <w:sz w:val="24"/>
                <w:lang w:val="zh-CN"/>
              </w:rPr>
              <w:t>。</w:t>
            </w:r>
          </w:p>
          <w:p w14:paraId="0E2436B7">
            <w:pPr>
              <w:keepNext/>
              <w:keepLines/>
              <w:spacing w:line="360" w:lineRule="auto"/>
              <w:ind w:firstLine="480" w:firstLineChars="200"/>
              <w:jc w:val="left"/>
              <w:outlineLvl w:val="2"/>
              <w:rPr>
                <w:color w:val="auto"/>
                <w:sz w:val="24"/>
              </w:rPr>
            </w:pPr>
            <w:r>
              <w:rPr>
                <w:rFonts w:hint="eastAsia"/>
                <w:color w:val="auto"/>
                <w:sz w:val="24"/>
              </w:rPr>
              <w:t>根据调查，评价区共记录野生动物218种，其中国家I级重点野生保护动物1种，即白鹤；国家Ⅱ级重点野生保护动物7种，即灰鹤、小天鹅、鸿雁、白琵鹭、白额雁、小白额雁和画眉。鸟类中的游禽如罗纹鸭等，涉禽如凤头麦鸡等，傍水型的鸟类如普通翠鸟等。</w:t>
            </w:r>
          </w:p>
          <w:p w14:paraId="1E53C6F3">
            <w:pPr>
              <w:keepNext/>
              <w:keepLines/>
              <w:spacing w:line="360" w:lineRule="auto"/>
              <w:ind w:firstLine="482" w:firstLineChars="200"/>
              <w:jc w:val="left"/>
              <w:outlineLvl w:val="2"/>
              <w:rPr>
                <w:b/>
                <w:bCs/>
                <w:color w:val="auto"/>
                <w:sz w:val="24"/>
              </w:rPr>
            </w:pPr>
            <w:r>
              <w:rPr>
                <w:rFonts w:hint="eastAsia"/>
                <w:b/>
                <w:bCs/>
                <w:color w:val="auto"/>
                <w:sz w:val="24"/>
              </w:rPr>
              <w:t>1.3、水生生态环境现状</w:t>
            </w:r>
          </w:p>
          <w:p w14:paraId="0F042229">
            <w:pPr>
              <w:keepNext/>
              <w:keepLines/>
              <w:spacing w:line="360" w:lineRule="auto"/>
              <w:ind w:firstLine="480" w:firstLineChars="200"/>
              <w:jc w:val="left"/>
              <w:outlineLvl w:val="2"/>
              <w:rPr>
                <w:rFonts w:hint="eastAsia" w:ascii="宋体" w:hAnsi="宋体" w:cs="宋体"/>
                <w:b/>
                <w:bCs/>
                <w:color w:val="auto"/>
                <w:sz w:val="24"/>
              </w:rPr>
            </w:pPr>
            <w:r>
              <w:rPr>
                <w:rFonts w:hint="eastAsia"/>
                <w:color w:val="auto"/>
                <w:sz w:val="24"/>
              </w:rPr>
              <w:t>根据现场调查，现有鱼塘内不存在珍稀野生保护鱼类，存在的鱼类主要为常见鱼类，主要以草鱼、鲫鱼、鲢鱼等为主。水生植物主要有水生维管束植物和浮游植物，水生维管束植物常见种类主要包括挺水植物、浮叶植物、沉水植物和漂浮植物，该治理河段主要以挺水植物和漂浮植物为主，常见挺水植物主要有芦、蒲草、荸荠及水芹等，常见漂浮植物主要有芜萍、紫背浮萍及水浮莲等；浮游植物以藻类为主，该河段浮游藻类主要有蓝藻门、金藻门、甲藻门和裸藻门等。水生动物主要有浮游动物、底栖动物及鱼类，浮游动物是一类经常在水中浮游，本身不能制造有机物的异养型无脊椎动物和脊索动物幼体的总称，主要以藻类、细菌和一些食物碎屑为食，浮游动物的种类极多，从低等的微小原生动物、腔肠动物、栉水母、轮虫、甲壳动物、腹足动物、桡足类等到高等的尾索动物，底栖动物是指生活史的全部或大部分时间生活于水体底部的水生动物群，主要以悬浮物和沉积物为主，底栖动物是一个庞杂的生态类群，其所包括的种类及其生活方式较浮游动物复杂得多，常见的底栖动物有软体动物门的腹足纲的螺和瓣鳃纲的蚌、河蚬等；环节动物门寡毛纲的水丝蚓、尾鳃蚓等，蛭纲的舌蛭、泽蛭等，多毛纲的沙蚕；节肢动物门昆虫纲的摇蚊幼虫、蜻蜓幼虫、蜉蝣目稚虫等，甲壳纲的虾、蟹等；扁形动物门涡虫纲等，底栖动物主要以摇蚊幼虫、水蚯蚓、水生昆虫、虾、螺等。</w:t>
            </w:r>
          </w:p>
          <w:p w14:paraId="2C9F361E">
            <w:pPr>
              <w:widowControl/>
              <w:adjustRightInd w:val="0"/>
              <w:spacing w:line="360" w:lineRule="auto"/>
              <w:rPr>
                <w:rFonts w:hint="eastAsia" w:ascii="宋体" w:hAnsi="宋体" w:cs="宋体"/>
                <w:b/>
                <w:bCs/>
                <w:color w:val="auto"/>
                <w:sz w:val="24"/>
              </w:rPr>
            </w:pPr>
            <w:r>
              <w:rPr>
                <w:rFonts w:hint="eastAsia" w:ascii="宋体" w:hAnsi="宋体" w:cs="宋体"/>
                <w:b/>
                <w:bCs/>
                <w:color w:val="auto"/>
                <w:sz w:val="24"/>
              </w:rPr>
              <w:t>2、大气环境现状调查与评价</w:t>
            </w:r>
          </w:p>
          <w:p w14:paraId="72EBF1B7">
            <w:pPr>
              <w:adjustRightInd w:val="0"/>
              <w:snapToGrid w:val="0"/>
              <w:spacing w:line="360" w:lineRule="auto"/>
              <w:ind w:firstLine="482" w:firstLineChars="200"/>
              <w:rPr>
                <w:color w:val="auto"/>
                <w:sz w:val="24"/>
              </w:rPr>
            </w:pPr>
            <w:r>
              <w:rPr>
                <w:rFonts w:hint="eastAsia" w:ascii="宋体" w:hAnsi="宋体" w:cs="宋体"/>
                <w:b/>
                <w:bCs/>
                <w:color w:val="auto"/>
                <w:sz w:val="24"/>
              </w:rPr>
              <w:t>2.1、常规因子环境质量现状</w:t>
            </w:r>
          </w:p>
          <w:p w14:paraId="60A4EAFF">
            <w:pPr>
              <w:spacing w:line="360" w:lineRule="auto"/>
              <w:ind w:firstLine="482"/>
              <w:rPr>
                <w:color w:val="auto"/>
                <w:sz w:val="24"/>
                <w:szCs w:val="20"/>
              </w:rPr>
            </w:pPr>
            <w:r>
              <w:rPr>
                <w:color w:val="auto"/>
                <w:sz w:val="24"/>
                <w:szCs w:val="20"/>
              </w:rPr>
              <w:t>根据《环境影响评价技术导则-大气环境》（HJ2.2-2018）中“5.5评价基准年筛选依据评价所需环境空气质量现状、气象资料等数据的可获得性、数据质量、代表性等因素，选择近3年中数据相对完整的1个日历年作为评价基准年”、“6.2.1.1项目所在区域达标判定，优先采用国家或生态环境主管部门发布的平均基准年环境质量公告或环境质量报告中的数据或结论”。</w:t>
            </w:r>
            <w:r>
              <w:rPr>
                <w:color w:val="auto"/>
                <w:sz w:val="24"/>
              </w:rPr>
              <w:t>为了解本项目周边环境空气质量状况，本评价收集了202</w:t>
            </w:r>
            <w:r>
              <w:rPr>
                <w:rFonts w:hint="eastAsia"/>
                <w:color w:val="auto"/>
                <w:sz w:val="24"/>
              </w:rPr>
              <w:t>4</w:t>
            </w:r>
            <w:r>
              <w:rPr>
                <w:color w:val="auto"/>
                <w:sz w:val="24"/>
              </w:rPr>
              <w:t>年</w:t>
            </w:r>
            <w:r>
              <w:rPr>
                <w:rFonts w:hint="eastAsia"/>
                <w:color w:val="auto"/>
                <w:sz w:val="24"/>
              </w:rPr>
              <w:t>君山区</w:t>
            </w:r>
            <w:r>
              <w:rPr>
                <w:color w:val="auto"/>
                <w:sz w:val="24"/>
              </w:rPr>
              <w:t>常规监测点的基本污染物环境空气质量现状数据</w:t>
            </w:r>
            <w:r>
              <w:rPr>
                <w:rFonts w:hint="eastAsia"/>
                <w:color w:val="auto"/>
                <w:sz w:val="24"/>
              </w:rPr>
              <w:t>，</w:t>
            </w:r>
            <w:r>
              <w:rPr>
                <w:color w:val="auto"/>
                <w:sz w:val="24"/>
                <w:szCs w:val="20"/>
              </w:rPr>
              <w:t>具体监测数据见下表</w:t>
            </w:r>
            <w:r>
              <w:rPr>
                <w:rFonts w:hint="eastAsia"/>
                <w:color w:val="auto"/>
                <w:sz w:val="24"/>
                <w:szCs w:val="20"/>
              </w:rPr>
              <w:t>：</w:t>
            </w:r>
          </w:p>
          <w:p w14:paraId="31D819AC">
            <w:pPr>
              <w:autoSpaceDE w:val="0"/>
              <w:autoSpaceDN w:val="0"/>
              <w:jc w:val="center"/>
              <w:rPr>
                <w:rFonts w:hint="eastAsia" w:ascii="宋体" w:hAnsi="宋体" w:cs="宋体"/>
                <w:b/>
                <w:bCs/>
                <w:color w:val="auto"/>
                <w:szCs w:val="21"/>
              </w:rPr>
            </w:pPr>
            <w:r>
              <w:rPr>
                <w:rFonts w:hint="eastAsia" w:ascii="宋体" w:hAnsi="宋体" w:cs="宋体"/>
                <w:b/>
                <w:bCs/>
                <w:color w:val="auto"/>
                <w:szCs w:val="21"/>
              </w:rPr>
              <w:t>表3-</w:t>
            </w:r>
            <w:r>
              <w:rPr>
                <w:rFonts w:hint="eastAsia" w:ascii="宋体" w:hAnsi="宋体" w:cs="宋体"/>
                <w:b/>
                <w:bCs/>
                <w:color w:val="auto"/>
                <w:szCs w:val="21"/>
                <w:lang w:val="en-US" w:eastAsia="zh-CN"/>
              </w:rPr>
              <w:t>3</w:t>
            </w:r>
            <w:r>
              <w:rPr>
                <w:rFonts w:hint="eastAsia" w:ascii="宋体" w:hAnsi="宋体" w:cs="宋体"/>
                <w:b/>
                <w:bCs/>
                <w:color w:val="auto"/>
                <w:szCs w:val="21"/>
              </w:rPr>
              <w:t xml:space="preserve">   2024年君山区环境空气质量状况</w:t>
            </w:r>
          </w:p>
          <w:tbl>
            <w:tblPr>
              <w:tblStyle w:val="27"/>
              <w:tblW w:w="785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1"/>
              <w:gridCol w:w="700"/>
              <w:gridCol w:w="1714"/>
              <w:gridCol w:w="863"/>
              <w:gridCol w:w="1173"/>
              <w:gridCol w:w="1115"/>
              <w:gridCol w:w="863"/>
              <w:gridCol w:w="748"/>
            </w:tblGrid>
            <w:tr w14:paraId="497E0D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9" w:hRule="atLeast"/>
                <w:jc w:val="center"/>
              </w:trPr>
              <w:tc>
                <w:tcPr>
                  <w:tcW w:w="681" w:type="dxa"/>
                  <w:tcBorders>
                    <w:tl2br w:val="nil"/>
                    <w:tr2bl w:val="nil"/>
                  </w:tcBorders>
                  <w:vAlign w:val="center"/>
                </w:tcPr>
                <w:p w14:paraId="4A5D9794">
                  <w:pPr>
                    <w:pStyle w:val="64"/>
                    <w:ind w:right="-76"/>
                    <w:rPr>
                      <w:rFonts w:hint="eastAsia"/>
                      <w:b/>
                      <w:color w:val="auto"/>
                    </w:rPr>
                  </w:pPr>
                  <w:r>
                    <w:rPr>
                      <w:b/>
                      <w:color w:val="auto"/>
                    </w:rPr>
                    <w:t>所在区域</w:t>
                  </w:r>
                </w:p>
              </w:tc>
              <w:tc>
                <w:tcPr>
                  <w:tcW w:w="700" w:type="dxa"/>
                  <w:tcBorders>
                    <w:tl2br w:val="nil"/>
                    <w:tr2bl w:val="nil"/>
                  </w:tcBorders>
                  <w:vAlign w:val="center"/>
                </w:tcPr>
                <w:p w14:paraId="038CD62C">
                  <w:pPr>
                    <w:pStyle w:val="64"/>
                    <w:ind w:right="-76"/>
                    <w:rPr>
                      <w:rFonts w:hint="eastAsia"/>
                      <w:b/>
                      <w:color w:val="auto"/>
                    </w:rPr>
                  </w:pPr>
                  <w:r>
                    <w:rPr>
                      <w:b/>
                      <w:color w:val="auto"/>
                    </w:rPr>
                    <w:t>评价因子</w:t>
                  </w:r>
                </w:p>
              </w:tc>
              <w:tc>
                <w:tcPr>
                  <w:tcW w:w="1714" w:type="dxa"/>
                  <w:tcBorders>
                    <w:tl2br w:val="nil"/>
                    <w:tr2bl w:val="nil"/>
                  </w:tcBorders>
                  <w:vAlign w:val="center"/>
                </w:tcPr>
                <w:p w14:paraId="4D00FB73">
                  <w:pPr>
                    <w:pStyle w:val="64"/>
                    <w:ind w:right="-76"/>
                    <w:rPr>
                      <w:rFonts w:hint="eastAsia"/>
                      <w:b/>
                      <w:color w:val="auto"/>
                    </w:rPr>
                  </w:pPr>
                  <w:r>
                    <w:rPr>
                      <w:rFonts w:hint="eastAsia"/>
                      <w:b/>
                      <w:color w:val="auto"/>
                    </w:rPr>
                    <w:t>评价</w:t>
                  </w:r>
                  <w:r>
                    <w:rPr>
                      <w:b/>
                      <w:color w:val="auto"/>
                    </w:rPr>
                    <w:t>时段</w:t>
                  </w:r>
                </w:p>
              </w:tc>
              <w:tc>
                <w:tcPr>
                  <w:tcW w:w="863" w:type="dxa"/>
                  <w:tcBorders>
                    <w:tl2br w:val="nil"/>
                    <w:tr2bl w:val="nil"/>
                  </w:tcBorders>
                  <w:vAlign w:val="center"/>
                </w:tcPr>
                <w:p w14:paraId="39BB3DB9">
                  <w:pPr>
                    <w:pStyle w:val="64"/>
                    <w:ind w:right="-76"/>
                    <w:rPr>
                      <w:rFonts w:hint="eastAsia"/>
                      <w:b/>
                      <w:color w:val="auto"/>
                    </w:rPr>
                  </w:pPr>
                  <w:r>
                    <w:rPr>
                      <w:b/>
                      <w:color w:val="auto"/>
                    </w:rPr>
                    <w:t>百分位</w:t>
                  </w:r>
                </w:p>
              </w:tc>
              <w:tc>
                <w:tcPr>
                  <w:tcW w:w="1173" w:type="dxa"/>
                  <w:tcBorders>
                    <w:tl2br w:val="nil"/>
                    <w:tr2bl w:val="nil"/>
                  </w:tcBorders>
                  <w:vAlign w:val="center"/>
                </w:tcPr>
                <w:p w14:paraId="5F3BBEF7">
                  <w:pPr>
                    <w:pStyle w:val="64"/>
                    <w:ind w:right="-76"/>
                    <w:rPr>
                      <w:rFonts w:hint="eastAsia"/>
                      <w:b/>
                      <w:color w:val="auto"/>
                    </w:rPr>
                  </w:pPr>
                  <w:r>
                    <w:rPr>
                      <w:b/>
                      <w:color w:val="auto"/>
                    </w:rPr>
                    <w:t>现状浓度</w:t>
                  </w:r>
                </w:p>
              </w:tc>
              <w:tc>
                <w:tcPr>
                  <w:tcW w:w="1115" w:type="dxa"/>
                  <w:tcBorders>
                    <w:tl2br w:val="nil"/>
                    <w:tr2bl w:val="nil"/>
                  </w:tcBorders>
                  <w:vAlign w:val="center"/>
                </w:tcPr>
                <w:p w14:paraId="121A04FE">
                  <w:pPr>
                    <w:pStyle w:val="64"/>
                    <w:ind w:right="-76"/>
                    <w:rPr>
                      <w:rFonts w:hint="eastAsia"/>
                      <w:b/>
                      <w:color w:val="auto"/>
                    </w:rPr>
                  </w:pPr>
                  <w:r>
                    <w:rPr>
                      <w:b/>
                      <w:color w:val="auto"/>
                    </w:rPr>
                    <w:t>标准浓度</w:t>
                  </w:r>
                </w:p>
              </w:tc>
              <w:tc>
                <w:tcPr>
                  <w:tcW w:w="863" w:type="dxa"/>
                  <w:tcBorders>
                    <w:tl2br w:val="nil"/>
                    <w:tr2bl w:val="nil"/>
                  </w:tcBorders>
                  <w:vAlign w:val="center"/>
                </w:tcPr>
                <w:p w14:paraId="0B3E3009">
                  <w:pPr>
                    <w:pStyle w:val="64"/>
                    <w:ind w:right="-76"/>
                    <w:rPr>
                      <w:rFonts w:hint="eastAsia"/>
                      <w:b/>
                      <w:color w:val="auto"/>
                    </w:rPr>
                  </w:pPr>
                  <w:r>
                    <w:rPr>
                      <w:b/>
                      <w:color w:val="auto"/>
                    </w:rPr>
                    <w:t>占标率/％</w:t>
                  </w:r>
                </w:p>
              </w:tc>
              <w:tc>
                <w:tcPr>
                  <w:tcW w:w="748" w:type="dxa"/>
                  <w:tcBorders>
                    <w:tl2br w:val="nil"/>
                    <w:tr2bl w:val="nil"/>
                  </w:tcBorders>
                  <w:vAlign w:val="center"/>
                </w:tcPr>
                <w:p w14:paraId="6BC57FBD">
                  <w:pPr>
                    <w:pStyle w:val="64"/>
                    <w:ind w:right="-76"/>
                    <w:rPr>
                      <w:rFonts w:hint="eastAsia"/>
                      <w:b/>
                      <w:color w:val="auto"/>
                    </w:rPr>
                  </w:pPr>
                  <w:r>
                    <w:rPr>
                      <w:b/>
                      <w:color w:val="auto"/>
                    </w:rPr>
                    <w:t>达标</w:t>
                  </w:r>
                </w:p>
                <w:p w14:paraId="12C277E3">
                  <w:pPr>
                    <w:pStyle w:val="64"/>
                    <w:ind w:right="-76"/>
                    <w:rPr>
                      <w:rFonts w:hint="eastAsia"/>
                      <w:b/>
                      <w:color w:val="auto"/>
                    </w:rPr>
                  </w:pPr>
                  <w:r>
                    <w:rPr>
                      <w:b/>
                      <w:color w:val="auto"/>
                    </w:rPr>
                    <w:t>情况</w:t>
                  </w:r>
                </w:p>
              </w:tc>
            </w:tr>
            <w:tr w14:paraId="3F045D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681" w:type="dxa"/>
                  <w:vMerge w:val="restart"/>
                  <w:tcBorders>
                    <w:tl2br w:val="nil"/>
                    <w:tr2bl w:val="nil"/>
                  </w:tcBorders>
                  <w:vAlign w:val="center"/>
                </w:tcPr>
                <w:p w14:paraId="03DD2B30">
                  <w:pPr>
                    <w:pStyle w:val="67"/>
                    <w:ind w:firstLine="0" w:firstLineChars="0"/>
                    <w:jc w:val="center"/>
                    <w:rPr>
                      <w:rFonts w:ascii="Times New Roman"/>
                      <w:color w:val="auto"/>
                    </w:rPr>
                  </w:pPr>
                  <w:r>
                    <w:rPr>
                      <w:rFonts w:hint="eastAsia" w:ascii="Times New Roman"/>
                      <w:color w:val="auto"/>
                    </w:rPr>
                    <w:t>君</w:t>
                  </w:r>
                </w:p>
                <w:p w14:paraId="56CE7A2C">
                  <w:pPr>
                    <w:pStyle w:val="67"/>
                    <w:ind w:firstLine="0" w:firstLineChars="0"/>
                    <w:jc w:val="center"/>
                    <w:rPr>
                      <w:rFonts w:ascii="Times New Roman"/>
                      <w:color w:val="auto"/>
                    </w:rPr>
                  </w:pPr>
                  <w:r>
                    <w:rPr>
                      <w:rFonts w:hint="eastAsia" w:ascii="Times New Roman"/>
                      <w:color w:val="auto"/>
                    </w:rPr>
                    <w:t>山</w:t>
                  </w:r>
                </w:p>
                <w:p w14:paraId="4A31CA7E">
                  <w:pPr>
                    <w:pStyle w:val="67"/>
                    <w:ind w:firstLine="0" w:firstLineChars="0"/>
                    <w:jc w:val="center"/>
                    <w:rPr>
                      <w:rFonts w:ascii="Times New Roman"/>
                      <w:color w:val="auto"/>
                    </w:rPr>
                  </w:pPr>
                  <w:r>
                    <w:rPr>
                      <w:rFonts w:hint="eastAsia" w:ascii="Times New Roman"/>
                      <w:color w:val="auto"/>
                    </w:rPr>
                    <w:t>区</w:t>
                  </w:r>
                </w:p>
              </w:tc>
              <w:tc>
                <w:tcPr>
                  <w:tcW w:w="700" w:type="dxa"/>
                  <w:tcBorders>
                    <w:tl2br w:val="nil"/>
                    <w:tr2bl w:val="nil"/>
                  </w:tcBorders>
                  <w:vAlign w:val="center"/>
                </w:tcPr>
                <w:p w14:paraId="73321BD0">
                  <w:pPr>
                    <w:pStyle w:val="67"/>
                    <w:ind w:firstLine="0" w:firstLineChars="0"/>
                    <w:jc w:val="center"/>
                    <w:rPr>
                      <w:rFonts w:ascii="Times New Roman"/>
                      <w:color w:val="auto"/>
                    </w:rPr>
                  </w:pPr>
                  <w:r>
                    <w:rPr>
                      <w:rFonts w:ascii="Times New Roman"/>
                      <w:color w:val="auto"/>
                    </w:rPr>
                    <w:t>SO</w:t>
                  </w:r>
                  <w:r>
                    <w:rPr>
                      <w:rFonts w:ascii="Times New Roman"/>
                      <w:color w:val="auto"/>
                      <w:vertAlign w:val="subscript"/>
                    </w:rPr>
                    <w:t>2</w:t>
                  </w:r>
                </w:p>
              </w:tc>
              <w:tc>
                <w:tcPr>
                  <w:tcW w:w="1714" w:type="dxa"/>
                  <w:tcBorders>
                    <w:tl2br w:val="nil"/>
                    <w:tr2bl w:val="nil"/>
                  </w:tcBorders>
                  <w:vAlign w:val="center"/>
                </w:tcPr>
                <w:p w14:paraId="6461E4CF">
                  <w:pPr>
                    <w:pStyle w:val="67"/>
                    <w:ind w:firstLine="0" w:firstLineChars="0"/>
                    <w:jc w:val="center"/>
                    <w:rPr>
                      <w:rFonts w:ascii="Times New Roman"/>
                      <w:color w:val="auto"/>
                    </w:rPr>
                  </w:pPr>
                  <w:r>
                    <w:rPr>
                      <w:rFonts w:ascii="Times New Roman"/>
                      <w:color w:val="auto"/>
                    </w:rPr>
                    <w:t>年平均浓度</w:t>
                  </w:r>
                </w:p>
              </w:tc>
              <w:tc>
                <w:tcPr>
                  <w:tcW w:w="863" w:type="dxa"/>
                  <w:tcBorders>
                    <w:tl2br w:val="nil"/>
                    <w:tr2bl w:val="nil"/>
                  </w:tcBorders>
                  <w:vAlign w:val="center"/>
                </w:tcPr>
                <w:p w14:paraId="1A93C8EB">
                  <w:pPr>
                    <w:pStyle w:val="67"/>
                    <w:ind w:firstLine="0" w:firstLineChars="0"/>
                    <w:jc w:val="center"/>
                    <w:rPr>
                      <w:rFonts w:ascii="Times New Roman"/>
                      <w:color w:val="auto"/>
                    </w:rPr>
                  </w:pPr>
                  <w:r>
                    <w:rPr>
                      <w:rFonts w:ascii="Times New Roman"/>
                      <w:color w:val="auto"/>
                    </w:rPr>
                    <w:t>-</w:t>
                  </w:r>
                </w:p>
              </w:tc>
              <w:tc>
                <w:tcPr>
                  <w:tcW w:w="1173" w:type="dxa"/>
                  <w:tcBorders>
                    <w:tl2br w:val="nil"/>
                    <w:tr2bl w:val="nil"/>
                  </w:tcBorders>
                  <w:vAlign w:val="center"/>
                </w:tcPr>
                <w:p w14:paraId="328FB28B">
                  <w:pPr>
                    <w:pStyle w:val="67"/>
                    <w:ind w:firstLine="0" w:firstLineChars="0"/>
                    <w:jc w:val="center"/>
                    <w:rPr>
                      <w:rFonts w:ascii="Times New Roman"/>
                      <w:color w:val="auto"/>
                    </w:rPr>
                  </w:pPr>
                  <w:r>
                    <w:rPr>
                      <w:rFonts w:hint="eastAsia" w:ascii="Times New Roman"/>
                      <w:color w:val="auto"/>
                    </w:rPr>
                    <w:t>7</w:t>
                  </w:r>
                  <w:r>
                    <w:rPr>
                      <w:rFonts w:ascii="Times New Roman"/>
                      <w:color w:val="auto"/>
                    </w:rPr>
                    <w:t>μg/m</w:t>
                  </w:r>
                  <w:r>
                    <w:rPr>
                      <w:rFonts w:ascii="Times New Roman"/>
                      <w:color w:val="auto"/>
                      <w:vertAlign w:val="superscript"/>
                    </w:rPr>
                    <w:t>3</w:t>
                  </w:r>
                </w:p>
              </w:tc>
              <w:tc>
                <w:tcPr>
                  <w:tcW w:w="1115" w:type="dxa"/>
                  <w:tcBorders>
                    <w:tl2br w:val="nil"/>
                    <w:tr2bl w:val="nil"/>
                  </w:tcBorders>
                  <w:vAlign w:val="center"/>
                </w:tcPr>
                <w:p w14:paraId="4DC149CC">
                  <w:pPr>
                    <w:pStyle w:val="67"/>
                    <w:ind w:firstLine="0" w:firstLineChars="0"/>
                    <w:jc w:val="center"/>
                    <w:rPr>
                      <w:rFonts w:ascii="Times New Roman"/>
                      <w:color w:val="auto"/>
                    </w:rPr>
                  </w:pPr>
                  <w:r>
                    <w:rPr>
                      <w:rFonts w:ascii="Times New Roman"/>
                      <w:color w:val="auto"/>
                    </w:rPr>
                    <w:t>60μg/m</w:t>
                  </w:r>
                  <w:r>
                    <w:rPr>
                      <w:rFonts w:ascii="Times New Roman"/>
                      <w:color w:val="auto"/>
                      <w:vertAlign w:val="superscript"/>
                    </w:rPr>
                    <w:t>3</w:t>
                  </w:r>
                </w:p>
              </w:tc>
              <w:tc>
                <w:tcPr>
                  <w:tcW w:w="863" w:type="dxa"/>
                  <w:tcBorders>
                    <w:tl2br w:val="nil"/>
                    <w:tr2bl w:val="nil"/>
                  </w:tcBorders>
                  <w:vAlign w:val="center"/>
                </w:tcPr>
                <w:p w14:paraId="0B390602">
                  <w:pPr>
                    <w:pStyle w:val="67"/>
                    <w:ind w:firstLine="0" w:firstLineChars="0"/>
                    <w:jc w:val="center"/>
                    <w:rPr>
                      <w:rFonts w:ascii="Times New Roman"/>
                      <w:color w:val="auto"/>
                    </w:rPr>
                  </w:pPr>
                  <w:r>
                    <w:rPr>
                      <w:rFonts w:hint="eastAsia" w:ascii="Times New Roman"/>
                      <w:color w:val="auto"/>
                    </w:rPr>
                    <w:t>11.7</w:t>
                  </w:r>
                </w:p>
              </w:tc>
              <w:tc>
                <w:tcPr>
                  <w:tcW w:w="748" w:type="dxa"/>
                  <w:tcBorders>
                    <w:tl2br w:val="nil"/>
                    <w:tr2bl w:val="nil"/>
                  </w:tcBorders>
                  <w:vAlign w:val="center"/>
                </w:tcPr>
                <w:p w14:paraId="25A8279C">
                  <w:pPr>
                    <w:pStyle w:val="67"/>
                    <w:ind w:firstLine="0" w:firstLineChars="0"/>
                    <w:jc w:val="center"/>
                    <w:rPr>
                      <w:rFonts w:ascii="Times New Roman"/>
                      <w:color w:val="auto"/>
                    </w:rPr>
                  </w:pPr>
                  <w:r>
                    <w:rPr>
                      <w:rFonts w:ascii="Times New Roman"/>
                      <w:color w:val="auto"/>
                    </w:rPr>
                    <w:t>达标</w:t>
                  </w:r>
                </w:p>
              </w:tc>
            </w:tr>
            <w:tr w14:paraId="083CEF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681" w:type="dxa"/>
                  <w:vMerge w:val="continue"/>
                  <w:tcBorders>
                    <w:tl2br w:val="nil"/>
                    <w:tr2bl w:val="nil"/>
                  </w:tcBorders>
                  <w:vAlign w:val="center"/>
                </w:tcPr>
                <w:p w14:paraId="2594D153">
                  <w:pPr>
                    <w:pStyle w:val="67"/>
                    <w:ind w:firstLine="0" w:firstLineChars="0"/>
                    <w:jc w:val="center"/>
                    <w:rPr>
                      <w:rFonts w:ascii="Times New Roman"/>
                      <w:color w:val="auto"/>
                    </w:rPr>
                  </w:pPr>
                </w:p>
              </w:tc>
              <w:tc>
                <w:tcPr>
                  <w:tcW w:w="700" w:type="dxa"/>
                  <w:tcBorders>
                    <w:tl2br w:val="nil"/>
                    <w:tr2bl w:val="nil"/>
                  </w:tcBorders>
                  <w:vAlign w:val="center"/>
                </w:tcPr>
                <w:p w14:paraId="592F30C5">
                  <w:pPr>
                    <w:pStyle w:val="67"/>
                    <w:ind w:firstLine="0" w:firstLineChars="0"/>
                    <w:jc w:val="center"/>
                    <w:rPr>
                      <w:rFonts w:ascii="Times New Roman"/>
                      <w:color w:val="auto"/>
                    </w:rPr>
                  </w:pPr>
                  <w:r>
                    <w:rPr>
                      <w:rFonts w:ascii="Times New Roman"/>
                      <w:color w:val="auto"/>
                    </w:rPr>
                    <w:t>NO</w:t>
                  </w:r>
                  <w:r>
                    <w:rPr>
                      <w:rFonts w:ascii="Times New Roman"/>
                      <w:color w:val="auto"/>
                      <w:vertAlign w:val="subscript"/>
                    </w:rPr>
                    <w:t>2</w:t>
                  </w:r>
                </w:p>
              </w:tc>
              <w:tc>
                <w:tcPr>
                  <w:tcW w:w="1714" w:type="dxa"/>
                  <w:tcBorders>
                    <w:tl2br w:val="nil"/>
                    <w:tr2bl w:val="nil"/>
                  </w:tcBorders>
                  <w:vAlign w:val="center"/>
                </w:tcPr>
                <w:p w14:paraId="026EEAAF">
                  <w:pPr>
                    <w:pStyle w:val="67"/>
                    <w:ind w:firstLine="0" w:firstLineChars="0"/>
                    <w:jc w:val="center"/>
                    <w:rPr>
                      <w:rFonts w:ascii="Times New Roman"/>
                      <w:color w:val="auto"/>
                    </w:rPr>
                  </w:pPr>
                  <w:r>
                    <w:rPr>
                      <w:rFonts w:ascii="Times New Roman"/>
                      <w:color w:val="auto"/>
                    </w:rPr>
                    <w:t>年平均浓度</w:t>
                  </w:r>
                </w:p>
              </w:tc>
              <w:tc>
                <w:tcPr>
                  <w:tcW w:w="863" w:type="dxa"/>
                  <w:tcBorders>
                    <w:tl2br w:val="nil"/>
                    <w:tr2bl w:val="nil"/>
                  </w:tcBorders>
                  <w:vAlign w:val="center"/>
                </w:tcPr>
                <w:p w14:paraId="742DEB60">
                  <w:pPr>
                    <w:pStyle w:val="67"/>
                    <w:ind w:firstLine="0" w:firstLineChars="0"/>
                    <w:jc w:val="center"/>
                    <w:rPr>
                      <w:rFonts w:ascii="Times New Roman"/>
                      <w:color w:val="auto"/>
                    </w:rPr>
                  </w:pPr>
                  <w:r>
                    <w:rPr>
                      <w:rFonts w:ascii="Times New Roman"/>
                      <w:color w:val="auto"/>
                    </w:rPr>
                    <w:t>-</w:t>
                  </w:r>
                </w:p>
              </w:tc>
              <w:tc>
                <w:tcPr>
                  <w:tcW w:w="1173" w:type="dxa"/>
                  <w:tcBorders>
                    <w:tl2br w:val="nil"/>
                    <w:tr2bl w:val="nil"/>
                  </w:tcBorders>
                  <w:vAlign w:val="center"/>
                </w:tcPr>
                <w:p w14:paraId="20ABBDBC">
                  <w:pPr>
                    <w:pStyle w:val="67"/>
                    <w:ind w:firstLine="0" w:firstLineChars="0"/>
                    <w:jc w:val="center"/>
                    <w:rPr>
                      <w:rFonts w:ascii="Times New Roman"/>
                      <w:color w:val="auto"/>
                    </w:rPr>
                  </w:pPr>
                  <w:r>
                    <w:rPr>
                      <w:rFonts w:hint="eastAsia" w:ascii="Times New Roman"/>
                      <w:color w:val="auto"/>
                    </w:rPr>
                    <w:t>19</w:t>
                  </w:r>
                  <w:r>
                    <w:rPr>
                      <w:rFonts w:ascii="Times New Roman"/>
                      <w:color w:val="auto"/>
                    </w:rPr>
                    <w:t>μg/m</w:t>
                  </w:r>
                  <w:r>
                    <w:rPr>
                      <w:rFonts w:ascii="Times New Roman"/>
                      <w:color w:val="auto"/>
                      <w:vertAlign w:val="superscript"/>
                    </w:rPr>
                    <w:t>3</w:t>
                  </w:r>
                </w:p>
              </w:tc>
              <w:tc>
                <w:tcPr>
                  <w:tcW w:w="1115" w:type="dxa"/>
                  <w:tcBorders>
                    <w:tl2br w:val="nil"/>
                    <w:tr2bl w:val="nil"/>
                  </w:tcBorders>
                  <w:vAlign w:val="center"/>
                </w:tcPr>
                <w:p w14:paraId="779AA970">
                  <w:pPr>
                    <w:pStyle w:val="67"/>
                    <w:ind w:firstLine="0" w:firstLineChars="0"/>
                    <w:jc w:val="center"/>
                    <w:rPr>
                      <w:rFonts w:ascii="Times New Roman"/>
                      <w:color w:val="auto"/>
                    </w:rPr>
                  </w:pPr>
                  <w:r>
                    <w:rPr>
                      <w:rFonts w:ascii="Times New Roman"/>
                      <w:color w:val="auto"/>
                    </w:rPr>
                    <w:t>40μg/m</w:t>
                  </w:r>
                  <w:r>
                    <w:rPr>
                      <w:rFonts w:ascii="Times New Roman"/>
                      <w:color w:val="auto"/>
                      <w:vertAlign w:val="superscript"/>
                    </w:rPr>
                    <w:t>3</w:t>
                  </w:r>
                </w:p>
              </w:tc>
              <w:tc>
                <w:tcPr>
                  <w:tcW w:w="863" w:type="dxa"/>
                  <w:tcBorders>
                    <w:tl2br w:val="nil"/>
                    <w:tr2bl w:val="nil"/>
                  </w:tcBorders>
                  <w:vAlign w:val="center"/>
                </w:tcPr>
                <w:p w14:paraId="03632D38">
                  <w:pPr>
                    <w:pStyle w:val="67"/>
                    <w:ind w:firstLine="0" w:firstLineChars="0"/>
                    <w:jc w:val="center"/>
                    <w:rPr>
                      <w:rFonts w:ascii="Times New Roman"/>
                      <w:color w:val="auto"/>
                    </w:rPr>
                  </w:pPr>
                  <w:r>
                    <w:rPr>
                      <w:rFonts w:hint="eastAsia" w:ascii="Times New Roman"/>
                      <w:color w:val="auto"/>
                    </w:rPr>
                    <w:t>52.5</w:t>
                  </w:r>
                </w:p>
              </w:tc>
              <w:tc>
                <w:tcPr>
                  <w:tcW w:w="748" w:type="dxa"/>
                  <w:tcBorders>
                    <w:tl2br w:val="nil"/>
                    <w:tr2bl w:val="nil"/>
                  </w:tcBorders>
                  <w:vAlign w:val="center"/>
                </w:tcPr>
                <w:p w14:paraId="0ECA76D1">
                  <w:pPr>
                    <w:pStyle w:val="67"/>
                    <w:ind w:firstLine="0" w:firstLineChars="0"/>
                    <w:jc w:val="center"/>
                    <w:rPr>
                      <w:rFonts w:ascii="Times New Roman"/>
                      <w:color w:val="auto"/>
                    </w:rPr>
                  </w:pPr>
                  <w:r>
                    <w:rPr>
                      <w:rFonts w:ascii="Times New Roman"/>
                      <w:color w:val="auto"/>
                    </w:rPr>
                    <w:t>达标</w:t>
                  </w:r>
                </w:p>
              </w:tc>
            </w:tr>
            <w:tr w14:paraId="7EC066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681" w:type="dxa"/>
                  <w:vMerge w:val="continue"/>
                  <w:tcBorders>
                    <w:tl2br w:val="nil"/>
                    <w:tr2bl w:val="nil"/>
                  </w:tcBorders>
                  <w:vAlign w:val="center"/>
                </w:tcPr>
                <w:p w14:paraId="24C14303">
                  <w:pPr>
                    <w:pStyle w:val="67"/>
                    <w:ind w:firstLine="0" w:firstLineChars="0"/>
                    <w:jc w:val="center"/>
                    <w:rPr>
                      <w:rFonts w:ascii="Times New Roman"/>
                      <w:color w:val="auto"/>
                    </w:rPr>
                  </w:pPr>
                </w:p>
              </w:tc>
              <w:tc>
                <w:tcPr>
                  <w:tcW w:w="700" w:type="dxa"/>
                  <w:tcBorders>
                    <w:tl2br w:val="nil"/>
                    <w:tr2bl w:val="nil"/>
                  </w:tcBorders>
                  <w:vAlign w:val="center"/>
                </w:tcPr>
                <w:p w14:paraId="25348FED">
                  <w:pPr>
                    <w:pStyle w:val="67"/>
                    <w:ind w:firstLine="0" w:firstLineChars="0"/>
                    <w:jc w:val="center"/>
                    <w:rPr>
                      <w:rFonts w:ascii="Times New Roman"/>
                      <w:color w:val="auto"/>
                    </w:rPr>
                  </w:pPr>
                  <w:r>
                    <w:rPr>
                      <w:rFonts w:ascii="Times New Roman"/>
                      <w:color w:val="auto"/>
                    </w:rPr>
                    <w:t>CO</w:t>
                  </w:r>
                </w:p>
              </w:tc>
              <w:tc>
                <w:tcPr>
                  <w:tcW w:w="1714" w:type="dxa"/>
                  <w:tcBorders>
                    <w:tl2br w:val="nil"/>
                    <w:tr2bl w:val="nil"/>
                  </w:tcBorders>
                  <w:vAlign w:val="center"/>
                </w:tcPr>
                <w:p w14:paraId="6C8235A9">
                  <w:pPr>
                    <w:pStyle w:val="67"/>
                    <w:ind w:firstLine="0" w:firstLineChars="0"/>
                    <w:jc w:val="center"/>
                    <w:rPr>
                      <w:rFonts w:ascii="Times New Roman"/>
                      <w:color w:val="auto"/>
                    </w:rPr>
                  </w:pPr>
                  <w:r>
                    <w:rPr>
                      <w:rFonts w:ascii="Times New Roman"/>
                      <w:color w:val="auto"/>
                    </w:rPr>
                    <w:t>百分位上日平均</w:t>
                  </w:r>
                </w:p>
              </w:tc>
              <w:tc>
                <w:tcPr>
                  <w:tcW w:w="863" w:type="dxa"/>
                  <w:tcBorders>
                    <w:tl2br w:val="nil"/>
                    <w:tr2bl w:val="nil"/>
                  </w:tcBorders>
                  <w:vAlign w:val="center"/>
                </w:tcPr>
                <w:p w14:paraId="5A5187EF">
                  <w:pPr>
                    <w:pStyle w:val="67"/>
                    <w:ind w:firstLine="0" w:firstLineChars="0"/>
                    <w:jc w:val="center"/>
                    <w:rPr>
                      <w:rFonts w:ascii="Times New Roman"/>
                      <w:color w:val="auto"/>
                    </w:rPr>
                  </w:pPr>
                  <w:r>
                    <w:rPr>
                      <w:rFonts w:ascii="Times New Roman"/>
                      <w:color w:val="auto"/>
                    </w:rPr>
                    <w:t>95</w:t>
                  </w:r>
                </w:p>
              </w:tc>
              <w:tc>
                <w:tcPr>
                  <w:tcW w:w="1173" w:type="dxa"/>
                  <w:tcBorders>
                    <w:tl2br w:val="nil"/>
                    <w:tr2bl w:val="nil"/>
                  </w:tcBorders>
                  <w:vAlign w:val="center"/>
                </w:tcPr>
                <w:p w14:paraId="04D8B944">
                  <w:pPr>
                    <w:pStyle w:val="67"/>
                    <w:ind w:firstLine="0" w:firstLineChars="0"/>
                    <w:jc w:val="center"/>
                    <w:rPr>
                      <w:rFonts w:ascii="Times New Roman"/>
                      <w:color w:val="auto"/>
                    </w:rPr>
                  </w:pPr>
                  <w:r>
                    <w:rPr>
                      <w:rFonts w:hint="eastAsia" w:ascii="Times New Roman"/>
                      <w:color w:val="auto"/>
                    </w:rPr>
                    <w:t>0.9</w:t>
                  </w:r>
                  <w:r>
                    <w:rPr>
                      <w:rFonts w:ascii="Times New Roman"/>
                      <w:color w:val="auto"/>
                    </w:rPr>
                    <w:t>mg/m</w:t>
                  </w:r>
                  <w:r>
                    <w:rPr>
                      <w:rFonts w:ascii="Times New Roman"/>
                      <w:color w:val="auto"/>
                      <w:vertAlign w:val="superscript"/>
                    </w:rPr>
                    <w:t>3</w:t>
                  </w:r>
                </w:p>
              </w:tc>
              <w:tc>
                <w:tcPr>
                  <w:tcW w:w="1115" w:type="dxa"/>
                  <w:tcBorders>
                    <w:tl2br w:val="nil"/>
                    <w:tr2bl w:val="nil"/>
                  </w:tcBorders>
                  <w:vAlign w:val="center"/>
                </w:tcPr>
                <w:p w14:paraId="0948063A">
                  <w:pPr>
                    <w:pStyle w:val="67"/>
                    <w:ind w:firstLine="0" w:firstLineChars="0"/>
                    <w:jc w:val="center"/>
                    <w:rPr>
                      <w:rFonts w:ascii="Times New Roman"/>
                      <w:color w:val="auto"/>
                    </w:rPr>
                  </w:pPr>
                  <w:r>
                    <w:rPr>
                      <w:rFonts w:ascii="Times New Roman"/>
                      <w:color w:val="auto"/>
                    </w:rPr>
                    <w:t>4mg/m</w:t>
                  </w:r>
                  <w:r>
                    <w:rPr>
                      <w:rFonts w:ascii="Times New Roman"/>
                      <w:color w:val="auto"/>
                      <w:vertAlign w:val="superscript"/>
                    </w:rPr>
                    <w:t>3</w:t>
                  </w:r>
                </w:p>
              </w:tc>
              <w:tc>
                <w:tcPr>
                  <w:tcW w:w="863" w:type="dxa"/>
                  <w:tcBorders>
                    <w:tl2br w:val="nil"/>
                    <w:tr2bl w:val="nil"/>
                  </w:tcBorders>
                  <w:vAlign w:val="center"/>
                </w:tcPr>
                <w:p w14:paraId="2B238C1B">
                  <w:pPr>
                    <w:pStyle w:val="67"/>
                    <w:ind w:firstLine="0" w:firstLineChars="0"/>
                    <w:jc w:val="center"/>
                    <w:rPr>
                      <w:rFonts w:ascii="Times New Roman"/>
                      <w:color w:val="auto"/>
                    </w:rPr>
                  </w:pPr>
                  <w:r>
                    <w:rPr>
                      <w:rFonts w:hint="eastAsia" w:ascii="Times New Roman"/>
                      <w:color w:val="auto"/>
                    </w:rPr>
                    <w:t>25</w:t>
                  </w:r>
                </w:p>
              </w:tc>
              <w:tc>
                <w:tcPr>
                  <w:tcW w:w="748" w:type="dxa"/>
                  <w:tcBorders>
                    <w:tl2br w:val="nil"/>
                    <w:tr2bl w:val="nil"/>
                  </w:tcBorders>
                  <w:vAlign w:val="center"/>
                </w:tcPr>
                <w:p w14:paraId="0DC2A1A8">
                  <w:pPr>
                    <w:pStyle w:val="67"/>
                    <w:ind w:firstLine="0" w:firstLineChars="0"/>
                    <w:jc w:val="center"/>
                    <w:rPr>
                      <w:rFonts w:ascii="Times New Roman"/>
                      <w:color w:val="auto"/>
                    </w:rPr>
                  </w:pPr>
                  <w:r>
                    <w:rPr>
                      <w:rFonts w:ascii="Times New Roman"/>
                      <w:color w:val="auto"/>
                    </w:rPr>
                    <w:t>达标</w:t>
                  </w:r>
                </w:p>
              </w:tc>
            </w:tr>
            <w:tr w14:paraId="375F2E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681" w:type="dxa"/>
                  <w:vMerge w:val="continue"/>
                  <w:tcBorders>
                    <w:tl2br w:val="nil"/>
                    <w:tr2bl w:val="nil"/>
                  </w:tcBorders>
                  <w:vAlign w:val="center"/>
                </w:tcPr>
                <w:p w14:paraId="361D86E6">
                  <w:pPr>
                    <w:pStyle w:val="67"/>
                    <w:ind w:firstLine="0" w:firstLineChars="0"/>
                    <w:jc w:val="center"/>
                    <w:rPr>
                      <w:rFonts w:ascii="Times New Roman"/>
                      <w:color w:val="auto"/>
                    </w:rPr>
                  </w:pPr>
                </w:p>
              </w:tc>
              <w:tc>
                <w:tcPr>
                  <w:tcW w:w="700" w:type="dxa"/>
                  <w:tcBorders>
                    <w:tl2br w:val="nil"/>
                    <w:tr2bl w:val="nil"/>
                  </w:tcBorders>
                  <w:vAlign w:val="center"/>
                </w:tcPr>
                <w:p w14:paraId="25CCED6A">
                  <w:pPr>
                    <w:pStyle w:val="67"/>
                    <w:ind w:firstLine="0" w:firstLineChars="0"/>
                    <w:jc w:val="center"/>
                    <w:rPr>
                      <w:rFonts w:ascii="Times New Roman"/>
                      <w:color w:val="auto"/>
                    </w:rPr>
                  </w:pPr>
                  <w:r>
                    <w:rPr>
                      <w:rFonts w:ascii="Times New Roman"/>
                      <w:color w:val="auto"/>
                    </w:rPr>
                    <w:t>臭氧</w:t>
                  </w:r>
                </w:p>
              </w:tc>
              <w:tc>
                <w:tcPr>
                  <w:tcW w:w="1714" w:type="dxa"/>
                  <w:tcBorders>
                    <w:tl2br w:val="nil"/>
                    <w:tr2bl w:val="nil"/>
                  </w:tcBorders>
                  <w:vAlign w:val="center"/>
                </w:tcPr>
                <w:p w14:paraId="41BCB667">
                  <w:pPr>
                    <w:pStyle w:val="67"/>
                    <w:ind w:firstLine="0" w:firstLineChars="0"/>
                    <w:jc w:val="center"/>
                    <w:rPr>
                      <w:rFonts w:ascii="Times New Roman"/>
                      <w:color w:val="auto"/>
                    </w:rPr>
                  </w:pPr>
                  <w:r>
                    <w:rPr>
                      <w:rFonts w:ascii="Times New Roman"/>
                      <w:color w:val="auto"/>
                    </w:rPr>
                    <w:t>8h平均质量浓度</w:t>
                  </w:r>
                </w:p>
              </w:tc>
              <w:tc>
                <w:tcPr>
                  <w:tcW w:w="863" w:type="dxa"/>
                  <w:tcBorders>
                    <w:tl2br w:val="nil"/>
                    <w:tr2bl w:val="nil"/>
                  </w:tcBorders>
                  <w:vAlign w:val="center"/>
                </w:tcPr>
                <w:p w14:paraId="7FAE5E69">
                  <w:pPr>
                    <w:pStyle w:val="67"/>
                    <w:ind w:firstLine="0" w:firstLineChars="0"/>
                    <w:jc w:val="center"/>
                    <w:rPr>
                      <w:rFonts w:ascii="Times New Roman"/>
                      <w:color w:val="auto"/>
                    </w:rPr>
                  </w:pPr>
                  <w:r>
                    <w:rPr>
                      <w:rFonts w:ascii="Times New Roman"/>
                      <w:color w:val="auto"/>
                    </w:rPr>
                    <w:t>90</w:t>
                  </w:r>
                </w:p>
              </w:tc>
              <w:tc>
                <w:tcPr>
                  <w:tcW w:w="1173" w:type="dxa"/>
                  <w:tcBorders>
                    <w:tl2br w:val="nil"/>
                    <w:tr2bl w:val="nil"/>
                  </w:tcBorders>
                  <w:vAlign w:val="center"/>
                </w:tcPr>
                <w:p w14:paraId="5F68EFE8">
                  <w:pPr>
                    <w:pStyle w:val="67"/>
                    <w:ind w:firstLine="0" w:firstLineChars="0"/>
                    <w:jc w:val="center"/>
                    <w:rPr>
                      <w:rFonts w:ascii="Times New Roman"/>
                      <w:color w:val="auto"/>
                    </w:rPr>
                  </w:pPr>
                  <w:r>
                    <w:rPr>
                      <w:rFonts w:hint="eastAsia" w:ascii="Times New Roman"/>
                      <w:color w:val="auto"/>
                    </w:rPr>
                    <w:t>147</w:t>
                  </w:r>
                  <w:r>
                    <w:rPr>
                      <w:rFonts w:ascii="Times New Roman"/>
                      <w:color w:val="auto"/>
                    </w:rPr>
                    <w:t>μg/m</w:t>
                  </w:r>
                  <w:r>
                    <w:rPr>
                      <w:rFonts w:ascii="Times New Roman"/>
                      <w:color w:val="auto"/>
                      <w:vertAlign w:val="superscript"/>
                    </w:rPr>
                    <w:t>3</w:t>
                  </w:r>
                </w:p>
              </w:tc>
              <w:tc>
                <w:tcPr>
                  <w:tcW w:w="1115" w:type="dxa"/>
                  <w:tcBorders>
                    <w:tl2br w:val="nil"/>
                    <w:tr2bl w:val="nil"/>
                  </w:tcBorders>
                  <w:vAlign w:val="center"/>
                </w:tcPr>
                <w:p w14:paraId="57C88A98">
                  <w:pPr>
                    <w:pStyle w:val="67"/>
                    <w:ind w:firstLine="0" w:firstLineChars="0"/>
                    <w:jc w:val="center"/>
                    <w:rPr>
                      <w:rFonts w:ascii="Times New Roman"/>
                      <w:color w:val="auto"/>
                    </w:rPr>
                  </w:pPr>
                  <w:r>
                    <w:rPr>
                      <w:rFonts w:ascii="Times New Roman"/>
                      <w:color w:val="auto"/>
                    </w:rPr>
                    <w:t>160μg/m</w:t>
                  </w:r>
                  <w:r>
                    <w:rPr>
                      <w:rFonts w:ascii="Times New Roman"/>
                      <w:color w:val="auto"/>
                      <w:vertAlign w:val="superscript"/>
                    </w:rPr>
                    <w:t>3</w:t>
                  </w:r>
                </w:p>
              </w:tc>
              <w:tc>
                <w:tcPr>
                  <w:tcW w:w="863" w:type="dxa"/>
                  <w:tcBorders>
                    <w:tl2br w:val="nil"/>
                    <w:tr2bl w:val="nil"/>
                  </w:tcBorders>
                  <w:vAlign w:val="center"/>
                </w:tcPr>
                <w:p w14:paraId="4379D7F6">
                  <w:pPr>
                    <w:pStyle w:val="67"/>
                    <w:ind w:firstLine="0" w:firstLineChars="0"/>
                    <w:jc w:val="center"/>
                    <w:rPr>
                      <w:rFonts w:ascii="Times New Roman"/>
                      <w:color w:val="auto"/>
                    </w:rPr>
                  </w:pPr>
                  <w:r>
                    <w:rPr>
                      <w:rFonts w:hint="eastAsia" w:ascii="Times New Roman"/>
                      <w:color w:val="auto"/>
                    </w:rPr>
                    <w:t>93.125</w:t>
                  </w:r>
                </w:p>
              </w:tc>
              <w:tc>
                <w:tcPr>
                  <w:tcW w:w="748" w:type="dxa"/>
                  <w:tcBorders>
                    <w:tl2br w:val="nil"/>
                    <w:tr2bl w:val="nil"/>
                  </w:tcBorders>
                  <w:vAlign w:val="center"/>
                </w:tcPr>
                <w:p w14:paraId="345EE40A">
                  <w:pPr>
                    <w:pStyle w:val="67"/>
                    <w:ind w:firstLine="0" w:firstLineChars="0"/>
                    <w:jc w:val="center"/>
                    <w:rPr>
                      <w:rFonts w:ascii="Times New Roman"/>
                      <w:color w:val="auto"/>
                    </w:rPr>
                  </w:pPr>
                  <w:r>
                    <w:rPr>
                      <w:rFonts w:ascii="Times New Roman"/>
                      <w:color w:val="auto"/>
                    </w:rPr>
                    <w:t>达标</w:t>
                  </w:r>
                </w:p>
              </w:tc>
            </w:tr>
            <w:tr w14:paraId="7D4491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8" w:hRule="atLeast"/>
                <w:jc w:val="center"/>
              </w:trPr>
              <w:tc>
                <w:tcPr>
                  <w:tcW w:w="681" w:type="dxa"/>
                  <w:vMerge w:val="continue"/>
                  <w:tcBorders>
                    <w:tl2br w:val="nil"/>
                    <w:tr2bl w:val="nil"/>
                  </w:tcBorders>
                  <w:vAlign w:val="center"/>
                </w:tcPr>
                <w:p w14:paraId="597A2B77">
                  <w:pPr>
                    <w:pStyle w:val="67"/>
                    <w:ind w:firstLine="0" w:firstLineChars="0"/>
                    <w:jc w:val="center"/>
                    <w:rPr>
                      <w:rFonts w:ascii="Times New Roman"/>
                      <w:color w:val="auto"/>
                    </w:rPr>
                  </w:pPr>
                </w:p>
              </w:tc>
              <w:tc>
                <w:tcPr>
                  <w:tcW w:w="700" w:type="dxa"/>
                  <w:tcBorders>
                    <w:tl2br w:val="nil"/>
                    <w:tr2bl w:val="nil"/>
                  </w:tcBorders>
                  <w:vAlign w:val="center"/>
                </w:tcPr>
                <w:p w14:paraId="3EE24EE5">
                  <w:pPr>
                    <w:pStyle w:val="67"/>
                    <w:ind w:firstLine="0" w:firstLineChars="0"/>
                    <w:jc w:val="center"/>
                    <w:rPr>
                      <w:rFonts w:ascii="Times New Roman"/>
                      <w:color w:val="auto"/>
                    </w:rPr>
                  </w:pPr>
                  <w:r>
                    <w:rPr>
                      <w:rFonts w:ascii="Times New Roman"/>
                      <w:color w:val="auto"/>
                    </w:rPr>
                    <w:t>PM</w:t>
                  </w:r>
                  <w:r>
                    <w:rPr>
                      <w:rFonts w:ascii="Times New Roman"/>
                      <w:color w:val="auto"/>
                      <w:vertAlign w:val="subscript"/>
                    </w:rPr>
                    <w:t>2.5</w:t>
                  </w:r>
                </w:p>
              </w:tc>
              <w:tc>
                <w:tcPr>
                  <w:tcW w:w="1714" w:type="dxa"/>
                  <w:tcBorders>
                    <w:tl2br w:val="nil"/>
                    <w:tr2bl w:val="nil"/>
                  </w:tcBorders>
                  <w:vAlign w:val="center"/>
                </w:tcPr>
                <w:p w14:paraId="0AF978CB">
                  <w:pPr>
                    <w:pStyle w:val="67"/>
                    <w:ind w:firstLine="0" w:firstLineChars="0"/>
                    <w:jc w:val="center"/>
                    <w:rPr>
                      <w:rFonts w:ascii="Times New Roman"/>
                      <w:color w:val="auto"/>
                    </w:rPr>
                  </w:pPr>
                  <w:r>
                    <w:rPr>
                      <w:rFonts w:ascii="Times New Roman"/>
                      <w:color w:val="auto"/>
                    </w:rPr>
                    <w:t>年平均浓度</w:t>
                  </w:r>
                </w:p>
              </w:tc>
              <w:tc>
                <w:tcPr>
                  <w:tcW w:w="863" w:type="dxa"/>
                  <w:tcBorders>
                    <w:tl2br w:val="nil"/>
                    <w:tr2bl w:val="nil"/>
                  </w:tcBorders>
                  <w:vAlign w:val="center"/>
                </w:tcPr>
                <w:p w14:paraId="1F9BAFCE">
                  <w:pPr>
                    <w:pStyle w:val="67"/>
                    <w:ind w:firstLine="0" w:firstLineChars="0"/>
                    <w:jc w:val="center"/>
                    <w:rPr>
                      <w:rFonts w:ascii="Times New Roman"/>
                      <w:color w:val="auto"/>
                    </w:rPr>
                  </w:pPr>
                  <w:r>
                    <w:rPr>
                      <w:rFonts w:ascii="Times New Roman"/>
                      <w:color w:val="auto"/>
                    </w:rPr>
                    <w:t>-</w:t>
                  </w:r>
                </w:p>
              </w:tc>
              <w:tc>
                <w:tcPr>
                  <w:tcW w:w="1173" w:type="dxa"/>
                  <w:tcBorders>
                    <w:tl2br w:val="nil"/>
                    <w:tr2bl w:val="nil"/>
                  </w:tcBorders>
                  <w:vAlign w:val="center"/>
                </w:tcPr>
                <w:p w14:paraId="32B4442F">
                  <w:pPr>
                    <w:pStyle w:val="67"/>
                    <w:ind w:firstLine="0" w:firstLineChars="0"/>
                    <w:jc w:val="center"/>
                    <w:rPr>
                      <w:rFonts w:ascii="Times New Roman"/>
                      <w:color w:val="auto"/>
                    </w:rPr>
                  </w:pPr>
                  <w:r>
                    <w:rPr>
                      <w:rFonts w:hint="eastAsia" w:ascii="Times New Roman"/>
                      <w:color w:val="auto"/>
                    </w:rPr>
                    <w:t>36.1</w:t>
                  </w:r>
                  <w:r>
                    <w:rPr>
                      <w:rFonts w:ascii="Times New Roman"/>
                      <w:color w:val="auto"/>
                    </w:rPr>
                    <w:t>μg/m</w:t>
                  </w:r>
                  <w:r>
                    <w:rPr>
                      <w:rFonts w:ascii="Times New Roman"/>
                      <w:color w:val="auto"/>
                      <w:vertAlign w:val="superscript"/>
                    </w:rPr>
                    <w:t>3</w:t>
                  </w:r>
                </w:p>
              </w:tc>
              <w:tc>
                <w:tcPr>
                  <w:tcW w:w="1115" w:type="dxa"/>
                  <w:tcBorders>
                    <w:tl2br w:val="nil"/>
                    <w:tr2bl w:val="nil"/>
                  </w:tcBorders>
                  <w:vAlign w:val="center"/>
                </w:tcPr>
                <w:p w14:paraId="48A88A74">
                  <w:pPr>
                    <w:pStyle w:val="67"/>
                    <w:ind w:firstLine="0" w:firstLineChars="0"/>
                    <w:jc w:val="center"/>
                    <w:rPr>
                      <w:rFonts w:ascii="Times New Roman"/>
                      <w:color w:val="auto"/>
                    </w:rPr>
                  </w:pPr>
                  <w:r>
                    <w:rPr>
                      <w:rFonts w:ascii="Times New Roman"/>
                      <w:color w:val="auto"/>
                    </w:rPr>
                    <w:t>35μg/m</w:t>
                  </w:r>
                  <w:r>
                    <w:rPr>
                      <w:rFonts w:ascii="Times New Roman"/>
                      <w:color w:val="auto"/>
                      <w:vertAlign w:val="superscript"/>
                    </w:rPr>
                    <w:t>3</w:t>
                  </w:r>
                </w:p>
              </w:tc>
              <w:tc>
                <w:tcPr>
                  <w:tcW w:w="863" w:type="dxa"/>
                  <w:tcBorders>
                    <w:tl2br w:val="nil"/>
                    <w:tr2bl w:val="nil"/>
                  </w:tcBorders>
                  <w:vAlign w:val="center"/>
                </w:tcPr>
                <w:p w14:paraId="04D453A5">
                  <w:pPr>
                    <w:pStyle w:val="67"/>
                    <w:ind w:firstLine="0" w:firstLineChars="0"/>
                    <w:jc w:val="center"/>
                    <w:rPr>
                      <w:rFonts w:ascii="Times New Roman"/>
                      <w:color w:val="auto"/>
                    </w:rPr>
                  </w:pPr>
                  <w:r>
                    <w:rPr>
                      <w:rFonts w:hint="eastAsia" w:ascii="Times New Roman"/>
                      <w:color w:val="auto"/>
                    </w:rPr>
                    <w:t>114.29</w:t>
                  </w:r>
                </w:p>
              </w:tc>
              <w:tc>
                <w:tcPr>
                  <w:tcW w:w="748" w:type="dxa"/>
                  <w:tcBorders>
                    <w:tl2br w:val="nil"/>
                    <w:tr2bl w:val="nil"/>
                  </w:tcBorders>
                  <w:vAlign w:val="center"/>
                </w:tcPr>
                <w:p w14:paraId="609989B3">
                  <w:pPr>
                    <w:pStyle w:val="67"/>
                    <w:ind w:firstLine="0" w:firstLineChars="0"/>
                    <w:jc w:val="center"/>
                    <w:rPr>
                      <w:rFonts w:ascii="Times New Roman"/>
                      <w:color w:val="auto"/>
                    </w:rPr>
                  </w:pPr>
                  <w:r>
                    <w:rPr>
                      <w:rFonts w:hint="eastAsia" w:ascii="Times New Roman"/>
                      <w:color w:val="auto"/>
                    </w:rPr>
                    <w:t>不</w:t>
                  </w:r>
                  <w:r>
                    <w:rPr>
                      <w:rFonts w:ascii="Times New Roman"/>
                      <w:color w:val="auto"/>
                    </w:rPr>
                    <w:t>达标</w:t>
                  </w:r>
                </w:p>
              </w:tc>
            </w:tr>
            <w:tr w14:paraId="107B5D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681" w:type="dxa"/>
                  <w:vMerge w:val="continue"/>
                  <w:tcBorders>
                    <w:tl2br w:val="nil"/>
                    <w:tr2bl w:val="nil"/>
                  </w:tcBorders>
                  <w:vAlign w:val="center"/>
                </w:tcPr>
                <w:p w14:paraId="4A7CED85">
                  <w:pPr>
                    <w:pStyle w:val="67"/>
                    <w:ind w:firstLine="0" w:firstLineChars="0"/>
                    <w:jc w:val="center"/>
                    <w:rPr>
                      <w:rFonts w:ascii="Times New Roman"/>
                      <w:color w:val="auto"/>
                    </w:rPr>
                  </w:pPr>
                </w:p>
              </w:tc>
              <w:tc>
                <w:tcPr>
                  <w:tcW w:w="700" w:type="dxa"/>
                  <w:tcBorders>
                    <w:tl2br w:val="nil"/>
                    <w:tr2bl w:val="nil"/>
                  </w:tcBorders>
                  <w:vAlign w:val="center"/>
                </w:tcPr>
                <w:p w14:paraId="35B0ECD8">
                  <w:pPr>
                    <w:pStyle w:val="67"/>
                    <w:ind w:firstLine="0" w:firstLineChars="0"/>
                    <w:jc w:val="center"/>
                    <w:rPr>
                      <w:rFonts w:ascii="Times New Roman"/>
                      <w:color w:val="auto"/>
                    </w:rPr>
                  </w:pPr>
                  <w:r>
                    <w:rPr>
                      <w:rFonts w:ascii="Times New Roman"/>
                      <w:color w:val="auto"/>
                    </w:rPr>
                    <w:t>PM</w:t>
                  </w:r>
                  <w:r>
                    <w:rPr>
                      <w:rFonts w:ascii="Times New Roman"/>
                      <w:color w:val="auto"/>
                      <w:vertAlign w:val="subscript"/>
                    </w:rPr>
                    <w:t>10</w:t>
                  </w:r>
                </w:p>
              </w:tc>
              <w:tc>
                <w:tcPr>
                  <w:tcW w:w="1714" w:type="dxa"/>
                  <w:tcBorders>
                    <w:tl2br w:val="nil"/>
                    <w:tr2bl w:val="nil"/>
                  </w:tcBorders>
                  <w:vAlign w:val="center"/>
                </w:tcPr>
                <w:p w14:paraId="5F7AF907">
                  <w:pPr>
                    <w:pStyle w:val="67"/>
                    <w:ind w:firstLine="0" w:firstLineChars="0"/>
                    <w:jc w:val="center"/>
                    <w:rPr>
                      <w:rFonts w:ascii="Times New Roman"/>
                      <w:color w:val="auto"/>
                    </w:rPr>
                  </w:pPr>
                  <w:r>
                    <w:rPr>
                      <w:rFonts w:ascii="Times New Roman"/>
                      <w:color w:val="auto"/>
                    </w:rPr>
                    <w:t>年平均浓度</w:t>
                  </w:r>
                </w:p>
              </w:tc>
              <w:tc>
                <w:tcPr>
                  <w:tcW w:w="863" w:type="dxa"/>
                  <w:tcBorders>
                    <w:tl2br w:val="nil"/>
                    <w:tr2bl w:val="nil"/>
                  </w:tcBorders>
                  <w:vAlign w:val="center"/>
                </w:tcPr>
                <w:p w14:paraId="0BB0643A">
                  <w:pPr>
                    <w:pStyle w:val="67"/>
                    <w:ind w:firstLine="0" w:firstLineChars="0"/>
                    <w:jc w:val="center"/>
                    <w:rPr>
                      <w:rFonts w:ascii="Times New Roman"/>
                      <w:color w:val="auto"/>
                    </w:rPr>
                  </w:pPr>
                  <w:r>
                    <w:rPr>
                      <w:rFonts w:ascii="Times New Roman"/>
                      <w:color w:val="auto"/>
                    </w:rPr>
                    <w:t>-</w:t>
                  </w:r>
                </w:p>
              </w:tc>
              <w:tc>
                <w:tcPr>
                  <w:tcW w:w="1173" w:type="dxa"/>
                  <w:tcBorders>
                    <w:tl2br w:val="nil"/>
                    <w:tr2bl w:val="nil"/>
                  </w:tcBorders>
                  <w:vAlign w:val="center"/>
                </w:tcPr>
                <w:p w14:paraId="0901C104">
                  <w:pPr>
                    <w:pStyle w:val="67"/>
                    <w:ind w:firstLine="0" w:firstLineChars="0"/>
                    <w:jc w:val="center"/>
                    <w:rPr>
                      <w:rFonts w:ascii="Times New Roman"/>
                      <w:color w:val="auto"/>
                    </w:rPr>
                  </w:pPr>
                  <w:r>
                    <w:rPr>
                      <w:rFonts w:hint="eastAsia" w:ascii="Times New Roman"/>
                      <w:color w:val="auto"/>
                    </w:rPr>
                    <w:t>50</w:t>
                  </w:r>
                  <w:r>
                    <w:rPr>
                      <w:rFonts w:ascii="Times New Roman"/>
                      <w:color w:val="auto"/>
                    </w:rPr>
                    <w:t>μg/m</w:t>
                  </w:r>
                  <w:r>
                    <w:rPr>
                      <w:rFonts w:ascii="Times New Roman"/>
                      <w:color w:val="auto"/>
                      <w:vertAlign w:val="superscript"/>
                    </w:rPr>
                    <w:t>3</w:t>
                  </w:r>
                </w:p>
              </w:tc>
              <w:tc>
                <w:tcPr>
                  <w:tcW w:w="1115" w:type="dxa"/>
                  <w:tcBorders>
                    <w:tl2br w:val="nil"/>
                    <w:tr2bl w:val="nil"/>
                  </w:tcBorders>
                  <w:vAlign w:val="center"/>
                </w:tcPr>
                <w:p w14:paraId="235675EB">
                  <w:pPr>
                    <w:pStyle w:val="67"/>
                    <w:ind w:firstLine="0" w:firstLineChars="0"/>
                    <w:jc w:val="center"/>
                    <w:rPr>
                      <w:rFonts w:ascii="Times New Roman"/>
                      <w:color w:val="auto"/>
                    </w:rPr>
                  </w:pPr>
                  <w:r>
                    <w:rPr>
                      <w:rFonts w:ascii="Times New Roman"/>
                      <w:color w:val="auto"/>
                    </w:rPr>
                    <w:t>70μg/m</w:t>
                  </w:r>
                  <w:r>
                    <w:rPr>
                      <w:rFonts w:ascii="Times New Roman"/>
                      <w:color w:val="auto"/>
                      <w:vertAlign w:val="superscript"/>
                    </w:rPr>
                    <w:t>3</w:t>
                  </w:r>
                </w:p>
              </w:tc>
              <w:tc>
                <w:tcPr>
                  <w:tcW w:w="863" w:type="dxa"/>
                  <w:tcBorders>
                    <w:tl2br w:val="nil"/>
                    <w:tr2bl w:val="nil"/>
                  </w:tcBorders>
                  <w:vAlign w:val="center"/>
                </w:tcPr>
                <w:p w14:paraId="46F68C71">
                  <w:pPr>
                    <w:pStyle w:val="67"/>
                    <w:ind w:firstLine="0" w:firstLineChars="0"/>
                    <w:jc w:val="center"/>
                    <w:rPr>
                      <w:rFonts w:ascii="Times New Roman"/>
                      <w:color w:val="auto"/>
                    </w:rPr>
                  </w:pPr>
                  <w:r>
                    <w:rPr>
                      <w:rFonts w:hint="eastAsia" w:ascii="Times New Roman"/>
                      <w:color w:val="auto"/>
                    </w:rPr>
                    <w:t>80</w:t>
                  </w:r>
                </w:p>
              </w:tc>
              <w:tc>
                <w:tcPr>
                  <w:tcW w:w="748" w:type="dxa"/>
                  <w:tcBorders>
                    <w:tl2br w:val="nil"/>
                    <w:tr2bl w:val="nil"/>
                  </w:tcBorders>
                  <w:vAlign w:val="center"/>
                </w:tcPr>
                <w:p w14:paraId="7B769D3E">
                  <w:pPr>
                    <w:pStyle w:val="67"/>
                    <w:ind w:firstLine="0" w:firstLineChars="0"/>
                    <w:jc w:val="center"/>
                    <w:rPr>
                      <w:rFonts w:ascii="Times New Roman"/>
                      <w:color w:val="auto"/>
                    </w:rPr>
                  </w:pPr>
                  <w:r>
                    <w:rPr>
                      <w:rFonts w:ascii="Times New Roman"/>
                      <w:color w:val="auto"/>
                    </w:rPr>
                    <w:t>达标</w:t>
                  </w:r>
                </w:p>
              </w:tc>
            </w:tr>
          </w:tbl>
          <w:p w14:paraId="67C6270A">
            <w:pPr>
              <w:spacing w:line="348" w:lineRule="auto"/>
              <w:ind w:firstLine="480" w:firstLineChars="200"/>
              <w:rPr>
                <w:color w:val="auto"/>
                <w:sz w:val="24"/>
                <w:szCs w:val="20"/>
              </w:rPr>
            </w:pPr>
            <w:r>
              <w:rPr>
                <w:color w:val="auto"/>
                <w:sz w:val="24"/>
                <w:szCs w:val="20"/>
              </w:rPr>
              <w:t>根据</w:t>
            </w:r>
            <w:r>
              <w:rPr>
                <w:rFonts w:hint="eastAsia"/>
                <w:color w:val="auto"/>
                <w:sz w:val="24"/>
                <w:szCs w:val="20"/>
              </w:rPr>
              <w:t>上表</w:t>
            </w:r>
            <w:r>
              <w:rPr>
                <w:color w:val="auto"/>
                <w:sz w:val="24"/>
                <w:szCs w:val="20"/>
              </w:rPr>
              <w:t>可知，2024年度君山区环境空气质量PM</w:t>
            </w:r>
            <w:r>
              <w:rPr>
                <w:color w:val="auto"/>
                <w:sz w:val="24"/>
                <w:szCs w:val="20"/>
                <w:vertAlign w:val="subscript"/>
              </w:rPr>
              <w:t>2.5</w:t>
            </w:r>
            <w:r>
              <w:rPr>
                <w:color w:val="auto"/>
                <w:sz w:val="24"/>
                <w:szCs w:val="20"/>
              </w:rPr>
              <w:t>不能达到《环境空气质量标准》（GB3095-2012）二级标准，</w:t>
            </w:r>
            <w:r>
              <w:rPr>
                <w:rFonts w:hint="eastAsia"/>
                <w:color w:val="auto"/>
                <w:sz w:val="24"/>
                <w:szCs w:val="20"/>
              </w:rPr>
              <w:t>因此君山区为</w:t>
            </w:r>
            <w:r>
              <w:rPr>
                <w:color w:val="auto"/>
                <w:sz w:val="24"/>
                <w:szCs w:val="20"/>
              </w:rPr>
              <w:t>环境空气质量不达标区。根据《岳阳市环境空气质量期限达标规划（2020-2026）》（岳生环委发【2020】10号），在2026年底前岳阳市将实现空气质量6项主要污染物（PM</w:t>
            </w:r>
            <w:r>
              <w:rPr>
                <w:color w:val="auto"/>
                <w:sz w:val="24"/>
                <w:szCs w:val="20"/>
                <w:vertAlign w:val="subscript"/>
              </w:rPr>
              <w:t>10</w:t>
            </w:r>
            <w:r>
              <w:rPr>
                <w:color w:val="auto"/>
                <w:sz w:val="24"/>
                <w:szCs w:val="20"/>
              </w:rPr>
              <w:t>、PM</w:t>
            </w:r>
            <w:r>
              <w:rPr>
                <w:color w:val="auto"/>
                <w:sz w:val="24"/>
                <w:szCs w:val="20"/>
                <w:vertAlign w:val="subscript"/>
              </w:rPr>
              <w:t>2.5</w:t>
            </w:r>
            <w:r>
              <w:rPr>
                <w:color w:val="auto"/>
                <w:sz w:val="24"/>
                <w:szCs w:val="20"/>
              </w:rPr>
              <w:t>、二氧化硫、二氧化氮、一氧化碳和臭氧）全部达标。当地政府</w:t>
            </w:r>
            <w:r>
              <w:rPr>
                <w:rFonts w:hint="eastAsia"/>
                <w:color w:val="auto"/>
                <w:sz w:val="24"/>
                <w:szCs w:val="20"/>
              </w:rPr>
              <w:t>在</w:t>
            </w:r>
            <w:r>
              <w:rPr>
                <w:color w:val="auto"/>
                <w:sz w:val="24"/>
                <w:szCs w:val="20"/>
              </w:rPr>
              <w:t>加大环境治理力度，采取更为严格的大气防治手段</w:t>
            </w:r>
            <w:r>
              <w:rPr>
                <w:rFonts w:hint="eastAsia"/>
                <w:color w:val="auto"/>
                <w:sz w:val="24"/>
                <w:szCs w:val="20"/>
              </w:rPr>
              <w:t>后</w:t>
            </w:r>
            <w:r>
              <w:rPr>
                <w:color w:val="auto"/>
                <w:sz w:val="24"/>
                <w:szCs w:val="20"/>
              </w:rPr>
              <w:t>，所在地区环境空气质量将得到改善。</w:t>
            </w:r>
          </w:p>
          <w:p w14:paraId="37D49F5F">
            <w:pPr>
              <w:adjustRightInd w:val="0"/>
              <w:snapToGrid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2.2、特征因子环境质量现状</w:t>
            </w:r>
          </w:p>
          <w:p w14:paraId="72F2D933">
            <w:pPr>
              <w:pStyle w:val="9"/>
              <w:spacing w:before="0" w:after="0" w:line="360" w:lineRule="auto"/>
              <w:ind w:right="0" w:firstLine="480" w:firstLineChars="200"/>
              <w:rPr>
                <w:color w:val="auto"/>
                <w:kern w:val="2"/>
                <w:sz w:val="24"/>
                <w:szCs w:val="24"/>
              </w:rPr>
            </w:pPr>
            <w:r>
              <w:rPr>
                <w:color w:val="auto"/>
                <w:kern w:val="2"/>
                <w:sz w:val="24"/>
                <w:szCs w:val="24"/>
              </w:rPr>
              <w:t>为了解项目特征污染物（TSP、臭气浓度、硫化氢、氨）现状情况，本项目引用《洞庭湖流域采桑湖片区水环境综合治理项目》2024年6月19日~2024年6月25日对该项目厂界下风向的监测数据，监测单位为：湖南昌旭环保科技有限公司，该项目监测点位位于本项目西侧2.4km左右，符合“建设项目周边5千米范围内近3年的现有监测数据”的引用要求。监测情况及结果如表3-</w:t>
            </w:r>
            <w:r>
              <w:rPr>
                <w:rFonts w:hint="eastAsia"/>
                <w:color w:val="auto"/>
                <w:kern w:val="2"/>
                <w:sz w:val="24"/>
                <w:szCs w:val="24"/>
                <w:lang w:val="en-US" w:eastAsia="zh-CN"/>
              </w:rPr>
              <w:t>4</w:t>
            </w:r>
            <w:r>
              <w:rPr>
                <w:color w:val="auto"/>
                <w:kern w:val="2"/>
                <w:sz w:val="24"/>
                <w:szCs w:val="24"/>
              </w:rPr>
              <w:t>和表3-</w:t>
            </w:r>
            <w:r>
              <w:rPr>
                <w:rFonts w:hint="eastAsia"/>
                <w:color w:val="auto"/>
                <w:kern w:val="2"/>
                <w:sz w:val="24"/>
                <w:szCs w:val="24"/>
                <w:lang w:val="en-US" w:eastAsia="zh-CN"/>
              </w:rPr>
              <w:t>5</w:t>
            </w:r>
            <w:r>
              <w:rPr>
                <w:color w:val="auto"/>
                <w:kern w:val="2"/>
                <w:sz w:val="24"/>
                <w:szCs w:val="24"/>
              </w:rPr>
              <w:t>所示：</w:t>
            </w:r>
          </w:p>
          <w:p w14:paraId="698363A0">
            <w:pPr>
              <w:jc w:val="center"/>
              <w:rPr>
                <w:b/>
                <w:bCs/>
                <w:color w:val="auto"/>
                <w:szCs w:val="21"/>
              </w:rPr>
            </w:pPr>
            <w:r>
              <w:rPr>
                <w:b/>
                <w:bCs/>
                <w:color w:val="auto"/>
                <w:szCs w:val="21"/>
              </w:rPr>
              <w:t>表3-</w:t>
            </w:r>
            <w:r>
              <w:rPr>
                <w:rFonts w:hint="eastAsia"/>
                <w:b/>
                <w:bCs/>
                <w:color w:val="auto"/>
                <w:szCs w:val="21"/>
                <w:lang w:val="en-US" w:eastAsia="zh-CN"/>
              </w:rPr>
              <w:t>4</w:t>
            </w:r>
            <w:r>
              <w:rPr>
                <w:b/>
                <w:bCs/>
                <w:color w:val="auto"/>
                <w:szCs w:val="21"/>
              </w:rPr>
              <w:t xml:space="preserve">   区域环境空气质量特征污染物（TSP）监测数据（ug/m³）</w:t>
            </w:r>
          </w:p>
          <w:tbl>
            <w:tblPr>
              <w:tblStyle w:val="27"/>
              <w:tblW w:w="7857" w:type="dxa"/>
              <w:tblInd w:w="0" w:type="dxa"/>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Layout w:type="fixed"/>
              <w:tblCellMar>
                <w:top w:w="0" w:type="dxa"/>
                <w:left w:w="108" w:type="dxa"/>
                <w:bottom w:w="0" w:type="dxa"/>
                <w:right w:w="108" w:type="dxa"/>
              </w:tblCellMar>
            </w:tblPr>
            <w:tblGrid>
              <w:gridCol w:w="1095"/>
              <w:gridCol w:w="1161"/>
              <w:gridCol w:w="1103"/>
              <w:gridCol w:w="1106"/>
              <w:gridCol w:w="1096"/>
              <w:gridCol w:w="1198"/>
              <w:gridCol w:w="1098"/>
            </w:tblGrid>
            <w:tr w14:paraId="2D32D27C">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tcBorders>
                    <w:bottom w:val="single" w:color="auto" w:sz="2" w:space="0"/>
                  </w:tcBorders>
                  <w:vAlign w:val="center"/>
                </w:tcPr>
                <w:p w14:paraId="7091D2C1">
                  <w:pPr>
                    <w:pStyle w:val="3"/>
                    <w:overflowPunct w:val="0"/>
                    <w:autoSpaceDE w:val="0"/>
                    <w:autoSpaceDN w:val="0"/>
                    <w:spacing w:before="0" w:after="0" w:line="240" w:lineRule="auto"/>
                    <w:jc w:val="center"/>
                    <w:rPr>
                      <w:rFonts w:ascii="Times New Roman" w:hAnsi="Times New Roman" w:cs="Times New Roman"/>
                      <w:color w:val="auto"/>
                      <w:sz w:val="21"/>
                      <w:szCs w:val="21"/>
                    </w:rPr>
                  </w:pPr>
                  <w:bookmarkStart w:id="23" w:name="_Toc25862"/>
                  <w:bookmarkStart w:id="24" w:name="_Toc2215"/>
                  <w:r>
                    <w:rPr>
                      <w:rFonts w:ascii="Times New Roman" w:hAnsi="Times New Roman" w:cs="Times New Roman"/>
                      <w:color w:val="auto"/>
                      <w:sz w:val="21"/>
                      <w:szCs w:val="21"/>
                    </w:rPr>
                    <w:t>监测点位</w:t>
                  </w:r>
                  <w:bookmarkEnd w:id="23"/>
                  <w:bookmarkEnd w:id="24"/>
                </w:p>
              </w:tc>
              <w:tc>
                <w:tcPr>
                  <w:tcW w:w="1161" w:type="dxa"/>
                  <w:tcBorders>
                    <w:bottom w:val="single" w:color="auto" w:sz="2" w:space="0"/>
                  </w:tcBorders>
                  <w:vAlign w:val="center"/>
                </w:tcPr>
                <w:p w14:paraId="254F29F4">
                  <w:pPr>
                    <w:overflowPunct w:val="0"/>
                    <w:autoSpaceDE w:val="0"/>
                    <w:autoSpaceDN w:val="0"/>
                    <w:adjustRightInd w:val="0"/>
                    <w:jc w:val="center"/>
                    <w:textAlignment w:val="baseline"/>
                    <w:rPr>
                      <w:b/>
                      <w:bCs/>
                      <w:color w:val="auto"/>
                      <w:szCs w:val="21"/>
                    </w:rPr>
                  </w:pPr>
                  <w:r>
                    <w:rPr>
                      <w:b/>
                      <w:bCs/>
                      <w:color w:val="auto"/>
                      <w:kern w:val="0"/>
                      <w:szCs w:val="21"/>
                    </w:rPr>
                    <w:t>监测时间</w:t>
                  </w:r>
                </w:p>
              </w:tc>
              <w:tc>
                <w:tcPr>
                  <w:tcW w:w="1103" w:type="dxa"/>
                  <w:tcBorders>
                    <w:bottom w:val="single" w:color="auto" w:sz="2" w:space="0"/>
                  </w:tcBorders>
                  <w:vAlign w:val="center"/>
                </w:tcPr>
                <w:p w14:paraId="69094896">
                  <w:pPr>
                    <w:overflowPunct w:val="0"/>
                    <w:autoSpaceDE w:val="0"/>
                    <w:autoSpaceDN w:val="0"/>
                    <w:adjustRightInd w:val="0"/>
                    <w:jc w:val="center"/>
                    <w:textAlignment w:val="baseline"/>
                    <w:rPr>
                      <w:b/>
                      <w:bCs/>
                      <w:color w:val="auto"/>
                      <w:szCs w:val="21"/>
                    </w:rPr>
                  </w:pPr>
                  <w:r>
                    <w:rPr>
                      <w:b/>
                      <w:bCs/>
                      <w:color w:val="auto"/>
                      <w:kern w:val="0"/>
                      <w:szCs w:val="21"/>
                    </w:rPr>
                    <w:t>监测因子</w:t>
                  </w:r>
                </w:p>
              </w:tc>
              <w:tc>
                <w:tcPr>
                  <w:tcW w:w="1106" w:type="dxa"/>
                  <w:tcBorders>
                    <w:bottom w:val="single" w:color="auto" w:sz="2" w:space="0"/>
                  </w:tcBorders>
                  <w:vAlign w:val="center"/>
                </w:tcPr>
                <w:p w14:paraId="24327F41">
                  <w:pPr>
                    <w:overflowPunct w:val="0"/>
                    <w:autoSpaceDE w:val="0"/>
                    <w:autoSpaceDN w:val="0"/>
                    <w:adjustRightInd w:val="0"/>
                    <w:jc w:val="center"/>
                    <w:textAlignment w:val="baseline"/>
                    <w:rPr>
                      <w:b/>
                      <w:bCs/>
                      <w:color w:val="auto"/>
                      <w:szCs w:val="21"/>
                    </w:rPr>
                  </w:pPr>
                  <w:r>
                    <w:rPr>
                      <w:b/>
                      <w:bCs/>
                      <w:color w:val="auto"/>
                      <w:kern w:val="0"/>
                      <w:szCs w:val="21"/>
                    </w:rPr>
                    <w:t>监测值</w:t>
                  </w:r>
                </w:p>
              </w:tc>
              <w:tc>
                <w:tcPr>
                  <w:tcW w:w="1096" w:type="dxa"/>
                  <w:tcBorders>
                    <w:bottom w:val="single" w:color="auto" w:sz="2" w:space="0"/>
                  </w:tcBorders>
                  <w:vAlign w:val="center"/>
                </w:tcPr>
                <w:p w14:paraId="4048B582">
                  <w:pPr>
                    <w:overflowPunct w:val="0"/>
                    <w:autoSpaceDE w:val="0"/>
                    <w:autoSpaceDN w:val="0"/>
                    <w:adjustRightInd w:val="0"/>
                    <w:jc w:val="center"/>
                    <w:textAlignment w:val="baseline"/>
                    <w:rPr>
                      <w:b/>
                      <w:bCs/>
                      <w:color w:val="auto"/>
                      <w:szCs w:val="21"/>
                    </w:rPr>
                  </w:pPr>
                  <w:r>
                    <w:rPr>
                      <w:b/>
                      <w:bCs/>
                      <w:color w:val="auto"/>
                      <w:kern w:val="0"/>
                      <w:szCs w:val="21"/>
                    </w:rPr>
                    <w:t>最大超标倍数</w:t>
                  </w:r>
                </w:p>
              </w:tc>
              <w:tc>
                <w:tcPr>
                  <w:tcW w:w="1198" w:type="dxa"/>
                  <w:tcBorders>
                    <w:bottom w:val="single" w:color="auto" w:sz="2" w:space="0"/>
                  </w:tcBorders>
                  <w:vAlign w:val="center"/>
                </w:tcPr>
                <w:p w14:paraId="40680E59">
                  <w:pPr>
                    <w:overflowPunct w:val="0"/>
                    <w:autoSpaceDE w:val="0"/>
                    <w:autoSpaceDN w:val="0"/>
                    <w:adjustRightInd w:val="0"/>
                    <w:jc w:val="center"/>
                    <w:textAlignment w:val="baseline"/>
                    <w:rPr>
                      <w:b/>
                      <w:bCs/>
                      <w:color w:val="auto"/>
                      <w:szCs w:val="21"/>
                    </w:rPr>
                  </w:pPr>
                  <w:r>
                    <w:rPr>
                      <w:b/>
                      <w:bCs/>
                      <w:color w:val="auto"/>
                      <w:kern w:val="0"/>
                      <w:szCs w:val="21"/>
                    </w:rPr>
                    <w:t>标准值（ug/m</w:t>
                  </w:r>
                  <w:r>
                    <w:rPr>
                      <w:b/>
                      <w:bCs/>
                      <w:color w:val="auto"/>
                      <w:kern w:val="0"/>
                      <w:szCs w:val="21"/>
                      <w:vertAlign w:val="superscript"/>
                    </w:rPr>
                    <w:t>3</w:t>
                  </w:r>
                  <w:r>
                    <w:rPr>
                      <w:b/>
                      <w:bCs/>
                      <w:color w:val="auto"/>
                      <w:kern w:val="0"/>
                      <w:szCs w:val="21"/>
                    </w:rPr>
                    <w:t>）</w:t>
                  </w:r>
                </w:p>
              </w:tc>
              <w:tc>
                <w:tcPr>
                  <w:tcW w:w="1098" w:type="dxa"/>
                  <w:tcBorders>
                    <w:bottom w:val="single" w:color="auto" w:sz="2" w:space="0"/>
                  </w:tcBorders>
                  <w:vAlign w:val="center"/>
                </w:tcPr>
                <w:p w14:paraId="72FB492A">
                  <w:pPr>
                    <w:overflowPunct w:val="0"/>
                    <w:autoSpaceDE w:val="0"/>
                    <w:autoSpaceDN w:val="0"/>
                    <w:adjustRightInd w:val="0"/>
                    <w:jc w:val="center"/>
                    <w:textAlignment w:val="baseline"/>
                    <w:rPr>
                      <w:b/>
                      <w:bCs/>
                      <w:color w:val="auto"/>
                      <w:szCs w:val="21"/>
                    </w:rPr>
                  </w:pPr>
                  <w:r>
                    <w:rPr>
                      <w:b/>
                      <w:bCs/>
                      <w:color w:val="auto"/>
                      <w:kern w:val="0"/>
                      <w:szCs w:val="21"/>
                    </w:rPr>
                    <w:t>是否达标</w:t>
                  </w:r>
                </w:p>
              </w:tc>
            </w:tr>
            <w:tr w14:paraId="25D50506">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restart"/>
                  <w:tcBorders>
                    <w:top w:val="single" w:color="auto" w:sz="2" w:space="0"/>
                    <w:bottom w:val="single" w:color="auto" w:sz="2" w:space="0"/>
                  </w:tcBorders>
                  <w:vAlign w:val="center"/>
                </w:tcPr>
                <w:p w14:paraId="11C1AD33">
                  <w:pPr>
                    <w:jc w:val="center"/>
                    <w:rPr>
                      <w:color w:val="auto"/>
                      <w:szCs w:val="21"/>
                    </w:rPr>
                  </w:pPr>
                  <w:r>
                    <w:rPr>
                      <w:color w:val="auto"/>
                      <w:szCs w:val="21"/>
                    </w:rPr>
                    <w:t>G2</w:t>
                  </w:r>
                </w:p>
              </w:tc>
              <w:tc>
                <w:tcPr>
                  <w:tcW w:w="1161" w:type="dxa"/>
                  <w:tcBorders>
                    <w:top w:val="single" w:color="auto" w:sz="2" w:space="0"/>
                    <w:bottom w:val="single" w:color="auto" w:sz="2" w:space="0"/>
                  </w:tcBorders>
                  <w:vAlign w:val="center"/>
                </w:tcPr>
                <w:p w14:paraId="4E1E4250">
                  <w:pPr>
                    <w:overflowPunct w:val="0"/>
                    <w:autoSpaceDE w:val="0"/>
                    <w:autoSpaceDN w:val="0"/>
                    <w:adjustRightInd w:val="0"/>
                    <w:jc w:val="center"/>
                    <w:textAlignment w:val="baseline"/>
                    <w:rPr>
                      <w:color w:val="auto"/>
                      <w:szCs w:val="21"/>
                    </w:rPr>
                  </w:pPr>
                  <w:r>
                    <w:rPr>
                      <w:color w:val="auto"/>
                      <w:szCs w:val="21"/>
                    </w:rPr>
                    <w:t>2024.6.19</w:t>
                  </w:r>
                </w:p>
              </w:tc>
              <w:tc>
                <w:tcPr>
                  <w:tcW w:w="1103" w:type="dxa"/>
                  <w:tcBorders>
                    <w:top w:val="single" w:color="auto" w:sz="2" w:space="0"/>
                    <w:bottom w:val="single" w:color="auto" w:sz="2" w:space="0"/>
                  </w:tcBorders>
                  <w:vAlign w:val="center"/>
                </w:tcPr>
                <w:p w14:paraId="79E2C728">
                  <w:pPr>
                    <w:overflowPunct w:val="0"/>
                    <w:autoSpaceDE w:val="0"/>
                    <w:autoSpaceDN w:val="0"/>
                    <w:adjustRightInd w:val="0"/>
                    <w:jc w:val="center"/>
                    <w:textAlignment w:val="baseline"/>
                    <w:rPr>
                      <w:b/>
                      <w:bCs/>
                      <w:color w:val="auto"/>
                      <w:szCs w:val="21"/>
                    </w:rPr>
                  </w:pPr>
                  <w:r>
                    <w:rPr>
                      <w:color w:val="auto"/>
                      <w:kern w:val="0"/>
                      <w:szCs w:val="21"/>
                    </w:rPr>
                    <w:t>TSP</w:t>
                  </w:r>
                </w:p>
              </w:tc>
              <w:tc>
                <w:tcPr>
                  <w:tcW w:w="1106" w:type="dxa"/>
                  <w:tcBorders>
                    <w:top w:val="single" w:color="auto" w:sz="2" w:space="0"/>
                    <w:bottom w:val="single" w:color="auto" w:sz="2" w:space="0"/>
                  </w:tcBorders>
                  <w:vAlign w:val="center"/>
                </w:tcPr>
                <w:p w14:paraId="0BFF5068">
                  <w:pPr>
                    <w:jc w:val="center"/>
                    <w:rPr>
                      <w:color w:val="auto"/>
                      <w:szCs w:val="21"/>
                    </w:rPr>
                  </w:pPr>
                  <w:r>
                    <w:rPr>
                      <w:color w:val="auto"/>
                      <w:szCs w:val="21"/>
                    </w:rPr>
                    <w:t>96</w:t>
                  </w:r>
                </w:p>
              </w:tc>
              <w:tc>
                <w:tcPr>
                  <w:tcW w:w="1096" w:type="dxa"/>
                  <w:tcBorders>
                    <w:top w:val="single" w:color="auto" w:sz="2" w:space="0"/>
                    <w:bottom w:val="single" w:color="auto" w:sz="2" w:space="0"/>
                  </w:tcBorders>
                  <w:vAlign w:val="center"/>
                </w:tcPr>
                <w:p w14:paraId="5CBC5775">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40740DC1">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3F406E52">
                  <w:pPr>
                    <w:overflowPunct w:val="0"/>
                    <w:autoSpaceDE w:val="0"/>
                    <w:autoSpaceDN w:val="0"/>
                    <w:adjustRightInd w:val="0"/>
                    <w:jc w:val="center"/>
                    <w:textAlignment w:val="baseline"/>
                    <w:rPr>
                      <w:b/>
                      <w:bCs/>
                      <w:color w:val="auto"/>
                      <w:szCs w:val="21"/>
                    </w:rPr>
                  </w:pPr>
                  <w:r>
                    <w:rPr>
                      <w:color w:val="auto"/>
                      <w:kern w:val="0"/>
                      <w:szCs w:val="21"/>
                    </w:rPr>
                    <w:t>是</w:t>
                  </w:r>
                </w:p>
              </w:tc>
            </w:tr>
            <w:tr w14:paraId="53AA662A">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bottom w:val="single" w:color="auto" w:sz="2" w:space="0"/>
                  </w:tcBorders>
                  <w:vAlign w:val="center"/>
                </w:tcPr>
                <w:p w14:paraId="782E8AB9">
                  <w:pPr>
                    <w:jc w:val="center"/>
                    <w:rPr>
                      <w:color w:val="auto"/>
                      <w:szCs w:val="21"/>
                    </w:rPr>
                  </w:pPr>
                </w:p>
              </w:tc>
              <w:tc>
                <w:tcPr>
                  <w:tcW w:w="1161" w:type="dxa"/>
                  <w:tcBorders>
                    <w:top w:val="single" w:color="auto" w:sz="2" w:space="0"/>
                    <w:bottom w:val="single" w:color="auto" w:sz="2" w:space="0"/>
                  </w:tcBorders>
                  <w:vAlign w:val="center"/>
                </w:tcPr>
                <w:p w14:paraId="2C8CC95A">
                  <w:pPr>
                    <w:overflowPunct w:val="0"/>
                    <w:autoSpaceDE w:val="0"/>
                    <w:autoSpaceDN w:val="0"/>
                    <w:adjustRightInd w:val="0"/>
                    <w:jc w:val="center"/>
                    <w:textAlignment w:val="baseline"/>
                    <w:rPr>
                      <w:color w:val="auto"/>
                      <w:szCs w:val="21"/>
                    </w:rPr>
                  </w:pPr>
                  <w:r>
                    <w:rPr>
                      <w:color w:val="auto"/>
                      <w:szCs w:val="21"/>
                    </w:rPr>
                    <w:t>2024.6.20</w:t>
                  </w:r>
                </w:p>
              </w:tc>
              <w:tc>
                <w:tcPr>
                  <w:tcW w:w="1103" w:type="dxa"/>
                  <w:tcBorders>
                    <w:top w:val="single" w:color="auto" w:sz="2" w:space="0"/>
                    <w:bottom w:val="single" w:color="auto" w:sz="2" w:space="0"/>
                  </w:tcBorders>
                  <w:vAlign w:val="center"/>
                </w:tcPr>
                <w:p w14:paraId="30155C23">
                  <w:pPr>
                    <w:overflowPunct w:val="0"/>
                    <w:autoSpaceDE w:val="0"/>
                    <w:autoSpaceDN w:val="0"/>
                    <w:adjustRightInd w:val="0"/>
                    <w:jc w:val="center"/>
                    <w:textAlignment w:val="baseline"/>
                    <w:rPr>
                      <w:b/>
                      <w:bCs/>
                      <w:color w:val="auto"/>
                      <w:szCs w:val="21"/>
                    </w:rPr>
                  </w:pPr>
                  <w:r>
                    <w:rPr>
                      <w:color w:val="auto"/>
                      <w:kern w:val="0"/>
                      <w:szCs w:val="21"/>
                    </w:rPr>
                    <w:t>TSP</w:t>
                  </w:r>
                </w:p>
              </w:tc>
              <w:tc>
                <w:tcPr>
                  <w:tcW w:w="1106" w:type="dxa"/>
                  <w:tcBorders>
                    <w:top w:val="single" w:color="auto" w:sz="2" w:space="0"/>
                    <w:bottom w:val="single" w:color="auto" w:sz="2" w:space="0"/>
                  </w:tcBorders>
                  <w:vAlign w:val="center"/>
                </w:tcPr>
                <w:p w14:paraId="3E7C6768">
                  <w:pPr>
                    <w:jc w:val="center"/>
                    <w:rPr>
                      <w:color w:val="auto"/>
                      <w:szCs w:val="21"/>
                    </w:rPr>
                  </w:pPr>
                  <w:r>
                    <w:rPr>
                      <w:color w:val="auto"/>
                      <w:szCs w:val="21"/>
                    </w:rPr>
                    <w:t>93</w:t>
                  </w:r>
                </w:p>
              </w:tc>
              <w:tc>
                <w:tcPr>
                  <w:tcW w:w="1096" w:type="dxa"/>
                  <w:tcBorders>
                    <w:top w:val="single" w:color="auto" w:sz="2" w:space="0"/>
                    <w:bottom w:val="single" w:color="auto" w:sz="2" w:space="0"/>
                  </w:tcBorders>
                  <w:vAlign w:val="center"/>
                </w:tcPr>
                <w:p w14:paraId="4597DF91">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6E688EE5">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3C3EE37F">
                  <w:pPr>
                    <w:overflowPunct w:val="0"/>
                    <w:autoSpaceDE w:val="0"/>
                    <w:autoSpaceDN w:val="0"/>
                    <w:adjustRightInd w:val="0"/>
                    <w:jc w:val="center"/>
                    <w:textAlignment w:val="baseline"/>
                    <w:rPr>
                      <w:b/>
                      <w:bCs/>
                      <w:color w:val="auto"/>
                      <w:szCs w:val="21"/>
                    </w:rPr>
                  </w:pPr>
                  <w:r>
                    <w:rPr>
                      <w:color w:val="auto"/>
                      <w:kern w:val="0"/>
                      <w:szCs w:val="21"/>
                    </w:rPr>
                    <w:t>是</w:t>
                  </w:r>
                </w:p>
              </w:tc>
            </w:tr>
            <w:tr w14:paraId="3C07A612">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bottom w:val="single" w:color="auto" w:sz="2" w:space="0"/>
                  </w:tcBorders>
                  <w:vAlign w:val="center"/>
                </w:tcPr>
                <w:p w14:paraId="4B1E29BB">
                  <w:pPr>
                    <w:jc w:val="center"/>
                    <w:rPr>
                      <w:color w:val="auto"/>
                      <w:szCs w:val="21"/>
                    </w:rPr>
                  </w:pPr>
                </w:p>
              </w:tc>
              <w:tc>
                <w:tcPr>
                  <w:tcW w:w="1161" w:type="dxa"/>
                  <w:tcBorders>
                    <w:top w:val="single" w:color="auto" w:sz="2" w:space="0"/>
                    <w:bottom w:val="single" w:color="auto" w:sz="2" w:space="0"/>
                  </w:tcBorders>
                  <w:vAlign w:val="center"/>
                </w:tcPr>
                <w:p w14:paraId="5F33C7EB">
                  <w:pPr>
                    <w:overflowPunct w:val="0"/>
                    <w:autoSpaceDE w:val="0"/>
                    <w:autoSpaceDN w:val="0"/>
                    <w:adjustRightInd w:val="0"/>
                    <w:jc w:val="center"/>
                    <w:textAlignment w:val="baseline"/>
                    <w:rPr>
                      <w:color w:val="auto"/>
                      <w:szCs w:val="21"/>
                    </w:rPr>
                  </w:pPr>
                  <w:r>
                    <w:rPr>
                      <w:color w:val="auto"/>
                      <w:szCs w:val="21"/>
                    </w:rPr>
                    <w:t>2024.6.21</w:t>
                  </w:r>
                </w:p>
              </w:tc>
              <w:tc>
                <w:tcPr>
                  <w:tcW w:w="1103" w:type="dxa"/>
                  <w:tcBorders>
                    <w:top w:val="single" w:color="auto" w:sz="2" w:space="0"/>
                    <w:bottom w:val="single" w:color="auto" w:sz="2" w:space="0"/>
                  </w:tcBorders>
                  <w:vAlign w:val="center"/>
                </w:tcPr>
                <w:p w14:paraId="60896C2B">
                  <w:pPr>
                    <w:overflowPunct w:val="0"/>
                    <w:autoSpaceDE w:val="0"/>
                    <w:autoSpaceDN w:val="0"/>
                    <w:adjustRightInd w:val="0"/>
                    <w:jc w:val="center"/>
                    <w:textAlignment w:val="baseline"/>
                    <w:rPr>
                      <w:b/>
                      <w:bCs/>
                      <w:color w:val="auto"/>
                      <w:szCs w:val="21"/>
                    </w:rPr>
                  </w:pPr>
                  <w:r>
                    <w:rPr>
                      <w:color w:val="auto"/>
                      <w:kern w:val="0"/>
                      <w:szCs w:val="21"/>
                    </w:rPr>
                    <w:t>TSP</w:t>
                  </w:r>
                </w:p>
              </w:tc>
              <w:tc>
                <w:tcPr>
                  <w:tcW w:w="1106" w:type="dxa"/>
                  <w:tcBorders>
                    <w:top w:val="single" w:color="auto" w:sz="2" w:space="0"/>
                    <w:bottom w:val="single" w:color="auto" w:sz="2" w:space="0"/>
                  </w:tcBorders>
                  <w:vAlign w:val="center"/>
                </w:tcPr>
                <w:p w14:paraId="130799BF">
                  <w:pPr>
                    <w:jc w:val="center"/>
                    <w:rPr>
                      <w:color w:val="auto"/>
                      <w:szCs w:val="21"/>
                    </w:rPr>
                  </w:pPr>
                  <w:r>
                    <w:rPr>
                      <w:color w:val="auto"/>
                      <w:szCs w:val="21"/>
                    </w:rPr>
                    <w:t>102</w:t>
                  </w:r>
                </w:p>
              </w:tc>
              <w:tc>
                <w:tcPr>
                  <w:tcW w:w="1096" w:type="dxa"/>
                  <w:tcBorders>
                    <w:top w:val="single" w:color="auto" w:sz="2" w:space="0"/>
                    <w:bottom w:val="single" w:color="auto" w:sz="2" w:space="0"/>
                  </w:tcBorders>
                  <w:vAlign w:val="center"/>
                </w:tcPr>
                <w:p w14:paraId="25A1EBFC">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4FE6F3D8">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6A258261">
                  <w:pPr>
                    <w:overflowPunct w:val="0"/>
                    <w:autoSpaceDE w:val="0"/>
                    <w:autoSpaceDN w:val="0"/>
                    <w:adjustRightInd w:val="0"/>
                    <w:jc w:val="center"/>
                    <w:textAlignment w:val="baseline"/>
                    <w:rPr>
                      <w:b/>
                      <w:bCs/>
                      <w:color w:val="auto"/>
                      <w:szCs w:val="21"/>
                    </w:rPr>
                  </w:pPr>
                  <w:r>
                    <w:rPr>
                      <w:color w:val="auto"/>
                      <w:kern w:val="0"/>
                      <w:szCs w:val="21"/>
                    </w:rPr>
                    <w:t>是</w:t>
                  </w:r>
                </w:p>
              </w:tc>
            </w:tr>
            <w:tr w14:paraId="0EDD25BF">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bottom w:val="single" w:color="auto" w:sz="2" w:space="0"/>
                  </w:tcBorders>
                  <w:vAlign w:val="center"/>
                </w:tcPr>
                <w:p w14:paraId="0C7ACA6C">
                  <w:pPr>
                    <w:jc w:val="center"/>
                    <w:rPr>
                      <w:color w:val="auto"/>
                      <w:szCs w:val="21"/>
                    </w:rPr>
                  </w:pPr>
                </w:p>
              </w:tc>
              <w:tc>
                <w:tcPr>
                  <w:tcW w:w="1161" w:type="dxa"/>
                  <w:tcBorders>
                    <w:top w:val="single" w:color="auto" w:sz="2" w:space="0"/>
                    <w:bottom w:val="single" w:color="auto" w:sz="2" w:space="0"/>
                  </w:tcBorders>
                  <w:vAlign w:val="center"/>
                </w:tcPr>
                <w:p w14:paraId="5DB44874">
                  <w:pPr>
                    <w:overflowPunct w:val="0"/>
                    <w:autoSpaceDE w:val="0"/>
                    <w:autoSpaceDN w:val="0"/>
                    <w:adjustRightInd w:val="0"/>
                    <w:jc w:val="center"/>
                    <w:textAlignment w:val="baseline"/>
                    <w:rPr>
                      <w:color w:val="auto"/>
                      <w:szCs w:val="21"/>
                    </w:rPr>
                  </w:pPr>
                  <w:r>
                    <w:rPr>
                      <w:color w:val="auto"/>
                      <w:szCs w:val="21"/>
                    </w:rPr>
                    <w:t>2024.6.22</w:t>
                  </w:r>
                </w:p>
              </w:tc>
              <w:tc>
                <w:tcPr>
                  <w:tcW w:w="1103" w:type="dxa"/>
                  <w:tcBorders>
                    <w:top w:val="single" w:color="auto" w:sz="2" w:space="0"/>
                    <w:bottom w:val="single" w:color="auto" w:sz="2" w:space="0"/>
                  </w:tcBorders>
                  <w:vAlign w:val="center"/>
                </w:tcPr>
                <w:p w14:paraId="684C8552">
                  <w:pPr>
                    <w:overflowPunct w:val="0"/>
                    <w:autoSpaceDE w:val="0"/>
                    <w:autoSpaceDN w:val="0"/>
                    <w:adjustRightInd w:val="0"/>
                    <w:jc w:val="center"/>
                    <w:textAlignment w:val="baseline"/>
                    <w:rPr>
                      <w:color w:val="auto"/>
                      <w:kern w:val="0"/>
                      <w:szCs w:val="21"/>
                    </w:rPr>
                  </w:pPr>
                  <w:r>
                    <w:rPr>
                      <w:color w:val="auto"/>
                      <w:kern w:val="0"/>
                      <w:szCs w:val="21"/>
                    </w:rPr>
                    <w:t>TSP</w:t>
                  </w:r>
                </w:p>
              </w:tc>
              <w:tc>
                <w:tcPr>
                  <w:tcW w:w="1106" w:type="dxa"/>
                  <w:tcBorders>
                    <w:top w:val="single" w:color="auto" w:sz="2" w:space="0"/>
                    <w:bottom w:val="single" w:color="auto" w:sz="2" w:space="0"/>
                  </w:tcBorders>
                  <w:vAlign w:val="center"/>
                </w:tcPr>
                <w:p w14:paraId="5AA38C4E">
                  <w:pPr>
                    <w:jc w:val="center"/>
                    <w:rPr>
                      <w:color w:val="auto"/>
                      <w:szCs w:val="21"/>
                    </w:rPr>
                  </w:pPr>
                  <w:r>
                    <w:rPr>
                      <w:color w:val="auto"/>
                      <w:szCs w:val="21"/>
                    </w:rPr>
                    <w:t>108</w:t>
                  </w:r>
                </w:p>
              </w:tc>
              <w:tc>
                <w:tcPr>
                  <w:tcW w:w="1096" w:type="dxa"/>
                  <w:tcBorders>
                    <w:top w:val="single" w:color="auto" w:sz="2" w:space="0"/>
                    <w:bottom w:val="single" w:color="auto" w:sz="2" w:space="0"/>
                  </w:tcBorders>
                  <w:vAlign w:val="center"/>
                </w:tcPr>
                <w:p w14:paraId="4F4A6D4B">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754FB1BB">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0D624AD3">
                  <w:pPr>
                    <w:overflowPunct w:val="0"/>
                    <w:autoSpaceDE w:val="0"/>
                    <w:autoSpaceDN w:val="0"/>
                    <w:adjustRightInd w:val="0"/>
                    <w:jc w:val="center"/>
                    <w:textAlignment w:val="baseline"/>
                    <w:rPr>
                      <w:color w:val="auto"/>
                      <w:kern w:val="0"/>
                      <w:szCs w:val="21"/>
                    </w:rPr>
                  </w:pPr>
                  <w:r>
                    <w:rPr>
                      <w:color w:val="auto"/>
                      <w:kern w:val="0"/>
                      <w:szCs w:val="21"/>
                    </w:rPr>
                    <w:t>是</w:t>
                  </w:r>
                </w:p>
              </w:tc>
            </w:tr>
            <w:tr w14:paraId="3583C63D">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bottom w:val="single" w:color="auto" w:sz="2" w:space="0"/>
                  </w:tcBorders>
                  <w:vAlign w:val="center"/>
                </w:tcPr>
                <w:p w14:paraId="54FDC07D">
                  <w:pPr>
                    <w:jc w:val="center"/>
                    <w:rPr>
                      <w:color w:val="auto"/>
                      <w:szCs w:val="21"/>
                    </w:rPr>
                  </w:pPr>
                </w:p>
              </w:tc>
              <w:tc>
                <w:tcPr>
                  <w:tcW w:w="1161" w:type="dxa"/>
                  <w:tcBorders>
                    <w:top w:val="single" w:color="auto" w:sz="2" w:space="0"/>
                    <w:bottom w:val="single" w:color="auto" w:sz="2" w:space="0"/>
                  </w:tcBorders>
                  <w:vAlign w:val="center"/>
                </w:tcPr>
                <w:p w14:paraId="25CE6CC7">
                  <w:pPr>
                    <w:overflowPunct w:val="0"/>
                    <w:autoSpaceDE w:val="0"/>
                    <w:autoSpaceDN w:val="0"/>
                    <w:adjustRightInd w:val="0"/>
                    <w:jc w:val="center"/>
                    <w:textAlignment w:val="baseline"/>
                    <w:rPr>
                      <w:color w:val="auto"/>
                      <w:szCs w:val="21"/>
                    </w:rPr>
                  </w:pPr>
                  <w:r>
                    <w:rPr>
                      <w:color w:val="auto"/>
                      <w:szCs w:val="21"/>
                    </w:rPr>
                    <w:t>2024.6.23</w:t>
                  </w:r>
                </w:p>
              </w:tc>
              <w:tc>
                <w:tcPr>
                  <w:tcW w:w="1103" w:type="dxa"/>
                  <w:tcBorders>
                    <w:top w:val="single" w:color="auto" w:sz="2" w:space="0"/>
                    <w:bottom w:val="single" w:color="auto" w:sz="2" w:space="0"/>
                  </w:tcBorders>
                  <w:vAlign w:val="center"/>
                </w:tcPr>
                <w:p w14:paraId="7B2FE14F">
                  <w:pPr>
                    <w:overflowPunct w:val="0"/>
                    <w:autoSpaceDE w:val="0"/>
                    <w:autoSpaceDN w:val="0"/>
                    <w:adjustRightInd w:val="0"/>
                    <w:jc w:val="center"/>
                    <w:textAlignment w:val="baseline"/>
                    <w:rPr>
                      <w:color w:val="auto"/>
                      <w:kern w:val="0"/>
                      <w:szCs w:val="21"/>
                    </w:rPr>
                  </w:pPr>
                  <w:r>
                    <w:rPr>
                      <w:color w:val="auto"/>
                      <w:kern w:val="0"/>
                      <w:szCs w:val="21"/>
                    </w:rPr>
                    <w:t>TSP</w:t>
                  </w:r>
                </w:p>
              </w:tc>
              <w:tc>
                <w:tcPr>
                  <w:tcW w:w="1106" w:type="dxa"/>
                  <w:tcBorders>
                    <w:top w:val="single" w:color="auto" w:sz="2" w:space="0"/>
                    <w:bottom w:val="single" w:color="auto" w:sz="2" w:space="0"/>
                  </w:tcBorders>
                  <w:vAlign w:val="center"/>
                </w:tcPr>
                <w:p w14:paraId="76E39DCA">
                  <w:pPr>
                    <w:jc w:val="center"/>
                    <w:rPr>
                      <w:color w:val="auto"/>
                      <w:szCs w:val="21"/>
                    </w:rPr>
                  </w:pPr>
                  <w:r>
                    <w:rPr>
                      <w:color w:val="auto"/>
                      <w:szCs w:val="21"/>
                    </w:rPr>
                    <w:t>92</w:t>
                  </w:r>
                </w:p>
              </w:tc>
              <w:tc>
                <w:tcPr>
                  <w:tcW w:w="1096" w:type="dxa"/>
                  <w:tcBorders>
                    <w:top w:val="single" w:color="auto" w:sz="2" w:space="0"/>
                    <w:bottom w:val="single" w:color="auto" w:sz="2" w:space="0"/>
                  </w:tcBorders>
                  <w:vAlign w:val="center"/>
                </w:tcPr>
                <w:p w14:paraId="15294599">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6B5FB1C1">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51333BA3">
                  <w:pPr>
                    <w:overflowPunct w:val="0"/>
                    <w:autoSpaceDE w:val="0"/>
                    <w:autoSpaceDN w:val="0"/>
                    <w:adjustRightInd w:val="0"/>
                    <w:jc w:val="center"/>
                    <w:textAlignment w:val="baseline"/>
                    <w:rPr>
                      <w:color w:val="auto"/>
                      <w:kern w:val="0"/>
                      <w:szCs w:val="21"/>
                    </w:rPr>
                  </w:pPr>
                  <w:r>
                    <w:rPr>
                      <w:color w:val="auto"/>
                      <w:kern w:val="0"/>
                      <w:szCs w:val="21"/>
                    </w:rPr>
                    <w:t>是</w:t>
                  </w:r>
                </w:p>
              </w:tc>
            </w:tr>
            <w:tr w14:paraId="1F48CB58">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bottom w:val="single" w:color="auto" w:sz="2" w:space="0"/>
                  </w:tcBorders>
                  <w:vAlign w:val="center"/>
                </w:tcPr>
                <w:p w14:paraId="1B58ECD3">
                  <w:pPr>
                    <w:jc w:val="center"/>
                    <w:rPr>
                      <w:color w:val="auto"/>
                      <w:szCs w:val="21"/>
                    </w:rPr>
                  </w:pPr>
                </w:p>
              </w:tc>
              <w:tc>
                <w:tcPr>
                  <w:tcW w:w="1161" w:type="dxa"/>
                  <w:tcBorders>
                    <w:top w:val="single" w:color="auto" w:sz="2" w:space="0"/>
                    <w:bottom w:val="single" w:color="auto" w:sz="2" w:space="0"/>
                  </w:tcBorders>
                  <w:vAlign w:val="center"/>
                </w:tcPr>
                <w:p w14:paraId="3D822C40">
                  <w:pPr>
                    <w:overflowPunct w:val="0"/>
                    <w:autoSpaceDE w:val="0"/>
                    <w:autoSpaceDN w:val="0"/>
                    <w:adjustRightInd w:val="0"/>
                    <w:jc w:val="center"/>
                    <w:textAlignment w:val="baseline"/>
                    <w:rPr>
                      <w:color w:val="auto"/>
                      <w:szCs w:val="21"/>
                    </w:rPr>
                  </w:pPr>
                  <w:r>
                    <w:rPr>
                      <w:color w:val="auto"/>
                      <w:szCs w:val="21"/>
                    </w:rPr>
                    <w:t>2024.6.24</w:t>
                  </w:r>
                </w:p>
              </w:tc>
              <w:tc>
                <w:tcPr>
                  <w:tcW w:w="1103" w:type="dxa"/>
                  <w:tcBorders>
                    <w:top w:val="single" w:color="auto" w:sz="2" w:space="0"/>
                    <w:bottom w:val="single" w:color="auto" w:sz="2" w:space="0"/>
                  </w:tcBorders>
                  <w:vAlign w:val="center"/>
                </w:tcPr>
                <w:p w14:paraId="45E865AC">
                  <w:pPr>
                    <w:overflowPunct w:val="0"/>
                    <w:autoSpaceDE w:val="0"/>
                    <w:autoSpaceDN w:val="0"/>
                    <w:adjustRightInd w:val="0"/>
                    <w:jc w:val="center"/>
                    <w:textAlignment w:val="baseline"/>
                    <w:rPr>
                      <w:color w:val="auto"/>
                      <w:kern w:val="0"/>
                      <w:szCs w:val="21"/>
                    </w:rPr>
                  </w:pPr>
                  <w:r>
                    <w:rPr>
                      <w:color w:val="auto"/>
                      <w:kern w:val="0"/>
                      <w:szCs w:val="21"/>
                    </w:rPr>
                    <w:t>TSP</w:t>
                  </w:r>
                </w:p>
              </w:tc>
              <w:tc>
                <w:tcPr>
                  <w:tcW w:w="1106" w:type="dxa"/>
                  <w:tcBorders>
                    <w:top w:val="single" w:color="auto" w:sz="2" w:space="0"/>
                    <w:bottom w:val="single" w:color="auto" w:sz="2" w:space="0"/>
                  </w:tcBorders>
                  <w:vAlign w:val="center"/>
                </w:tcPr>
                <w:p w14:paraId="7F9149D4">
                  <w:pPr>
                    <w:jc w:val="center"/>
                    <w:rPr>
                      <w:color w:val="auto"/>
                      <w:szCs w:val="21"/>
                    </w:rPr>
                  </w:pPr>
                  <w:r>
                    <w:rPr>
                      <w:color w:val="auto"/>
                      <w:szCs w:val="21"/>
                    </w:rPr>
                    <w:t>101</w:t>
                  </w:r>
                </w:p>
              </w:tc>
              <w:tc>
                <w:tcPr>
                  <w:tcW w:w="1096" w:type="dxa"/>
                  <w:tcBorders>
                    <w:top w:val="single" w:color="auto" w:sz="2" w:space="0"/>
                    <w:bottom w:val="single" w:color="auto" w:sz="2" w:space="0"/>
                  </w:tcBorders>
                  <w:vAlign w:val="center"/>
                </w:tcPr>
                <w:p w14:paraId="03CA3BC3">
                  <w:pPr>
                    <w:jc w:val="center"/>
                    <w:rPr>
                      <w:color w:val="auto"/>
                      <w:szCs w:val="21"/>
                    </w:rPr>
                  </w:pPr>
                  <w:r>
                    <w:rPr>
                      <w:color w:val="auto"/>
                      <w:szCs w:val="21"/>
                    </w:rPr>
                    <w:t>0</w:t>
                  </w:r>
                </w:p>
              </w:tc>
              <w:tc>
                <w:tcPr>
                  <w:tcW w:w="1198" w:type="dxa"/>
                  <w:tcBorders>
                    <w:top w:val="single" w:color="auto" w:sz="2" w:space="0"/>
                    <w:bottom w:val="single" w:color="auto" w:sz="2" w:space="0"/>
                  </w:tcBorders>
                  <w:vAlign w:val="center"/>
                </w:tcPr>
                <w:p w14:paraId="00635121">
                  <w:pPr>
                    <w:jc w:val="center"/>
                    <w:rPr>
                      <w:color w:val="auto"/>
                      <w:szCs w:val="21"/>
                    </w:rPr>
                  </w:pPr>
                  <w:r>
                    <w:rPr>
                      <w:color w:val="auto"/>
                      <w:szCs w:val="21"/>
                    </w:rPr>
                    <w:t>300</w:t>
                  </w:r>
                </w:p>
              </w:tc>
              <w:tc>
                <w:tcPr>
                  <w:tcW w:w="1098" w:type="dxa"/>
                  <w:tcBorders>
                    <w:top w:val="single" w:color="auto" w:sz="2" w:space="0"/>
                    <w:bottom w:val="single" w:color="auto" w:sz="2" w:space="0"/>
                  </w:tcBorders>
                  <w:vAlign w:val="center"/>
                </w:tcPr>
                <w:p w14:paraId="7D2C15AF">
                  <w:pPr>
                    <w:overflowPunct w:val="0"/>
                    <w:autoSpaceDE w:val="0"/>
                    <w:autoSpaceDN w:val="0"/>
                    <w:adjustRightInd w:val="0"/>
                    <w:jc w:val="center"/>
                    <w:textAlignment w:val="baseline"/>
                    <w:rPr>
                      <w:color w:val="auto"/>
                      <w:kern w:val="0"/>
                      <w:szCs w:val="21"/>
                    </w:rPr>
                  </w:pPr>
                  <w:r>
                    <w:rPr>
                      <w:color w:val="auto"/>
                      <w:kern w:val="0"/>
                      <w:szCs w:val="21"/>
                    </w:rPr>
                    <w:t>是</w:t>
                  </w:r>
                </w:p>
              </w:tc>
            </w:tr>
            <w:tr w14:paraId="3E4C57CA">
              <w:tblPrEx>
                <w:tblBorders>
                  <w:top w:val="single" w:color="auto" w:sz="12" w:space="0"/>
                  <w:left w:val="single" w:color="auto" w:sz="12" w:space="0"/>
                  <w:bottom w:val="single" w:color="auto" w:sz="12" w:space="0"/>
                  <w:right w:val="single" w:color="auto" w:sz="12" w:space="0"/>
                  <w:insideH w:val="none" w:color="auto" w:sz="0" w:space="0"/>
                  <w:insideV w:val="single" w:color="auto" w:sz="2" w:space="0"/>
                </w:tblBorders>
                <w:tblCellMar>
                  <w:top w:w="0" w:type="dxa"/>
                  <w:left w:w="108" w:type="dxa"/>
                  <w:bottom w:w="0" w:type="dxa"/>
                  <w:right w:w="108" w:type="dxa"/>
                </w:tblCellMar>
              </w:tblPrEx>
              <w:tc>
                <w:tcPr>
                  <w:tcW w:w="1095" w:type="dxa"/>
                  <w:vMerge w:val="continue"/>
                  <w:tcBorders>
                    <w:top w:val="single" w:color="auto" w:sz="2" w:space="0"/>
                  </w:tcBorders>
                  <w:vAlign w:val="center"/>
                </w:tcPr>
                <w:p w14:paraId="46ADBF11">
                  <w:pPr>
                    <w:jc w:val="center"/>
                    <w:rPr>
                      <w:color w:val="auto"/>
                      <w:szCs w:val="21"/>
                    </w:rPr>
                  </w:pPr>
                </w:p>
              </w:tc>
              <w:tc>
                <w:tcPr>
                  <w:tcW w:w="1161" w:type="dxa"/>
                  <w:tcBorders>
                    <w:top w:val="single" w:color="auto" w:sz="2" w:space="0"/>
                  </w:tcBorders>
                  <w:vAlign w:val="center"/>
                </w:tcPr>
                <w:p w14:paraId="1287CFB0">
                  <w:pPr>
                    <w:overflowPunct w:val="0"/>
                    <w:autoSpaceDE w:val="0"/>
                    <w:autoSpaceDN w:val="0"/>
                    <w:adjustRightInd w:val="0"/>
                    <w:jc w:val="center"/>
                    <w:textAlignment w:val="baseline"/>
                    <w:rPr>
                      <w:color w:val="auto"/>
                      <w:szCs w:val="21"/>
                    </w:rPr>
                  </w:pPr>
                  <w:r>
                    <w:rPr>
                      <w:color w:val="auto"/>
                      <w:szCs w:val="21"/>
                    </w:rPr>
                    <w:t>2024.6.25</w:t>
                  </w:r>
                </w:p>
              </w:tc>
              <w:tc>
                <w:tcPr>
                  <w:tcW w:w="1103" w:type="dxa"/>
                  <w:tcBorders>
                    <w:top w:val="single" w:color="auto" w:sz="2" w:space="0"/>
                  </w:tcBorders>
                  <w:vAlign w:val="center"/>
                </w:tcPr>
                <w:p w14:paraId="7F37449D">
                  <w:pPr>
                    <w:overflowPunct w:val="0"/>
                    <w:autoSpaceDE w:val="0"/>
                    <w:autoSpaceDN w:val="0"/>
                    <w:adjustRightInd w:val="0"/>
                    <w:jc w:val="center"/>
                    <w:textAlignment w:val="baseline"/>
                    <w:rPr>
                      <w:color w:val="auto"/>
                      <w:kern w:val="0"/>
                      <w:szCs w:val="21"/>
                    </w:rPr>
                  </w:pPr>
                  <w:r>
                    <w:rPr>
                      <w:color w:val="auto"/>
                      <w:kern w:val="0"/>
                      <w:szCs w:val="21"/>
                    </w:rPr>
                    <w:t>TSP</w:t>
                  </w:r>
                </w:p>
              </w:tc>
              <w:tc>
                <w:tcPr>
                  <w:tcW w:w="1106" w:type="dxa"/>
                  <w:tcBorders>
                    <w:top w:val="single" w:color="auto" w:sz="2" w:space="0"/>
                  </w:tcBorders>
                  <w:vAlign w:val="center"/>
                </w:tcPr>
                <w:p w14:paraId="0650254A">
                  <w:pPr>
                    <w:jc w:val="center"/>
                    <w:rPr>
                      <w:color w:val="auto"/>
                      <w:szCs w:val="21"/>
                    </w:rPr>
                  </w:pPr>
                  <w:r>
                    <w:rPr>
                      <w:color w:val="auto"/>
                      <w:szCs w:val="21"/>
                    </w:rPr>
                    <w:t>98</w:t>
                  </w:r>
                </w:p>
              </w:tc>
              <w:tc>
                <w:tcPr>
                  <w:tcW w:w="1096" w:type="dxa"/>
                  <w:tcBorders>
                    <w:top w:val="single" w:color="auto" w:sz="2" w:space="0"/>
                  </w:tcBorders>
                  <w:vAlign w:val="center"/>
                </w:tcPr>
                <w:p w14:paraId="4BB32AE0">
                  <w:pPr>
                    <w:jc w:val="center"/>
                    <w:rPr>
                      <w:color w:val="auto"/>
                      <w:szCs w:val="21"/>
                    </w:rPr>
                  </w:pPr>
                  <w:r>
                    <w:rPr>
                      <w:color w:val="auto"/>
                      <w:szCs w:val="21"/>
                    </w:rPr>
                    <w:t>0</w:t>
                  </w:r>
                </w:p>
              </w:tc>
              <w:tc>
                <w:tcPr>
                  <w:tcW w:w="1198" w:type="dxa"/>
                  <w:tcBorders>
                    <w:top w:val="single" w:color="auto" w:sz="2" w:space="0"/>
                  </w:tcBorders>
                  <w:vAlign w:val="center"/>
                </w:tcPr>
                <w:p w14:paraId="3380A68C">
                  <w:pPr>
                    <w:jc w:val="center"/>
                    <w:rPr>
                      <w:color w:val="auto"/>
                      <w:szCs w:val="21"/>
                    </w:rPr>
                  </w:pPr>
                  <w:r>
                    <w:rPr>
                      <w:color w:val="auto"/>
                      <w:szCs w:val="21"/>
                    </w:rPr>
                    <w:t>300</w:t>
                  </w:r>
                </w:p>
              </w:tc>
              <w:tc>
                <w:tcPr>
                  <w:tcW w:w="1098" w:type="dxa"/>
                  <w:tcBorders>
                    <w:top w:val="single" w:color="auto" w:sz="2" w:space="0"/>
                  </w:tcBorders>
                  <w:vAlign w:val="center"/>
                </w:tcPr>
                <w:p w14:paraId="69821429">
                  <w:pPr>
                    <w:overflowPunct w:val="0"/>
                    <w:autoSpaceDE w:val="0"/>
                    <w:autoSpaceDN w:val="0"/>
                    <w:adjustRightInd w:val="0"/>
                    <w:jc w:val="center"/>
                    <w:textAlignment w:val="baseline"/>
                    <w:rPr>
                      <w:color w:val="auto"/>
                      <w:kern w:val="0"/>
                      <w:szCs w:val="21"/>
                    </w:rPr>
                  </w:pPr>
                  <w:r>
                    <w:rPr>
                      <w:color w:val="auto"/>
                      <w:kern w:val="0"/>
                      <w:szCs w:val="21"/>
                    </w:rPr>
                    <w:t>是</w:t>
                  </w:r>
                </w:p>
              </w:tc>
            </w:tr>
          </w:tbl>
          <w:p w14:paraId="11D0B3A2">
            <w:pPr>
              <w:jc w:val="center"/>
              <w:rPr>
                <w:b/>
                <w:bCs/>
                <w:color w:val="auto"/>
                <w:szCs w:val="21"/>
              </w:rPr>
            </w:pPr>
            <w:r>
              <w:rPr>
                <w:b/>
                <w:bCs/>
                <w:color w:val="auto"/>
                <w:szCs w:val="21"/>
              </w:rPr>
              <w:t>表3-</w:t>
            </w:r>
            <w:r>
              <w:rPr>
                <w:rFonts w:hint="eastAsia"/>
                <w:b/>
                <w:bCs/>
                <w:color w:val="auto"/>
                <w:szCs w:val="21"/>
                <w:lang w:val="en-US" w:eastAsia="zh-CN"/>
              </w:rPr>
              <w:t>5</w:t>
            </w:r>
            <w:r>
              <w:rPr>
                <w:b/>
                <w:bCs/>
                <w:color w:val="auto"/>
                <w:szCs w:val="21"/>
              </w:rPr>
              <w:t xml:space="preserve">   区域环境空气质量特征污染物（臭气浓度、硫化氢、氨）监测数据（ug/m³）</w:t>
            </w:r>
          </w:p>
          <w:tbl>
            <w:tblPr>
              <w:tblStyle w:val="28"/>
              <w:tblW w:w="786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1"/>
              <w:gridCol w:w="1409"/>
              <w:gridCol w:w="1583"/>
              <w:gridCol w:w="797"/>
              <w:gridCol w:w="959"/>
              <w:gridCol w:w="1961"/>
            </w:tblGrid>
            <w:tr w14:paraId="1AFF3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restart"/>
                  <w:tcBorders>
                    <w:tl2br w:val="nil"/>
                    <w:tr2bl w:val="nil"/>
                  </w:tcBorders>
                  <w:vAlign w:val="center"/>
                </w:tcPr>
                <w:p w14:paraId="0E87F9C3">
                  <w:pPr>
                    <w:jc w:val="center"/>
                    <w:rPr>
                      <w:b/>
                      <w:bCs/>
                      <w:color w:val="auto"/>
                      <w:szCs w:val="21"/>
                    </w:rPr>
                  </w:pPr>
                  <w:r>
                    <w:rPr>
                      <w:b/>
                      <w:bCs/>
                      <w:color w:val="auto"/>
                      <w:szCs w:val="21"/>
                    </w:rPr>
                    <w:t>点位名称</w:t>
                  </w:r>
                </w:p>
              </w:tc>
              <w:tc>
                <w:tcPr>
                  <w:tcW w:w="2992" w:type="dxa"/>
                  <w:gridSpan w:val="2"/>
                  <w:vMerge w:val="restart"/>
                  <w:tcBorders>
                    <w:tl2br w:val="nil"/>
                    <w:tr2bl w:val="nil"/>
                  </w:tcBorders>
                  <w:vAlign w:val="center"/>
                </w:tcPr>
                <w:p w14:paraId="11857241">
                  <w:pPr>
                    <w:jc w:val="center"/>
                    <w:rPr>
                      <w:b/>
                      <w:bCs/>
                      <w:color w:val="auto"/>
                      <w:szCs w:val="21"/>
                    </w:rPr>
                  </w:pPr>
                  <w:r>
                    <w:rPr>
                      <w:b/>
                      <w:bCs/>
                      <w:color w:val="auto"/>
                      <w:szCs w:val="21"/>
                    </w:rPr>
                    <w:t>检测日期</w:t>
                  </w:r>
                </w:p>
              </w:tc>
              <w:tc>
                <w:tcPr>
                  <w:tcW w:w="3717" w:type="dxa"/>
                  <w:gridSpan w:val="3"/>
                  <w:tcBorders>
                    <w:tl2br w:val="nil"/>
                    <w:tr2bl w:val="nil"/>
                  </w:tcBorders>
                  <w:vAlign w:val="center"/>
                </w:tcPr>
                <w:p w14:paraId="477CD4DF">
                  <w:pPr>
                    <w:jc w:val="center"/>
                    <w:rPr>
                      <w:b/>
                      <w:bCs/>
                      <w:color w:val="auto"/>
                      <w:szCs w:val="21"/>
                    </w:rPr>
                  </w:pPr>
                  <w:r>
                    <w:rPr>
                      <w:b/>
                      <w:bCs/>
                      <w:color w:val="auto"/>
                      <w:szCs w:val="21"/>
                    </w:rPr>
                    <w:t>检测结果（μg/m</w:t>
                  </w:r>
                  <w:r>
                    <w:rPr>
                      <w:b/>
                      <w:bCs/>
                      <w:color w:val="auto"/>
                      <w:szCs w:val="21"/>
                      <w:vertAlign w:val="superscript"/>
                    </w:rPr>
                    <w:t>3</w:t>
                  </w:r>
                  <w:r>
                    <w:rPr>
                      <w:b/>
                      <w:bCs/>
                      <w:color w:val="auto"/>
                      <w:szCs w:val="21"/>
                    </w:rPr>
                    <w:t>）</w:t>
                  </w:r>
                </w:p>
              </w:tc>
            </w:tr>
            <w:tr w14:paraId="23352E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CF13802">
                  <w:pPr>
                    <w:pStyle w:val="68"/>
                    <w:spacing w:line="240" w:lineRule="auto"/>
                    <w:ind w:firstLine="0" w:firstLineChars="0"/>
                    <w:jc w:val="center"/>
                    <w:rPr>
                      <w:b/>
                      <w:bCs/>
                      <w:color w:val="auto"/>
                      <w:sz w:val="21"/>
                      <w:szCs w:val="21"/>
                    </w:rPr>
                  </w:pPr>
                </w:p>
              </w:tc>
              <w:tc>
                <w:tcPr>
                  <w:tcW w:w="2992" w:type="dxa"/>
                  <w:gridSpan w:val="2"/>
                  <w:vMerge w:val="continue"/>
                  <w:tcBorders>
                    <w:tl2br w:val="nil"/>
                    <w:tr2bl w:val="nil"/>
                  </w:tcBorders>
                  <w:vAlign w:val="center"/>
                </w:tcPr>
                <w:p w14:paraId="5CFE7A38">
                  <w:pPr>
                    <w:pStyle w:val="68"/>
                    <w:spacing w:line="240" w:lineRule="auto"/>
                    <w:ind w:firstLine="0" w:firstLineChars="0"/>
                    <w:jc w:val="center"/>
                    <w:rPr>
                      <w:b/>
                      <w:bCs/>
                      <w:color w:val="auto"/>
                      <w:sz w:val="21"/>
                      <w:szCs w:val="21"/>
                    </w:rPr>
                  </w:pPr>
                </w:p>
              </w:tc>
              <w:tc>
                <w:tcPr>
                  <w:tcW w:w="797" w:type="dxa"/>
                  <w:tcBorders>
                    <w:tl2br w:val="nil"/>
                    <w:tr2bl w:val="nil"/>
                  </w:tcBorders>
                  <w:vAlign w:val="center"/>
                </w:tcPr>
                <w:p w14:paraId="29A399DA">
                  <w:pPr>
                    <w:jc w:val="center"/>
                    <w:rPr>
                      <w:b/>
                      <w:bCs/>
                      <w:color w:val="auto"/>
                      <w:szCs w:val="21"/>
                    </w:rPr>
                  </w:pPr>
                  <w:r>
                    <w:rPr>
                      <w:b/>
                      <w:bCs/>
                      <w:color w:val="auto"/>
                      <w:szCs w:val="21"/>
                    </w:rPr>
                    <w:t>氨</w:t>
                  </w:r>
                </w:p>
              </w:tc>
              <w:tc>
                <w:tcPr>
                  <w:tcW w:w="959" w:type="dxa"/>
                  <w:tcBorders>
                    <w:tl2br w:val="nil"/>
                    <w:tr2bl w:val="nil"/>
                  </w:tcBorders>
                  <w:vAlign w:val="center"/>
                </w:tcPr>
                <w:p w14:paraId="0451FC11">
                  <w:pPr>
                    <w:jc w:val="center"/>
                    <w:rPr>
                      <w:b/>
                      <w:bCs/>
                      <w:color w:val="auto"/>
                      <w:szCs w:val="21"/>
                    </w:rPr>
                  </w:pPr>
                  <w:r>
                    <w:rPr>
                      <w:b/>
                      <w:bCs/>
                      <w:color w:val="auto"/>
                      <w:szCs w:val="21"/>
                    </w:rPr>
                    <w:t>硫化氢</w:t>
                  </w:r>
                </w:p>
              </w:tc>
              <w:tc>
                <w:tcPr>
                  <w:tcW w:w="1961" w:type="dxa"/>
                  <w:tcBorders>
                    <w:tl2br w:val="nil"/>
                    <w:tr2bl w:val="nil"/>
                  </w:tcBorders>
                  <w:vAlign w:val="center"/>
                </w:tcPr>
                <w:p w14:paraId="583FD0AC">
                  <w:pPr>
                    <w:jc w:val="center"/>
                    <w:rPr>
                      <w:b/>
                      <w:bCs/>
                      <w:color w:val="auto"/>
                      <w:szCs w:val="21"/>
                    </w:rPr>
                  </w:pPr>
                  <w:r>
                    <w:rPr>
                      <w:b/>
                      <w:bCs/>
                      <w:color w:val="auto"/>
                      <w:szCs w:val="21"/>
                    </w:rPr>
                    <w:t>臭气浓度（无量纲）</w:t>
                  </w:r>
                </w:p>
              </w:tc>
            </w:tr>
            <w:tr w14:paraId="2EF685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restart"/>
                  <w:tcBorders>
                    <w:tl2br w:val="nil"/>
                    <w:tr2bl w:val="nil"/>
                  </w:tcBorders>
                  <w:vAlign w:val="center"/>
                </w:tcPr>
                <w:p w14:paraId="4A4C74AB">
                  <w:pPr>
                    <w:pStyle w:val="68"/>
                    <w:spacing w:line="240" w:lineRule="auto"/>
                    <w:ind w:firstLine="0" w:firstLineChars="0"/>
                    <w:jc w:val="center"/>
                    <w:rPr>
                      <w:color w:val="auto"/>
                      <w:sz w:val="21"/>
                      <w:szCs w:val="21"/>
                    </w:rPr>
                  </w:pPr>
                  <w:r>
                    <w:rPr>
                      <w:color w:val="auto"/>
                      <w:sz w:val="21"/>
                      <w:szCs w:val="21"/>
                    </w:rPr>
                    <w:t>G2</w:t>
                  </w:r>
                </w:p>
              </w:tc>
              <w:tc>
                <w:tcPr>
                  <w:tcW w:w="1409" w:type="dxa"/>
                  <w:vMerge w:val="restart"/>
                  <w:tcBorders>
                    <w:tl2br w:val="nil"/>
                    <w:tr2bl w:val="nil"/>
                  </w:tcBorders>
                  <w:vAlign w:val="center"/>
                </w:tcPr>
                <w:p w14:paraId="7224AB72">
                  <w:pPr>
                    <w:jc w:val="center"/>
                    <w:rPr>
                      <w:color w:val="auto"/>
                      <w:szCs w:val="21"/>
                    </w:rPr>
                  </w:pPr>
                  <w:r>
                    <w:rPr>
                      <w:color w:val="auto"/>
                      <w:szCs w:val="21"/>
                    </w:rPr>
                    <w:t>2024.06.19</w:t>
                  </w:r>
                </w:p>
              </w:tc>
              <w:tc>
                <w:tcPr>
                  <w:tcW w:w="1583" w:type="dxa"/>
                  <w:tcBorders>
                    <w:tl2br w:val="nil"/>
                    <w:tr2bl w:val="nil"/>
                  </w:tcBorders>
                  <w:vAlign w:val="center"/>
                </w:tcPr>
                <w:p w14:paraId="03D220C4">
                  <w:pPr>
                    <w:jc w:val="center"/>
                    <w:rPr>
                      <w:color w:val="auto"/>
                      <w:szCs w:val="21"/>
                    </w:rPr>
                  </w:pPr>
                  <w:r>
                    <w:rPr>
                      <w:color w:val="auto"/>
                      <w:szCs w:val="21"/>
                    </w:rPr>
                    <w:t>02:00~03:00</w:t>
                  </w:r>
                </w:p>
              </w:tc>
              <w:tc>
                <w:tcPr>
                  <w:tcW w:w="797" w:type="dxa"/>
                  <w:tcBorders>
                    <w:tl2br w:val="nil"/>
                    <w:tr2bl w:val="nil"/>
                  </w:tcBorders>
                  <w:vAlign w:val="center"/>
                </w:tcPr>
                <w:p w14:paraId="2F3FA57E">
                  <w:pPr>
                    <w:jc w:val="center"/>
                    <w:rPr>
                      <w:color w:val="auto"/>
                      <w:szCs w:val="21"/>
                    </w:rPr>
                  </w:pPr>
                  <w:r>
                    <w:rPr>
                      <w:color w:val="auto"/>
                      <w:szCs w:val="21"/>
                    </w:rPr>
                    <w:t>50</w:t>
                  </w:r>
                </w:p>
              </w:tc>
              <w:tc>
                <w:tcPr>
                  <w:tcW w:w="959" w:type="dxa"/>
                  <w:tcBorders>
                    <w:tl2br w:val="nil"/>
                    <w:tr2bl w:val="nil"/>
                  </w:tcBorders>
                  <w:vAlign w:val="center"/>
                </w:tcPr>
                <w:p w14:paraId="37BCA5A5">
                  <w:pPr>
                    <w:jc w:val="center"/>
                    <w:rPr>
                      <w:color w:val="auto"/>
                      <w:szCs w:val="21"/>
                    </w:rPr>
                  </w:pPr>
                  <w:r>
                    <w:rPr>
                      <w:color w:val="auto"/>
                      <w:szCs w:val="21"/>
                    </w:rPr>
                    <w:t>3</w:t>
                  </w:r>
                </w:p>
              </w:tc>
              <w:tc>
                <w:tcPr>
                  <w:tcW w:w="1961" w:type="dxa"/>
                  <w:tcBorders>
                    <w:tl2br w:val="nil"/>
                    <w:tr2bl w:val="nil"/>
                  </w:tcBorders>
                  <w:vAlign w:val="center"/>
                </w:tcPr>
                <w:p w14:paraId="5B2B80BC">
                  <w:pPr>
                    <w:jc w:val="center"/>
                    <w:rPr>
                      <w:color w:val="auto"/>
                      <w:szCs w:val="21"/>
                    </w:rPr>
                  </w:pPr>
                  <w:r>
                    <w:rPr>
                      <w:color w:val="auto"/>
                      <w:szCs w:val="21"/>
                    </w:rPr>
                    <w:t>＜10</w:t>
                  </w:r>
                </w:p>
              </w:tc>
            </w:tr>
            <w:tr w14:paraId="3A646C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2651FCF">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3C82288F">
                  <w:pPr>
                    <w:jc w:val="center"/>
                    <w:rPr>
                      <w:color w:val="auto"/>
                      <w:szCs w:val="21"/>
                    </w:rPr>
                  </w:pPr>
                </w:p>
              </w:tc>
              <w:tc>
                <w:tcPr>
                  <w:tcW w:w="1583" w:type="dxa"/>
                  <w:tcBorders>
                    <w:tl2br w:val="nil"/>
                    <w:tr2bl w:val="nil"/>
                  </w:tcBorders>
                  <w:vAlign w:val="center"/>
                </w:tcPr>
                <w:p w14:paraId="685AC00D">
                  <w:pPr>
                    <w:jc w:val="center"/>
                    <w:rPr>
                      <w:color w:val="auto"/>
                      <w:szCs w:val="21"/>
                    </w:rPr>
                  </w:pPr>
                  <w:r>
                    <w:rPr>
                      <w:color w:val="auto"/>
                      <w:szCs w:val="21"/>
                    </w:rPr>
                    <w:t>08:00~09:00</w:t>
                  </w:r>
                </w:p>
              </w:tc>
              <w:tc>
                <w:tcPr>
                  <w:tcW w:w="797" w:type="dxa"/>
                  <w:tcBorders>
                    <w:tl2br w:val="nil"/>
                    <w:tr2bl w:val="nil"/>
                  </w:tcBorders>
                  <w:vAlign w:val="center"/>
                </w:tcPr>
                <w:p w14:paraId="7C86A536">
                  <w:pPr>
                    <w:jc w:val="center"/>
                    <w:rPr>
                      <w:color w:val="auto"/>
                      <w:szCs w:val="21"/>
                    </w:rPr>
                  </w:pPr>
                  <w:r>
                    <w:rPr>
                      <w:color w:val="auto"/>
                      <w:szCs w:val="21"/>
                    </w:rPr>
                    <w:t>60</w:t>
                  </w:r>
                </w:p>
              </w:tc>
              <w:tc>
                <w:tcPr>
                  <w:tcW w:w="959" w:type="dxa"/>
                  <w:tcBorders>
                    <w:tl2br w:val="nil"/>
                    <w:tr2bl w:val="nil"/>
                  </w:tcBorders>
                  <w:vAlign w:val="center"/>
                </w:tcPr>
                <w:p w14:paraId="547CF76F">
                  <w:pPr>
                    <w:jc w:val="center"/>
                    <w:rPr>
                      <w:color w:val="auto"/>
                      <w:szCs w:val="21"/>
                    </w:rPr>
                  </w:pPr>
                  <w:r>
                    <w:rPr>
                      <w:color w:val="auto"/>
                      <w:szCs w:val="21"/>
                    </w:rPr>
                    <w:t>3</w:t>
                  </w:r>
                </w:p>
              </w:tc>
              <w:tc>
                <w:tcPr>
                  <w:tcW w:w="1961" w:type="dxa"/>
                  <w:tcBorders>
                    <w:tl2br w:val="nil"/>
                    <w:tr2bl w:val="nil"/>
                  </w:tcBorders>
                  <w:vAlign w:val="center"/>
                </w:tcPr>
                <w:p w14:paraId="592D500A">
                  <w:pPr>
                    <w:jc w:val="center"/>
                    <w:rPr>
                      <w:color w:val="auto"/>
                      <w:szCs w:val="21"/>
                    </w:rPr>
                  </w:pPr>
                  <w:r>
                    <w:rPr>
                      <w:color w:val="auto"/>
                      <w:szCs w:val="21"/>
                    </w:rPr>
                    <w:t>＜10</w:t>
                  </w:r>
                </w:p>
              </w:tc>
            </w:tr>
            <w:tr w14:paraId="0619EA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39B6328D">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1DBE22BE">
                  <w:pPr>
                    <w:jc w:val="center"/>
                    <w:rPr>
                      <w:color w:val="auto"/>
                      <w:szCs w:val="21"/>
                    </w:rPr>
                  </w:pPr>
                </w:p>
              </w:tc>
              <w:tc>
                <w:tcPr>
                  <w:tcW w:w="1583" w:type="dxa"/>
                  <w:tcBorders>
                    <w:tl2br w:val="nil"/>
                    <w:tr2bl w:val="nil"/>
                  </w:tcBorders>
                  <w:vAlign w:val="center"/>
                </w:tcPr>
                <w:p w14:paraId="22478C7F">
                  <w:pPr>
                    <w:jc w:val="center"/>
                    <w:rPr>
                      <w:color w:val="auto"/>
                      <w:szCs w:val="21"/>
                    </w:rPr>
                  </w:pPr>
                  <w:r>
                    <w:rPr>
                      <w:color w:val="auto"/>
                      <w:szCs w:val="21"/>
                    </w:rPr>
                    <w:t>14:00~15:00</w:t>
                  </w:r>
                </w:p>
              </w:tc>
              <w:tc>
                <w:tcPr>
                  <w:tcW w:w="797" w:type="dxa"/>
                  <w:tcBorders>
                    <w:tl2br w:val="nil"/>
                    <w:tr2bl w:val="nil"/>
                  </w:tcBorders>
                  <w:vAlign w:val="center"/>
                </w:tcPr>
                <w:p w14:paraId="2DE5A3D4">
                  <w:pPr>
                    <w:jc w:val="center"/>
                    <w:rPr>
                      <w:color w:val="auto"/>
                      <w:szCs w:val="21"/>
                    </w:rPr>
                  </w:pPr>
                  <w:r>
                    <w:rPr>
                      <w:color w:val="auto"/>
                      <w:szCs w:val="21"/>
                    </w:rPr>
                    <w:t>70</w:t>
                  </w:r>
                </w:p>
              </w:tc>
              <w:tc>
                <w:tcPr>
                  <w:tcW w:w="959" w:type="dxa"/>
                  <w:tcBorders>
                    <w:tl2br w:val="nil"/>
                    <w:tr2bl w:val="nil"/>
                  </w:tcBorders>
                  <w:vAlign w:val="center"/>
                </w:tcPr>
                <w:p w14:paraId="5DCABEA0">
                  <w:pPr>
                    <w:jc w:val="center"/>
                    <w:rPr>
                      <w:color w:val="auto"/>
                      <w:szCs w:val="21"/>
                    </w:rPr>
                  </w:pPr>
                  <w:r>
                    <w:rPr>
                      <w:color w:val="auto"/>
                      <w:szCs w:val="21"/>
                    </w:rPr>
                    <w:t>4</w:t>
                  </w:r>
                </w:p>
              </w:tc>
              <w:tc>
                <w:tcPr>
                  <w:tcW w:w="1961" w:type="dxa"/>
                  <w:tcBorders>
                    <w:tl2br w:val="nil"/>
                    <w:tr2bl w:val="nil"/>
                  </w:tcBorders>
                  <w:vAlign w:val="center"/>
                </w:tcPr>
                <w:p w14:paraId="45FFEC52">
                  <w:pPr>
                    <w:jc w:val="center"/>
                    <w:rPr>
                      <w:color w:val="auto"/>
                      <w:szCs w:val="21"/>
                    </w:rPr>
                  </w:pPr>
                  <w:r>
                    <w:rPr>
                      <w:color w:val="auto"/>
                      <w:szCs w:val="21"/>
                    </w:rPr>
                    <w:t>＜10</w:t>
                  </w:r>
                </w:p>
              </w:tc>
            </w:tr>
            <w:tr w14:paraId="42E897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2B4E6205">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79133719">
                  <w:pPr>
                    <w:jc w:val="center"/>
                    <w:rPr>
                      <w:color w:val="auto"/>
                      <w:szCs w:val="21"/>
                    </w:rPr>
                  </w:pPr>
                </w:p>
              </w:tc>
              <w:tc>
                <w:tcPr>
                  <w:tcW w:w="1583" w:type="dxa"/>
                  <w:tcBorders>
                    <w:tl2br w:val="nil"/>
                    <w:tr2bl w:val="nil"/>
                  </w:tcBorders>
                  <w:vAlign w:val="center"/>
                </w:tcPr>
                <w:p w14:paraId="7135BFC0">
                  <w:pPr>
                    <w:jc w:val="center"/>
                    <w:rPr>
                      <w:color w:val="auto"/>
                      <w:szCs w:val="21"/>
                    </w:rPr>
                  </w:pPr>
                  <w:r>
                    <w:rPr>
                      <w:color w:val="auto"/>
                      <w:szCs w:val="21"/>
                    </w:rPr>
                    <w:t>20:00~21:00</w:t>
                  </w:r>
                </w:p>
              </w:tc>
              <w:tc>
                <w:tcPr>
                  <w:tcW w:w="797" w:type="dxa"/>
                  <w:tcBorders>
                    <w:tl2br w:val="nil"/>
                    <w:tr2bl w:val="nil"/>
                  </w:tcBorders>
                  <w:vAlign w:val="center"/>
                </w:tcPr>
                <w:p w14:paraId="360A2AC0">
                  <w:pPr>
                    <w:jc w:val="center"/>
                    <w:rPr>
                      <w:color w:val="auto"/>
                      <w:szCs w:val="21"/>
                    </w:rPr>
                  </w:pPr>
                  <w:r>
                    <w:rPr>
                      <w:color w:val="auto"/>
                      <w:szCs w:val="21"/>
                    </w:rPr>
                    <w:t>60</w:t>
                  </w:r>
                </w:p>
              </w:tc>
              <w:tc>
                <w:tcPr>
                  <w:tcW w:w="959" w:type="dxa"/>
                  <w:tcBorders>
                    <w:tl2br w:val="nil"/>
                    <w:tr2bl w:val="nil"/>
                  </w:tcBorders>
                  <w:vAlign w:val="center"/>
                </w:tcPr>
                <w:p w14:paraId="3F16E749">
                  <w:pPr>
                    <w:jc w:val="center"/>
                    <w:rPr>
                      <w:color w:val="auto"/>
                      <w:szCs w:val="21"/>
                    </w:rPr>
                  </w:pPr>
                  <w:r>
                    <w:rPr>
                      <w:color w:val="auto"/>
                      <w:szCs w:val="21"/>
                    </w:rPr>
                    <w:t>4</w:t>
                  </w:r>
                </w:p>
              </w:tc>
              <w:tc>
                <w:tcPr>
                  <w:tcW w:w="1961" w:type="dxa"/>
                  <w:tcBorders>
                    <w:tl2br w:val="nil"/>
                    <w:tr2bl w:val="nil"/>
                  </w:tcBorders>
                  <w:vAlign w:val="center"/>
                </w:tcPr>
                <w:p w14:paraId="6CB3A5B2">
                  <w:pPr>
                    <w:jc w:val="center"/>
                    <w:rPr>
                      <w:color w:val="auto"/>
                      <w:szCs w:val="21"/>
                    </w:rPr>
                  </w:pPr>
                  <w:r>
                    <w:rPr>
                      <w:color w:val="auto"/>
                      <w:szCs w:val="21"/>
                    </w:rPr>
                    <w:t>＜10</w:t>
                  </w:r>
                </w:p>
              </w:tc>
            </w:tr>
            <w:tr w14:paraId="379AF3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6FFA6B08">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74E90BE3">
                  <w:pPr>
                    <w:jc w:val="center"/>
                    <w:rPr>
                      <w:color w:val="auto"/>
                      <w:szCs w:val="21"/>
                    </w:rPr>
                  </w:pPr>
                  <w:r>
                    <w:rPr>
                      <w:color w:val="auto"/>
                      <w:szCs w:val="21"/>
                    </w:rPr>
                    <w:t>2024.06.20</w:t>
                  </w:r>
                </w:p>
              </w:tc>
              <w:tc>
                <w:tcPr>
                  <w:tcW w:w="1583" w:type="dxa"/>
                  <w:tcBorders>
                    <w:tl2br w:val="nil"/>
                    <w:tr2bl w:val="nil"/>
                  </w:tcBorders>
                  <w:vAlign w:val="center"/>
                </w:tcPr>
                <w:p w14:paraId="2B79F894">
                  <w:pPr>
                    <w:jc w:val="center"/>
                    <w:rPr>
                      <w:color w:val="auto"/>
                      <w:szCs w:val="21"/>
                    </w:rPr>
                  </w:pPr>
                  <w:r>
                    <w:rPr>
                      <w:color w:val="auto"/>
                      <w:szCs w:val="21"/>
                    </w:rPr>
                    <w:t>02:00~03:00</w:t>
                  </w:r>
                </w:p>
              </w:tc>
              <w:tc>
                <w:tcPr>
                  <w:tcW w:w="797" w:type="dxa"/>
                  <w:tcBorders>
                    <w:tl2br w:val="nil"/>
                    <w:tr2bl w:val="nil"/>
                  </w:tcBorders>
                  <w:vAlign w:val="center"/>
                </w:tcPr>
                <w:p w14:paraId="01421C03">
                  <w:pPr>
                    <w:jc w:val="center"/>
                    <w:rPr>
                      <w:color w:val="auto"/>
                      <w:szCs w:val="21"/>
                    </w:rPr>
                  </w:pPr>
                  <w:r>
                    <w:rPr>
                      <w:color w:val="auto"/>
                      <w:szCs w:val="21"/>
                    </w:rPr>
                    <w:t>60</w:t>
                  </w:r>
                </w:p>
              </w:tc>
              <w:tc>
                <w:tcPr>
                  <w:tcW w:w="959" w:type="dxa"/>
                  <w:tcBorders>
                    <w:tl2br w:val="nil"/>
                    <w:tr2bl w:val="nil"/>
                  </w:tcBorders>
                  <w:vAlign w:val="center"/>
                </w:tcPr>
                <w:p w14:paraId="60395530">
                  <w:pPr>
                    <w:jc w:val="center"/>
                    <w:rPr>
                      <w:color w:val="auto"/>
                      <w:szCs w:val="21"/>
                    </w:rPr>
                  </w:pPr>
                  <w:r>
                    <w:rPr>
                      <w:color w:val="auto"/>
                      <w:szCs w:val="21"/>
                    </w:rPr>
                    <w:t>4</w:t>
                  </w:r>
                </w:p>
              </w:tc>
              <w:tc>
                <w:tcPr>
                  <w:tcW w:w="1961" w:type="dxa"/>
                  <w:tcBorders>
                    <w:tl2br w:val="nil"/>
                    <w:tr2bl w:val="nil"/>
                  </w:tcBorders>
                  <w:vAlign w:val="center"/>
                </w:tcPr>
                <w:p w14:paraId="1285F1D3">
                  <w:pPr>
                    <w:jc w:val="center"/>
                    <w:rPr>
                      <w:color w:val="auto"/>
                      <w:szCs w:val="21"/>
                    </w:rPr>
                  </w:pPr>
                  <w:r>
                    <w:rPr>
                      <w:color w:val="auto"/>
                      <w:szCs w:val="21"/>
                    </w:rPr>
                    <w:t>＜10</w:t>
                  </w:r>
                </w:p>
              </w:tc>
            </w:tr>
            <w:tr w14:paraId="38880B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E76E3BE">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420BC943">
                  <w:pPr>
                    <w:jc w:val="center"/>
                    <w:rPr>
                      <w:color w:val="auto"/>
                      <w:szCs w:val="21"/>
                    </w:rPr>
                  </w:pPr>
                </w:p>
              </w:tc>
              <w:tc>
                <w:tcPr>
                  <w:tcW w:w="1583" w:type="dxa"/>
                  <w:tcBorders>
                    <w:tl2br w:val="nil"/>
                    <w:tr2bl w:val="nil"/>
                  </w:tcBorders>
                  <w:vAlign w:val="center"/>
                </w:tcPr>
                <w:p w14:paraId="5934F5FE">
                  <w:pPr>
                    <w:jc w:val="center"/>
                    <w:rPr>
                      <w:color w:val="auto"/>
                      <w:szCs w:val="21"/>
                    </w:rPr>
                  </w:pPr>
                  <w:r>
                    <w:rPr>
                      <w:color w:val="auto"/>
                      <w:szCs w:val="21"/>
                    </w:rPr>
                    <w:t>08:00~09:00</w:t>
                  </w:r>
                </w:p>
              </w:tc>
              <w:tc>
                <w:tcPr>
                  <w:tcW w:w="797" w:type="dxa"/>
                  <w:tcBorders>
                    <w:tl2br w:val="nil"/>
                    <w:tr2bl w:val="nil"/>
                  </w:tcBorders>
                  <w:vAlign w:val="center"/>
                </w:tcPr>
                <w:p w14:paraId="5FCDE544">
                  <w:pPr>
                    <w:jc w:val="center"/>
                    <w:rPr>
                      <w:color w:val="auto"/>
                      <w:szCs w:val="21"/>
                    </w:rPr>
                  </w:pPr>
                  <w:r>
                    <w:rPr>
                      <w:color w:val="auto"/>
                      <w:szCs w:val="21"/>
                    </w:rPr>
                    <w:t>50</w:t>
                  </w:r>
                </w:p>
              </w:tc>
              <w:tc>
                <w:tcPr>
                  <w:tcW w:w="959" w:type="dxa"/>
                  <w:tcBorders>
                    <w:tl2br w:val="nil"/>
                    <w:tr2bl w:val="nil"/>
                  </w:tcBorders>
                  <w:vAlign w:val="center"/>
                </w:tcPr>
                <w:p w14:paraId="78E1534B">
                  <w:pPr>
                    <w:jc w:val="center"/>
                    <w:rPr>
                      <w:color w:val="auto"/>
                      <w:szCs w:val="21"/>
                    </w:rPr>
                  </w:pPr>
                  <w:r>
                    <w:rPr>
                      <w:color w:val="auto"/>
                      <w:szCs w:val="21"/>
                    </w:rPr>
                    <w:t>3</w:t>
                  </w:r>
                </w:p>
              </w:tc>
              <w:tc>
                <w:tcPr>
                  <w:tcW w:w="1961" w:type="dxa"/>
                  <w:tcBorders>
                    <w:tl2br w:val="nil"/>
                    <w:tr2bl w:val="nil"/>
                  </w:tcBorders>
                  <w:vAlign w:val="center"/>
                </w:tcPr>
                <w:p w14:paraId="77454C2B">
                  <w:pPr>
                    <w:jc w:val="center"/>
                    <w:rPr>
                      <w:color w:val="auto"/>
                      <w:szCs w:val="21"/>
                    </w:rPr>
                  </w:pPr>
                  <w:r>
                    <w:rPr>
                      <w:color w:val="auto"/>
                      <w:szCs w:val="21"/>
                    </w:rPr>
                    <w:t>＜10</w:t>
                  </w:r>
                </w:p>
              </w:tc>
            </w:tr>
            <w:tr w14:paraId="46FC8F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562B2D89">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517ED1E9">
                  <w:pPr>
                    <w:jc w:val="center"/>
                    <w:rPr>
                      <w:color w:val="auto"/>
                      <w:szCs w:val="21"/>
                    </w:rPr>
                  </w:pPr>
                </w:p>
              </w:tc>
              <w:tc>
                <w:tcPr>
                  <w:tcW w:w="1583" w:type="dxa"/>
                  <w:tcBorders>
                    <w:tl2br w:val="nil"/>
                    <w:tr2bl w:val="nil"/>
                  </w:tcBorders>
                  <w:vAlign w:val="center"/>
                </w:tcPr>
                <w:p w14:paraId="0947BC21">
                  <w:pPr>
                    <w:jc w:val="center"/>
                    <w:rPr>
                      <w:color w:val="auto"/>
                      <w:szCs w:val="21"/>
                    </w:rPr>
                  </w:pPr>
                  <w:r>
                    <w:rPr>
                      <w:color w:val="auto"/>
                      <w:szCs w:val="21"/>
                    </w:rPr>
                    <w:t>14:00~15:00</w:t>
                  </w:r>
                </w:p>
              </w:tc>
              <w:tc>
                <w:tcPr>
                  <w:tcW w:w="797" w:type="dxa"/>
                  <w:tcBorders>
                    <w:tl2br w:val="nil"/>
                    <w:tr2bl w:val="nil"/>
                  </w:tcBorders>
                  <w:vAlign w:val="center"/>
                </w:tcPr>
                <w:p w14:paraId="2008E15B">
                  <w:pPr>
                    <w:jc w:val="center"/>
                    <w:rPr>
                      <w:color w:val="auto"/>
                      <w:szCs w:val="21"/>
                    </w:rPr>
                  </w:pPr>
                  <w:r>
                    <w:rPr>
                      <w:color w:val="auto"/>
                      <w:szCs w:val="21"/>
                    </w:rPr>
                    <w:t>40</w:t>
                  </w:r>
                </w:p>
              </w:tc>
              <w:tc>
                <w:tcPr>
                  <w:tcW w:w="959" w:type="dxa"/>
                  <w:tcBorders>
                    <w:tl2br w:val="nil"/>
                    <w:tr2bl w:val="nil"/>
                  </w:tcBorders>
                  <w:vAlign w:val="center"/>
                </w:tcPr>
                <w:p w14:paraId="0FBA2FB6">
                  <w:pPr>
                    <w:jc w:val="center"/>
                    <w:rPr>
                      <w:color w:val="auto"/>
                      <w:szCs w:val="21"/>
                    </w:rPr>
                  </w:pPr>
                  <w:r>
                    <w:rPr>
                      <w:color w:val="auto"/>
                      <w:szCs w:val="21"/>
                    </w:rPr>
                    <w:t>3</w:t>
                  </w:r>
                </w:p>
              </w:tc>
              <w:tc>
                <w:tcPr>
                  <w:tcW w:w="1961" w:type="dxa"/>
                  <w:tcBorders>
                    <w:tl2br w:val="nil"/>
                    <w:tr2bl w:val="nil"/>
                  </w:tcBorders>
                  <w:vAlign w:val="center"/>
                </w:tcPr>
                <w:p w14:paraId="74C50FD0">
                  <w:pPr>
                    <w:jc w:val="center"/>
                    <w:rPr>
                      <w:color w:val="auto"/>
                      <w:szCs w:val="21"/>
                    </w:rPr>
                  </w:pPr>
                  <w:r>
                    <w:rPr>
                      <w:color w:val="auto"/>
                      <w:szCs w:val="21"/>
                    </w:rPr>
                    <w:t>＜10</w:t>
                  </w:r>
                </w:p>
              </w:tc>
            </w:tr>
            <w:tr w14:paraId="7C1F54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62137197">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1EF99329">
                  <w:pPr>
                    <w:jc w:val="center"/>
                    <w:rPr>
                      <w:color w:val="auto"/>
                      <w:szCs w:val="21"/>
                    </w:rPr>
                  </w:pPr>
                </w:p>
              </w:tc>
              <w:tc>
                <w:tcPr>
                  <w:tcW w:w="1583" w:type="dxa"/>
                  <w:tcBorders>
                    <w:tl2br w:val="nil"/>
                    <w:tr2bl w:val="nil"/>
                  </w:tcBorders>
                  <w:vAlign w:val="center"/>
                </w:tcPr>
                <w:p w14:paraId="678F558C">
                  <w:pPr>
                    <w:jc w:val="center"/>
                    <w:rPr>
                      <w:color w:val="auto"/>
                      <w:szCs w:val="21"/>
                    </w:rPr>
                  </w:pPr>
                  <w:r>
                    <w:rPr>
                      <w:color w:val="auto"/>
                      <w:szCs w:val="21"/>
                    </w:rPr>
                    <w:t>20:00~21:00</w:t>
                  </w:r>
                </w:p>
              </w:tc>
              <w:tc>
                <w:tcPr>
                  <w:tcW w:w="797" w:type="dxa"/>
                  <w:tcBorders>
                    <w:tl2br w:val="nil"/>
                    <w:tr2bl w:val="nil"/>
                  </w:tcBorders>
                  <w:vAlign w:val="center"/>
                </w:tcPr>
                <w:p w14:paraId="00D1CAE8">
                  <w:pPr>
                    <w:jc w:val="center"/>
                    <w:rPr>
                      <w:color w:val="auto"/>
                      <w:szCs w:val="21"/>
                    </w:rPr>
                  </w:pPr>
                  <w:r>
                    <w:rPr>
                      <w:color w:val="auto"/>
                      <w:szCs w:val="21"/>
                    </w:rPr>
                    <w:t>50</w:t>
                  </w:r>
                </w:p>
              </w:tc>
              <w:tc>
                <w:tcPr>
                  <w:tcW w:w="959" w:type="dxa"/>
                  <w:tcBorders>
                    <w:tl2br w:val="nil"/>
                    <w:tr2bl w:val="nil"/>
                  </w:tcBorders>
                  <w:vAlign w:val="center"/>
                </w:tcPr>
                <w:p w14:paraId="0B61E11A">
                  <w:pPr>
                    <w:jc w:val="center"/>
                    <w:rPr>
                      <w:color w:val="auto"/>
                      <w:szCs w:val="21"/>
                    </w:rPr>
                  </w:pPr>
                  <w:r>
                    <w:rPr>
                      <w:color w:val="auto"/>
                      <w:szCs w:val="21"/>
                    </w:rPr>
                    <w:t>4</w:t>
                  </w:r>
                </w:p>
              </w:tc>
              <w:tc>
                <w:tcPr>
                  <w:tcW w:w="1961" w:type="dxa"/>
                  <w:tcBorders>
                    <w:tl2br w:val="nil"/>
                    <w:tr2bl w:val="nil"/>
                  </w:tcBorders>
                  <w:vAlign w:val="center"/>
                </w:tcPr>
                <w:p w14:paraId="45056C7A">
                  <w:pPr>
                    <w:jc w:val="center"/>
                    <w:rPr>
                      <w:color w:val="auto"/>
                      <w:szCs w:val="21"/>
                    </w:rPr>
                  </w:pPr>
                  <w:r>
                    <w:rPr>
                      <w:color w:val="auto"/>
                      <w:szCs w:val="21"/>
                    </w:rPr>
                    <w:t>＜10</w:t>
                  </w:r>
                </w:p>
              </w:tc>
            </w:tr>
            <w:tr w14:paraId="7F6834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590BFC72">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3BE0848B">
                  <w:pPr>
                    <w:jc w:val="center"/>
                    <w:rPr>
                      <w:color w:val="auto"/>
                      <w:szCs w:val="21"/>
                    </w:rPr>
                  </w:pPr>
                  <w:r>
                    <w:rPr>
                      <w:color w:val="auto"/>
                      <w:szCs w:val="21"/>
                    </w:rPr>
                    <w:t>2024.06.21</w:t>
                  </w:r>
                </w:p>
              </w:tc>
              <w:tc>
                <w:tcPr>
                  <w:tcW w:w="1583" w:type="dxa"/>
                  <w:tcBorders>
                    <w:tl2br w:val="nil"/>
                    <w:tr2bl w:val="nil"/>
                  </w:tcBorders>
                  <w:vAlign w:val="center"/>
                </w:tcPr>
                <w:p w14:paraId="2F49AE40">
                  <w:pPr>
                    <w:jc w:val="center"/>
                    <w:rPr>
                      <w:color w:val="auto"/>
                      <w:szCs w:val="21"/>
                    </w:rPr>
                  </w:pPr>
                  <w:r>
                    <w:rPr>
                      <w:color w:val="auto"/>
                      <w:szCs w:val="21"/>
                    </w:rPr>
                    <w:t>02:00~03:00</w:t>
                  </w:r>
                </w:p>
              </w:tc>
              <w:tc>
                <w:tcPr>
                  <w:tcW w:w="797" w:type="dxa"/>
                  <w:tcBorders>
                    <w:tl2br w:val="nil"/>
                    <w:tr2bl w:val="nil"/>
                  </w:tcBorders>
                  <w:vAlign w:val="center"/>
                </w:tcPr>
                <w:p w14:paraId="38AE9A5A">
                  <w:pPr>
                    <w:jc w:val="center"/>
                    <w:rPr>
                      <w:color w:val="auto"/>
                      <w:szCs w:val="21"/>
                    </w:rPr>
                  </w:pPr>
                  <w:r>
                    <w:rPr>
                      <w:color w:val="auto"/>
                      <w:szCs w:val="21"/>
                    </w:rPr>
                    <w:t>50</w:t>
                  </w:r>
                </w:p>
              </w:tc>
              <w:tc>
                <w:tcPr>
                  <w:tcW w:w="959" w:type="dxa"/>
                  <w:tcBorders>
                    <w:tl2br w:val="nil"/>
                    <w:tr2bl w:val="nil"/>
                  </w:tcBorders>
                  <w:vAlign w:val="center"/>
                </w:tcPr>
                <w:p w14:paraId="1D644504">
                  <w:pPr>
                    <w:jc w:val="center"/>
                    <w:rPr>
                      <w:color w:val="auto"/>
                      <w:szCs w:val="21"/>
                    </w:rPr>
                  </w:pPr>
                  <w:r>
                    <w:rPr>
                      <w:color w:val="auto"/>
                      <w:szCs w:val="21"/>
                    </w:rPr>
                    <w:t>4</w:t>
                  </w:r>
                </w:p>
              </w:tc>
              <w:tc>
                <w:tcPr>
                  <w:tcW w:w="1961" w:type="dxa"/>
                  <w:tcBorders>
                    <w:tl2br w:val="nil"/>
                    <w:tr2bl w:val="nil"/>
                  </w:tcBorders>
                  <w:vAlign w:val="center"/>
                </w:tcPr>
                <w:p w14:paraId="2AB86785">
                  <w:pPr>
                    <w:jc w:val="center"/>
                    <w:rPr>
                      <w:color w:val="auto"/>
                      <w:szCs w:val="21"/>
                    </w:rPr>
                  </w:pPr>
                  <w:r>
                    <w:rPr>
                      <w:color w:val="auto"/>
                      <w:szCs w:val="21"/>
                    </w:rPr>
                    <w:t>＜10</w:t>
                  </w:r>
                </w:p>
              </w:tc>
            </w:tr>
            <w:tr w14:paraId="4BD5D0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5BB5F4BF">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6E7B1B46">
                  <w:pPr>
                    <w:jc w:val="center"/>
                    <w:rPr>
                      <w:color w:val="auto"/>
                      <w:szCs w:val="21"/>
                    </w:rPr>
                  </w:pPr>
                </w:p>
              </w:tc>
              <w:tc>
                <w:tcPr>
                  <w:tcW w:w="1583" w:type="dxa"/>
                  <w:tcBorders>
                    <w:tl2br w:val="nil"/>
                    <w:tr2bl w:val="nil"/>
                  </w:tcBorders>
                  <w:vAlign w:val="center"/>
                </w:tcPr>
                <w:p w14:paraId="03D24F1C">
                  <w:pPr>
                    <w:jc w:val="center"/>
                    <w:rPr>
                      <w:color w:val="auto"/>
                      <w:szCs w:val="21"/>
                    </w:rPr>
                  </w:pPr>
                  <w:r>
                    <w:rPr>
                      <w:color w:val="auto"/>
                      <w:szCs w:val="21"/>
                    </w:rPr>
                    <w:t>08:00~09:00</w:t>
                  </w:r>
                </w:p>
              </w:tc>
              <w:tc>
                <w:tcPr>
                  <w:tcW w:w="797" w:type="dxa"/>
                  <w:tcBorders>
                    <w:tl2br w:val="nil"/>
                    <w:tr2bl w:val="nil"/>
                  </w:tcBorders>
                  <w:vAlign w:val="center"/>
                </w:tcPr>
                <w:p w14:paraId="36319042">
                  <w:pPr>
                    <w:jc w:val="center"/>
                    <w:rPr>
                      <w:color w:val="auto"/>
                      <w:szCs w:val="21"/>
                    </w:rPr>
                  </w:pPr>
                  <w:r>
                    <w:rPr>
                      <w:color w:val="auto"/>
                      <w:szCs w:val="21"/>
                    </w:rPr>
                    <w:t>60</w:t>
                  </w:r>
                </w:p>
              </w:tc>
              <w:tc>
                <w:tcPr>
                  <w:tcW w:w="959" w:type="dxa"/>
                  <w:tcBorders>
                    <w:tl2br w:val="nil"/>
                    <w:tr2bl w:val="nil"/>
                  </w:tcBorders>
                  <w:vAlign w:val="center"/>
                </w:tcPr>
                <w:p w14:paraId="2677F877">
                  <w:pPr>
                    <w:jc w:val="center"/>
                    <w:rPr>
                      <w:color w:val="auto"/>
                      <w:szCs w:val="21"/>
                    </w:rPr>
                  </w:pPr>
                  <w:r>
                    <w:rPr>
                      <w:color w:val="auto"/>
                      <w:szCs w:val="21"/>
                    </w:rPr>
                    <w:t>3</w:t>
                  </w:r>
                </w:p>
              </w:tc>
              <w:tc>
                <w:tcPr>
                  <w:tcW w:w="1961" w:type="dxa"/>
                  <w:tcBorders>
                    <w:tl2br w:val="nil"/>
                    <w:tr2bl w:val="nil"/>
                  </w:tcBorders>
                  <w:vAlign w:val="center"/>
                </w:tcPr>
                <w:p w14:paraId="6383A174">
                  <w:pPr>
                    <w:jc w:val="center"/>
                    <w:rPr>
                      <w:color w:val="auto"/>
                      <w:szCs w:val="21"/>
                    </w:rPr>
                  </w:pPr>
                  <w:r>
                    <w:rPr>
                      <w:color w:val="auto"/>
                      <w:szCs w:val="21"/>
                    </w:rPr>
                    <w:t>＜10</w:t>
                  </w:r>
                </w:p>
              </w:tc>
            </w:tr>
            <w:tr w14:paraId="50F988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2" w:hRule="atLeast"/>
              </w:trPr>
              <w:tc>
                <w:tcPr>
                  <w:tcW w:w="1151" w:type="dxa"/>
                  <w:vMerge w:val="continue"/>
                  <w:tcBorders>
                    <w:tl2br w:val="nil"/>
                    <w:tr2bl w:val="nil"/>
                  </w:tcBorders>
                  <w:vAlign w:val="center"/>
                </w:tcPr>
                <w:p w14:paraId="649E7EE4">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2F76E92A">
                  <w:pPr>
                    <w:jc w:val="center"/>
                    <w:rPr>
                      <w:color w:val="auto"/>
                      <w:szCs w:val="21"/>
                    </w:rPr>
                  </w:pPr>
                </w:p>
              </w:tc>
              <w:tc>
                <w:tcPr>
                  <w:tcW w:w="1583" w:type="dxa"/>
                  <w:tcBorders>
                    <w:tl2br w:val="nil"/>
                    <w:tr2bl w:val="nil"/>
                  </w:tcBorders>
                  <w:vAlign w:val="center"/>
                </w:tcPr>
                <w:p w14:paraId="7FDBBF27">
                  <w:pPr>
                    <w:jc w:val="center"/>
                    <w:rPr>
                      <w:color w:val="auto"/>
                      <w:szCs w:val="21"/>
                    </w:rPr>
                  </w:pPr>
                  <w:r>
                    <w:rPr>
                      <w:color w:val="auto"/>
                      <w:szCs w:val="21"/>
                    </w:rPr>
                    <w:t>14:00~15:00</w:t>
                  </w:r>
                </w:p>
              </w:tc>
              <w:tc>
                <w:tcPr>
                  <w:tcW w:w="797" w:type="dxa"/>
                  <w:tcBorders>
                    <w:tl2br w:val="nil"/>
                    <w:tr2bl w:val="nil"/>
                  </w:tcBorders>
                  <w:vAlign w:val="center"/>
                </w:tcPr>
                <w:p w14:paraId="2C4145A3">
                  <w:pPr>
                    <w:jc w:val="center"/>
                    <w:rPr>
                      <w:color w:val="auto"/>
                      <w:szCs w:val="21"/>
                    </w:rPr>
                  </w:pPr>
                  <w:r>
                    <w:rPr>
                      <w:color w:val="auto"/>
                      <w:szCs w:val="21"/>
                    </w:rPr>
                    <w:t>60</w:t>
                  </w:r>
                </w:p>
              </w:tc>
              <w:tc>
                <w:tcPr>
                  <w:tcW w:w="959" w:type="dxa"/>
                  <w:tcBorders>
                    <w:tl2br w:val="nil"/>
                    <w:tr2bl w:val="nil"/>
                  </w:tcBorders>
                  <w:vAlign w:val="center"/>
                </w:tcPr>
                <w:p w14:paraId="5F194B77">
                  <w:pPr>
                    <w:jc w:val="center"/>
                    <w:rPr>
                      <w:color w:val="auto"/>
                      <w:szCs w:val="21"/>
                    </w:rPr>
                  </w:pPr>
                  <w:r>
                    <w:rPr>
                      <w:color w:val="auto"/>
                      <w:szCs w:val="21"/>
                    </w:rPr>
                    <w:t>4</w:t>
                  </w:r>
                </w:p>
              </w:tc>
              <w:tc>
                <w:tcPr>
                  <w:tcW w:w="1961" w:type="dxa"/>
                  <w:tcBorders>
                    <w:tl2br w:val="nil"/>
                    <w:tr2bl w:val="nil"/>
                  </w:tcBorders>
                  <w:vAlign w:val="center"/>
                </w:tcPr>
                <w:p w14:paraId="6870F87B">
                  <w:pPr>
                    <w:jc w:val="center"/>
                    <w:rPr>
                      <w:color w:val="auto"/>
                      <w:szCs w:val="21"/>
                    </w:rPr>
                  </w:pPr>
                  <w:r>
                    <w:rPr>
                      <w:color w:val="auto"/>
                      <w:szCs w:val="21"/>
                    </w:rPr>
                    <w:t>＜10</w:t>
                  </w:r>
                </w:p>
              </w:tc>
            </w:tr>
            <w:tr w14:paraId="193B14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FEC41D0">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75A57E22">
                  <w:pPr>
                    <w:jc w:val="center"/>
                    <w:rPr>
                      <w:color w:val="auto"/>
                      <w:szCs w:val="21"/>
                    </w:rPr>
                  </w:pPr>
                </w:p>
              </w:tc>
              <w:tc>
                <w:tcPr>
                  <w:tcW w:w="1583" w:type="dxa"/>
                  <w:tcBorders>
                    <w:tl2br w:val="nil"/>
                    <w:tr2bl w:val="nil"/>
                  </w:tcBorders>
                  <w:vAlign w:val="center"/>
                </w:tcPr>
                <w:p w14:paraId="68E4D9AE">
                  <w:pPr>
                    <w:jc w:val="center"/>
                    <w:rPr>
                      <w:color w:val="auto"/>
                      <w:szCs w:val="21"/>
                    </w:rPr>
                  </w:pPr>
                  <w:r>
                    <w:rPr>
                      <w:color w:val="auto"/>
                      <w:szCs w:val="21"/>
                    </w:rPr>
                    <w:t>20:00~21:00</w:t>
                  </w:r>
                </w:p>
              </w:tc>
              <w:tc>
                <w:tcPr>
                  <w:tcW w:w="797" w:type="dxa"/>
                  <w:tcBorders>
                    <w:tl2br w:val="nil"/>
                    <w:tr2bl w:val="nil"/>
                  </w:tcBorders>
                  <w:vAlign w:val="center"/>
                </w:tcPr>
                <w:p w14:paraId="2E7FE7D1">
                  <w:pPr>
                    <w:jc w:val="center"/>
                    <w:rPr>
                      <w:color w:val="auto"/>
                      <w:szCs w:val="21"/>
                    </w:rPr>
                  </w:pPr>
                  <w:r>
                    <w:rPr>
                      <w:color w:val="auto"/>
                      <w:szCs w:val="21"/>
                    </w:rPr>
                    <w:t>50</w:t>
                  </w:r>
                </w:p>
              </w:tc>
              <w:tc>
                <w:tcPr>
                  <w:tcW w:w="959" w:type="dxa"/>
                  <w:tcBorders>
                    <w:tl2br w:val="nil"/>
                    <w:tr2bl w:val="nil"/>
                  </w:tcBorders>
                  <w:vAlign w:val="center"/>
                </w:tcPr>
                <w:p w14:paraId="7BECFD36">
                  <w:pPr>
                    <w:jc w:val="center"/>
                    <w:rPr>
                      <w:color w:val="auto"/>
                      <w:szCs w:val="21"/>
                    </w:rPr>
                  </w:pPr>
                  <w:r>
                    <w:rPr>
                      <w:color w:val="auto"/>
                      <w:szCs w:val="21"/>
                    </w:rPr>
                    <w:t>4</w:t>
                  </w:r>
                </w:p>
              </w:tc>
              <w:tc>
                <w:tcPr>
                  <w:tcW w:w="1961" w:type="dxa"/>
                  <w:tcBorders>
                    <w:tl2br w:val="nil"/>
                    <w:tr2bl w:val="nil"/>
                  </w:tcBorders>
                  <w:vAlign w:val="center"/>
                </w:tcPr>
                <w:p w14:paraId="4DBAFAF9">
                  <w:pPr>
                    <w:jc w:val="center"/>
                    <w:rPr>
                      <w:color w:val="auto"/>
                      <w:szCs w:val="21"/>
                    </w:rPr>
                  </w:pPr>
                  <w:r>
                    <w:rPr>
                      <w:color w:val="auto"/>
                      <w:szCs w:val="21"/>
                    </w:rPr>
                    <w:t>＜10</w:t>
                  </w:r>
                </w:p>
              </w:tc>
            </w:tr>
            <w:tr w14:paraId="2F1B2F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A7FD829">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659449C6">
                  <w:pPr>
                    <w:jc w:val="center"/>
                    <w:rPr>
                      <w:color w:val="auto"/>
                      <w:szCs w:val="21"/>
                    </w:rPr>
                  </w:pPr>
                  <w:r>
                    <w:rPr>
                      <w:color w:val="auto"/>
                      <w:szCs w:val="21"/>
                    </w:rPr>
                    <w:t>2024.06.22</w:t>
                  </w:r>
                </w:p>
              </w:tc>
              <w:tc>
                <w:tcPr>
                  <w:tcW w:w="1583" w:type="dxa"/>
                  <w:tcBorders>
                    <w:tl2br w:val="nil"/>
                    <w:tr2bl w:val="nil"/>
                  </w:tcBorders>
                  <w:vAlign w:val="center"/>
                </w:tcPr>
                <w:p w14:paraId="04DF2991">
                  <w:pPr>
                    <w:jc w:val="center"/>
                    <w:rPr>
                      <w:color w:val="auto"/>
                      <w:szCs w:val="21"/>
                    </w:rPr>
                  </w:pPr>
                  <w:r>
                    <w:rPr>
                      <w:color w:val="auto"/>
                      <w:szCs w:val="21"/>
                    </w:rPr>
                    <w:t>02:00~03:00</w:t>
                  </w:r>
                </w:p>
              </w:tc>
              <w:tc>
                <w:tcPr>
                  <w:tcW w:w="797" w:type="dxa"/>
                  <w:tcBorders>
                    <w:tl2br w:val="nil"/>
                    <w:tr2bl w:val="nil"/>
                  </w:tcBorders>
                  <w:vAlign w:val="center"/>
                </w:tcPr>
                <w:p w14:paraId="004A6417">
                  <w:pPr>
                    <w:jc w:val="center"/>
                    <w:rPr>
                      <w:color w:val="auto"/>
                      <w:szCs w:val="21"/>
                    </w:rPr>
                  </w:pPr>
                  <w:r>
                    <w:rPr>
                      <w:color w:val="auto"/>
                      <w:szCs w:val="21"/>
                    </w:rPr>
                    <w:t>40</w:t>
                  </w:r>
                </w:p>
              </w:tc>
              <w:tc>
                <w:tcPr>
                  <w:tcW w:w="959" w:type="dxa"/>
                  <w:tcBorders>
                    <w:tl2br w:val="nil"/>
                    <w:tr2bl w:val="nil"/>
                  </w:tcBorders>
                  <w:vAlign w:val="center"/>
                </w:tcPr>
                <w:p w14:paraId="40EE739D">
                  <w:pPr>
                    <w:jc w:val="center"/>
                    <w:rPr>
                      <w:color w:val="auto"/>
                      <w:szCs w:val="21"/>
                    </w:rPr>
                  </w:pPr>
                  <w:r>
                    <w:rPr>
                      <w:color w:val="auto"/>
                      <w:szCs w:val="21"/>
                    </w:rPr>
                    <w:t>4</w:t>
                  </w:r>
                </w:p>
              </w:tc>
              <w:tc>
                <w:tcPr>
                  <w:tcW w:w="1961" w:type="dxa"/>
                  <w:tcBorders>
                    <w:tl2br w:val="nil"/>
                    <w:tr2bl w:val="nil"/>
                  </w:tcBorders>
                  <w:vAlign w:val="center"/>
                </w:tcPr>
                <w:p w14:paraId="16D61CCA">
                  <w:pPr>
                    <w:jc w:val="center"/>
                    <w:rPr>
                      <w:color w:val="auto"/>
                      <w:szCs w:val="21"/>
                    </w:rPr>
                  </w:pPr>
                  <w:r>
                    <w:rPr>
                      <w:color w:val="auto"/>
                      <w:szCs w:val="21"/>
                    </w:rPr>
                    <w:t>＜10</w:t>
                  </w:r>
                </w:p>
              </w:tc>
            </w:tr>
            <w:tr w14:paraId="0BD883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0FCEB1A">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41D40FF9">
                  <w:pPr>
                    <w:jc w:val="center"/>
                    <w:rPr>
                      <w:color w:val="auto"/>
                      <w:szCs w:val="21"/>
                    </w:rPr>
                  </w:pPr>
                </w:p>
              </w:tc>
              <w:tc>
                <w:tcPr>
                  <w:tcW w:w="1583" w:type="dxa"/>
                  <w:tcBorders>
                    <w:tl2br w:val="nil"/>
                    <w:tr2bl w:val="nil"/>
                  </w:tcBorders>
                  <w:vAlign w:val="center"/>
                </w:tcPr>
                <w:p w14:paraId="7F75A0E4">
                  <w:pPr>
                    <w:jc w:val="center"/>
                    <w:rPr>
                      <w:color w:val="auto"/>
                      <w:szCs w:val="21"/>
                    </w:rPr>
                  </w:pPr>
                  <w:r>
                    <w:rPr>
                      <w:color w:val="auto"/>
                      <w:szCs w:val="21"/>
                    </w:rPr>
                    <w:t>08:00~09:00</w:t>
                  </w:r>
                </w:p>
              </w:tc>
              <w:tc>
                <w:tcPr>
                  <w:tcW w:w="797" w:type="dxa"/>
                  <w:tcBorders>
                    <w:tl2br w:val="nil"/>
                    <w:tr2bl w:val="nil"/>
                  </w:tcBorders>
                  <w:vAlign w:val="center"/>
                </w:tcPr>
                <w:p w14:paraId="5EAA3812">
                  <w:pPr>
                    <w:jc w:val="center"/>
                    <w:rPr>
                      <w:color w:val="auto"/>
                      <w:szCs w:val="21"/>
                    </w:rPr>
                  </w:pPr>
                  <w:r>
                    <w:rPr>
                      <w:color w:val="auto"/>
                      <w:szCs w:val="21"/>
                    </w:rPr>
                    <w:t>40</w:t>
                  </w:r>
                </w:p>
              </w:tc>
              <w:tc>
                <w:tcPr>
                  <w:tcW w:w="959" w:type="dxa"/>
                  <w:tcBorders>
                    <w:tl2br w:val="nil"/>
                    <w:tr2bl w:val="nil"/>
                  </w:tcBorders>
                  <w:vAlign w:val="center"/>
                </w:tcPr>
                <w:p w14:paraId="43360473">
                  <w:pPr>
                    <w:jc w:val="center"/>
                    <w:rPr>
                      <w:color w:val="auto"/>
                      <w:szCs w:val="21"/>
                    </w:rPr>
                  </w:pPr>
                  <w:r>
                    <w:rPr>
                      <w:color w:val="auto"/>
                      <w:szCs w:val="21"/>
                    </w:rPr>
                    <w:t>4</w:t>
                  </w:r>
                </w:p>
              </w:tc>
              <w:tc>
                <w:tcPr>
                  <w:tcW w:w="1961" w:type="dxa"/>
                  <w:tcBorders>
                    <w:tl2br w:val="nil"/>
                    <w:tr2bl w:val="nil"/>
                  </w:tcBorders>
                  <w:vAlign w:val="center"/>
                </w:tcPr>
                <w:p w14:paraId="0A557790">
                  <w:pPr>
                    <w:jc w:val="center"/>
                    <w:rPr>
                      <w:color w:val="auto"/>
                      <w:szCs w:val="21"/>
                    </w:rPr>
                  </w:pPr>
                  <w:r>
                    <w:rPr>
                      <w:color w:val="auto"/>
                      <w:szCs w:val="21"/>
                    </w:rPr>
                    <w:t>＜10</w:t>
                  </w:r>
                </w:p>
              </w:tc>
            </w:tr>
            <w:tr w14:paraId="246D4B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C2F9048">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17BEDAD2">
                  <w:pPr>
                    <w:jc w:val="center"/>
                    <w:rPr>
                      <w:color w:val="auto"/>
                      <w:szCs w:val="21"/>
                    </w:rPr>
                  </w:pPr>
                </w:p>
              </w:tc>
              <w:tc>
                <w:tcPr>
                  <w:tcW w:w="1583" w:type="dxa"/>
                  <w:tcBorders>
                    <w:tl2br w:val="nil"/>
                    <w:tr2bl w:val="nil"/>
                  </w:tcBorders>
                  <w:vAlign w:val="center"/>
                </w:tcPr>
                <w:p w14:paraId="0FDD7AC4">
                  <w:pPr>
                    <w:jc w:val="center"/>
                    <w:rPr>
                      <w:color w:val="auto"/>
                      <w:szCs w:val="21"/>
                    </w:rPr>
                  </w:pPr>
                  <w:r>
                    <w:rPr>
                      <w:color w:val="auto"/>
                      <w:szCs w:val="21"/>
                    </w:rPr>
                    <w:t>14:00~15:00</w:t>
                  </w:r>
                </w:p>
              </w:tc>
              <w:tc>
                <w:tcPr>
                  <w:tcW w:w="797" w:type="dxa"/>
                  <w:tcBorders>
                    <w:tl2br w:val="nil"/>
                    <w:tr2bl w:val="nil"/>
                  </w:tcBorders>
                  <w:vAlign w:val="center"/>
                </w:tcPr>
                <w:p w14:paraId="3EBB67D4">
                  <w:pPr>
                    <w:jc w:val="center"/>
                    <w:rPr>
                      <w:color w:val="auto"/>
                      <w:szCs w:val="21"/>
                    </w:rPr>
                  </w:pPr>
                  <w:r>
                    <w:rPr>
                      <w:color w:val="auto"/>
                      <w:szCs w:val="21"/>
                    </w:rPr>
                    <w:t>40</w:t>
                  </w:r>
                </w:p>
              </w:tc>
              <w:tc>
                <w:tcPr>
                  <w:tcW w:w="959" w:type="dxa"/>
                  <w:tcBorders>
                    <w:tl2br w:val="nil"/>
                    <w:tr2bl w:val="nil"/>
                  </w:tcBorders>
                  <w:vAlign w:val="center"/>
                </w:tcPr>
                <w:p w14:paraId="368AF374">
                  <w:pPr>
                    <w:jc w:val="center"/>
                    <w:rPr>
                      <w:color w:val="auto"/>
                      <w:szCs w:val="21"/>
                    </w:rPr>
                  </w:pPr>
                  <w:r>
                    <w:rPr>
                      <w:color w:val="auto"/>
                      <w:szCs w:val="21"/>
                    </w:rPr>
                    <w:t>3</w:t>
                  </w:r>
                </w:p>
              </w:tc>
              <w:tc>
                <w:tcPr>
                  <w:tcW w:w="1961" w:type="dxa"/>
                  <w:tcBorders>
                    <w:tl2br w:val="nil"/>
                    <w:tr2bl w:val="nil"/>
                  </w:tcBorders>
                  <w:vAlign w:val="center"/>
                </w:tcPr>
                <w:p w14:paraId="0BAA6EE7">
                  <w:pPr>
                    <w:jc w:val="center"/>
                    <w:rPr>
                      <w:color w:val="auto"/>
                      <w:szCs w:val="21"/>
                    </w:rPr>
                  </w:pPr>
                  <w:r>
                    <w:rPr>
                      <w:color w:val="auto"/>
                      <w:szCs w:val="21"/>
                    </w:rPr>
                    <w:t>＜10</w:t>
                  </w:r>
                </w:p>
              </w:tc>
            </w:tr>
            <w:tr w14:paraId="0FCD5A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FF6D841">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0BD2EC2A">
                  <w:pPr>
                    <w:jc w:val="center"/>
                    <w:rPr>
                      <w:color w:val="auto"/>
                      <w:szCs w:val="21"/>
                    </w:rPr>
                  </w:pPr>
                </w:p>
              </w:tc>
              <w:tc>
                <w:tcPr>
                  <w:tcW w:w="1583" w:type="dxa"/>
                  <w:tcBorders>
                    <w:tl2br w:val="nil"/>
                    <w:tr2bl w:val="nil"/>
                  </w:tcBorders>
                  <w:vAlign w:val="center"/>
                </w:tcPr>
                <w:p w14:paraId="35BAC3BA">
                  <w:pPr>
                    <w:jc w:val="center"/>
                    <w:rPr>
                      <w:color w:val="auto"/>
                      <w:szCs w:val="21"/>
                    </w:rPr>
                  </w:pPr>
                  <w:r>
                    <w:rPr>
                      <w:color w:val="auto"/>
                      <w:szCs w:val="21"/>
                    </w:rPr>
                    <w:t>20:00~21:00</w:t>
                  </w:r>
                </w:p>
              </w:tc>
              <w:tc>
                <w:tcPr>
                  <w:tcW w:w="797" w:type="dxa"/>
                  <w:tcBorders>
                    <w:tl2br w:val="nil"/>
                    <w:tr2bl w:val="nil"/>
                  </w:tcBorders>
                  <w:vAlign w:val="center"/>
                </w:tcPr>
                <w:p w14:paraId="58F38073">
                  <w:pPr>
                    <w:jc w:val="center"/>
                    <w:rPr>
                      <w:color w:val="auto"/>
                      <w:szCs w:val="21"/>
                    </w:rPr>
                  </w:pPr>
                  <w:r>
                    <w:rPr>
                      <w:color w:val="auto"/>
                      <w:szCs w:val="21"/>
                    </w:rPr>
                    <w:t>60</w:t>
                  </w:r>
                </w:p>
              </w:tc>
              <w:tc>
                <w:tcPr>
                  <w:tcW w:w="959" w:type="dxa"/>
                  <w:tcBorders>
                    <w:tl2br w:val="nil"/>
                    <w:tr2bl w:val="nil"/>
                  </w:tcBorders>
                  <w:vAlign w:val="center"/>
                </w:tcPr>
                <w:p w14:paraId="1093995E">
                  <w:pPr>
                    <w:jc w:val="center"/>
                    <w:rPr>
                      <w:color w:val="auto"/>
                      <w:szCs w:val="21"/>
                    </w:rPr>
                  </w:pPr>
                  <w:r>
                    <w:rPr>
                      <w:color w:val="auto"/>
                      <w:szCs w:val="21"/>
                    </w:rPr>
                    <w:t>4</w:t>
                  </w:r>
                </w:p>
              </w:tc>
              <w:tc>
                <w:tcPr>
                  <w:tcW w:w="1961" w:type="dxa"/>
                  <w:tcBorders>
                    <w:tl2br w:val="nil"/>
                    <w:tr2bl w:val="nil"/>
                  </w:tcBorders>
                  <w:vAlign w:val="center"/>
                </w:tcPr>
                <w:p w14:paraId="096F599C">
                  <w:pPr>
                    <w:jc w:val="center"/>
                    <w:rPr>
                      <w:color w:val="auto"/>
                      <w:szCs w:val="21"/>
                    </w:rPr>
                  </w:pPr>
                  <w:r>
                    <w:rPr>
                      <w:color w:val="auto"/>
                      <w:szCs w:val="21"/>
                    </w:rPr>
                    <w:t>＜10</w:t>
                  </w:r>
                </w:p>
              </w:tc>
            </w:tr>
            <w:tr w14:paraId="3A3C22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541441D3">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282E1724">
                  <w:pPr>
                    <w:jc w:val="center"/>
                    <w:rPr>
                      <w:color w:val="auto"/>
                      <w:szCs w:val="21"/>
                    </w:rPr>
                  </w:pPr>
                  <w:r>
                    <w:rPr>
                      <w:color w:val="auto"/>
                      <w:szCs w:val="21"/>
                    </w:rPr>
                    <w:t>2024.06.23</w:t>
                  </w:r>
                </w:p>
              </w:tc>
              <w:tc>
                <w:tcPr>
                  <w:tcW w:w="1583" w:type="dxa"/>
                  <w:tcBorders>
                    <w:tl2br w:val="nil"/>
                    <w:tr2bl w:val="nil"/>
                  </w:tcBorders>
                  <w:vAlign w:val="center"/>
                </w:tcPr>
                <w:p w14:paraId="0B3A919B">
                  <w:pPr>
                    <w:jc w:val="center"/>
                    <w:rPr>
                      <w:color w:val="auto"/>
                      <w:szCs w:val="21"/>
                    </w:rPr>
                  </w:pPr>
                  <w:r>
                    <w:rPr>
                      <w:color w:val="auto"/>
                      <w:szCs w:val="21"/>
                    </w:rPr>
                    <w:t>02:00~03:00</w:t>
                  </w:r>
                </w:p>
              </w:tc>
              <w:tc>
                <w:tcPr>
                  <w:tcW w:w="797" w:type="dxa"/>
                  <w:tcBorders>
                    <w:tl2br w:val="nil"/>
                    <w:tr2bl w:val="nil"/>
                  </w:tcBorders>
                  <w:vAlign w:val="center"/>
                </w:tcPr>
                <w:p w14:paraId="60F08C65">
                  <w:pPr>
                    <w:jc w:val="center"/>
                    <w:rPr>
                      <w:color w:val="auto"/>
                      <w:szCs w:val="21"/>
                    </w:rPr>
                  </w:pPr>
                  <w:r>
                    <w:rPr>
                      <w:color w:val="auto"/>
                      <w:szCs w:val="21"/>
                    </w:rPr>
                    <w:t>50</w:t>
                  </w:r>
                </w:p>
              </w:tc>
              <w:tc>
                <w:tcPr>
                  <w:tcW w:w="959" w:type="dxa"/>
                  <w:tcBorders>
                    <w:tl2br w:val="nil"/>
                    <w:tr2bl w:val="nil"/>
                  </w:tcBorders>
                  <w:vAlign w:val="center"/>
                </w:tcPr>
                <w:p w14:paraId="0746FB87">
                  <w:pPr>
                    <w:jc w:val="center"/>
                    <w:rPr>
                      <w:color w:val="auto"/>
                      <w:szCs w:val="21"/>
                    </w:rPr>
                  </w:pPr>
                  <w:r>
                    <w:rPr>
                      <w:color w:val="auto"/>
                      <w:szCs w:val="21"/>
                    </w:rPr>
                    <w:t>3</w:t>
                  </w:r>
                </w:p>
              </w:tc>
              <w:tc>
                <w:tcPr>
                  <w:tcW w:w="1961" w:type="dxa"/>
                  <w:tcBorders>
                    <w:tl2br w:val="nil"/>
                    <w:tr2bl w:val="nil"/>
                  </w:tcBorders>
                  <w:vAlign w:val="center"/>
                </w:tcPr>
                <w:p w14:paraId="492C0EAF">
                  <w:pPr>
                    <w:jc w:val="center"/>
                    <w:rPr>
                      <w:color w:val="auto"/>
                      <w:szCs w:val="21"/>
                    </w:rPr>
                  </w:pPr>
                  <w:r>
                    <w:rPr>
                      <w:color w:val="auto"/>
                      <w:szCs w:val="21"/>
                    </w:rPr>
                    <w:t>＜10</w:t>
                  </w:r>
                </w:p>
              </w:tc>
            </w:tr>
            <w:tr w14:paraId="3214D1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300804F3">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3EB2AF0D">
                  <w:pPr>
                    <w:jc w:val="center"/>
                    <w:rPr>
                      <w:color w:val="auto"/>
                      <w:szCs w:val="21"/>
                    </w:rPr>
                  </w:pPr>
                </w:p>
              </w:tc>
              <w:tc>
                <w:tcPr>
                  <w:tcW w:w="1583" w:type="dxa"/>
                  <w:tcBorders>
                    <w:tl2br w:val="nil"/>
                    <w:tr2bl w:val="nil"/>
                  </w:tcBorders>
                  <w:vAlign w:val="center"/>
                </w:tcPr>
                <w:p w14:paraId="67F25837">
                  <w:pPr>
                    <w:jc w:val="center"/>
                    <w:rPr>
                      <w:color w:val="auto"/>
                      <w:szCs w:val="21"/>
                    </w:rPr>
                  </w:pPr>
                  <w:r>
                    <w:rPr>
                      <w:color w:val="auto"/>
                      <w:szCs w:val="21"/>
                    </w:rPr>
                    <w:t>08:00~09:00</w:t>
                  </w:r>
                </w:p>
              </w:tc>
              <w:tc>
                <w:tcPr>
                  <w:tcW w:w="797" w:type="dxa"/>
                  <w:tcBorders>
                    <w:tl2br w:val="nil"/>
                    <w:tr2bl w:val="nil"/>
                  </w:tcBorders>
                  <w:vAlign w:val="center"/>
                </w:tcPr>
                <w:p w14:paraId="572F35A8">
                  <w:pPr>
                    <w:jc w:val="center"/>
                    <w:rPr>
                      <w:color w:val="auto"/>
                      <w:szCs w:val="21"/>
                    </w:rPr>
                  </w:pPr>
                  <w:r>
                    <w:rPr>
                      <w:color w:val="auto"/>
                      <w:szCs w:val="21"/>
                    </w:rPr>
                    <w:t>40</w:t>
                  </w:r>
                </w:p>
              </w:tc>
              <w:tc>
                <w:tcPr>
                  <w:tcW w:w="959" w:type="dxa"/>
                  <w:tcBorders>
                    <w:tl2br w:val="nil"/>
                    <w:tr2bl w:val="nil"/>
                  </w:tcBorders>
                  <w:vAlign w:val="center"/>
                </w:tcPr>
                <w:p w14:paraId="492A5BA7">
                  <w:pPr>
                    <w:jc w:val="center"/>
                    <w:rPr>
                      <w:color w:val="auto"/>
                      <w:szCs w:val="21"/>
                    </w:rPr>
                  </w:pPr>
                  <w:r>
                    <w:rPr>
                      <w:color w:val="auto"/>
                      <w:szCs w:val="21"/>
                    </w:rPr>
                    <w:t>3</w:t>
                  </w:r>
                </w:p>
              </w:tc>
              <w:tc>
                <w:tcPr>
                  <w:tcW w:w="1961" w:type="dxa"/>
                  <w:tcBorders>
                    <w:tl2br w:val="nil"/>
                    <w:tr2bl w:val="nil"/>
                  </w:tcBorders>
                  <w:vAlign w:val="center"/>
                </w:tcPr>
                <w:p w14:paraId="790AE58A">
                  <w:pPr>
                    <w:jc w:val="center"/>
                    <w:rPr>
                      <w:color w:val="auto"/>
                      <w:szCs w:val="21"/>
                    </w:rPr>
                  </w:pPr>
                  <w:r>
                    <w:rPr>
                      <w:color w:val="auto"/>
                      <w:szCs w:val="21"/>
                    </w:rPr>
                    <w:t>＜10</w:t>
                  </w:r>
                </w:p>
              </w:tc>
            </w:tr>
            <w:tr w14:paraId="1D0472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63A6908F">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0804AE0C">
                  <w:pPr>
                    <w:jc w:val="center"/>
                    <w:rPr>
                      <w:color w:val="auto"/>
                      <w:szCs w:val="21"/>
                    </w:rPr>
                  </w:pPr>
                </w:p>
              </w:tc>
              <w:tc>
                <w:tcPr>
                  <w:tcW w:w="1583" w:type="dxa"/>
                  <w:tcBorders>
                    <w:tl2br w:val="nil"/>
                    <w:tr2bl w:val="nil"/>
                  </w:tcBorders>
                  <w:vAlign w:val="center"/>
                </w:tcPr>
                <w:p w14:paraId="3695ABA5">
                  <w:pPr>
                    <w:jc w:val="center"/>
                    <w:rPr>
                      <w:color w:val="auto"/>
                      <w:szCs w:val="21"/>
                    </w:rPr>
                  </w:pPr>
                  <w:r>
                    <w:rPr>
                      <w:color w:val="auto"/>
                      <w:szCs w:val="21"/>
                    </w:rPr>
                    <w:t>14:00~15:00</w:t>
                  </w:r>
                </w:p>
              </w:tc>
              <w:tc>
                <w:tcPr>
                  <w:tcW w:w="797" w:type="dxa"/>
                  <w:tcBorders>
                    <w:tl2br w:val="nil"/>
                    <w:tr2bl w:val="nil"/>
                  </w:tcBorders>
                  <w:vAlign w:val="center"/>
                </w:tcPr>
                <w:p w14:paraId="26E6B601">
                  <w:pPr>
                    <w:jc w:val="center"/>
                    <w:rPr>
                      <w:color w:val="auto"/>
                      <w:szCs w:val="21"/>
                    </w:rPr>
                  </w:pPr>
                  <w:r>
                    <w:rPr>
                      <w:color w:val="auto"/>
                      <w:szCs w:val="21"/>
                    </w:rPr>
                    <w:t>60</w:t>
                  </w:r>
                </w:p>
              </w:tc>
              <w:tc>
                <w:tcPr>
                  <w:tcW w:w="959" w:type="dxa"/>
                  <w:tcBorders>
                    <w:tl2br w:val="nil"/>
                    <w:tr2bl w:val="nil"/>
                  </w:tcBorders>
                  <w:vAlign w:val="center"/>
                </w:tcPr>
                <w:p w14:paraId="7BE10EC4">
                  <w:pPr>
                    <w:jc w:val="center"/>
                    <w:rPr>
                      <w:color w:val="auto"/>
                      <w:szCs w:val="21"/>
                    </w:rPr>
                  </w:pPr>
                  <w:r>
                    <w:rPr>
                      <w:color w:val="auto"/>
                      <w:szCs w:val="21"/>
                    </w:rPr>
                    <w:t>4</w:t>
                  </w:r>
                </w:p>
              </w:tc>
              <w:tc>
                <w:tcPr>
                  <w:tcW w:w="1961" w:type="dxa"/>
                  <w:tcBorders>
                    <w:tl2br w:val="nil"/>
                    <w:tr2bl w:val="nil"/>
                  </w:tcBorders>
                  <w:vAlign w:val="center"/>
                </w:tcPr>
                <w:p w14:paraId="04005D35">
                  <w:pPr>
                    <w:jc w:val="center"/>
                    <w:rPr>
                      <w:color w:val="auto"/>
                      <w:szCs w:val="21"/>
                    </w:rPr>
                  </w:pPr>
                  <w:r>
                    <w:rPr>
                      <w:color w:val="auto"/>
                      <w:szCs w:val="21"/>
                    </w:rPr>
                    <w:t>＜10</w:t>
                  </w:r>
                </w:p>
              </w:tc>
            </w:tr>
            <w:tr w14:paraId="01566A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E9EE8D8">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41579523">
                  <w:pPr>
                    <w:jc w:val="center"/>
                    <w:rPr>
                      <w:color w:val="auto"/>
                      <w:szCs w:val="21"/>
                    </w:rPr>
                  </w:pPr>
                </w:p>
              </w:tc>
              <w:tc>
                <w:tcPr>
                  <w:tcW w:w="1583" w:type="dxa"/>
                  <w:tcBorders>
                    <w:tl2br w:val="nil"/>
                    <w:tr2bl w:val="nil"/>
                  </w:tcBorders>
                  <w:vAlign w:val="center"/>
                </w:tcPr>
                <w:p w14:paraId="5801446B">
                  <w:pPr>
                    <w:jc w:val="center"/>
                    <w:rPr>
                      <w:color w:val="auto"/>
                      <w:szCs w:val="21"/>
                    </w:rPr>
                  </w:pPr>
                  <w:r>
                    <w:rPr>
                      <w:color w:val="auto"/>
                      <w:szCs w:val="21"/>
                    </w:rPr>
                    <w:t>20:00~21:00</w:t>
                  </w:r>
                </w:p>
              </w:tc>
              <w:tc>
                <w:tcPr>
                  <w:tcW w:w="797" w:type="dxa"/>
                  <w:tcBorders>
                    <w:tl2br w:val="nil"/>
                    <w:tr2bl w:val="nil"/>
                  </w:tcBorders>
                  <w:vAlign w:val="center"/>
                </w:tcPr>
                <w:p w14:paraId="43AA9B81">
                  <w:pPr>
                    <w:jc w:val="center"/>
                    <w:rPr>
                      <w:color w:val="auto"/>
                      <w:szCs w:val="21"/>
                    </w:rPr>
                  </w:pPr>
                  <w:r>
                    <w:rPr>
                      <w:color w:val="auto"/>
                      <w:szCs w:val="21"/>
                    </w:rPr>
                    <w:t>50</w:t>
                  </w:r>
                </w:p>
              </w:tc>
              <w:tc>
                <w:tcPr>
                  <w:tcW w:w="959" w:type="dxa"/>
                  <w:tcBorders>
                    <w:tl2br w:val="nil"/>
                    <w:tr2bl w:val="nil"/>
                  </w:tcBorders>
                  <w:vAlign w:val="center"/>
                </w:tcPr>
                <w:p w14:paraId="031C8D84">
                  <w:pPr>
                    <w:jc w:val="center"/>
                    <w:rPr>
                      <w:color w:val="auto"/>
                      <w:szCs w:val="21"/>
                    </w:rPr>
                  </w:pPr>
                  <w:r>
                    <w:rPr>
                      <w:color w:val="auto"/>
                      <w:szCs w:val="21"/>
                    </w:rPr>
                    <w:t>4</w:t>
                  </w:r>
                </w:p>
              </w:tc>
              <w:tc>
                <w:tcPr>
                  <w:tcW w:w="1961" w:type="dxa"/>
                  <w:tcBorders>
                    <w:tl2br w:val="nil"/>
                    <w:tr2bl w:val="nil"/>
                  </w:tcBorders>
                  <w:vAlign w:val="center"/>
                </w:tcPr>
                <w:p w14:paraId="796DB8C6">
                  <w:pPr>
                    <w:jc w:val="center"/>
                    <w:rPr>
                      <w:color w:val="auto"/>
                      <w:szCs w:val="21"/>
                    </w:rPr>
                  </w:pPr>
                  <w:r>
                    <w:rPr>
                      <w:color w:val="auto"/>
                      <w:szCs w:val="21"/>
                    </w:rPr>
                    <w:t>＜10</w:t>
                  </w:r>
                </w:p>
              </w:tc>
            </w:tr>
            <w:tr w14:paraId="7F48DC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6B3281FA">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0BB135AE">
                  <w:pPr>
                    <w:jc w:val="center"/>
                    <w:rPr>
                      <w:color w:val="auto"/>
                      <w:szCs w:val="21"/>
                    </w:rPr>
                  </w:pPr>
                  <w:r>
                    <w:rPr>
                      <w:color w:val="auto"/>
                      <w:szCs w:val="21"/>
                    </w:rPr>
                    <w:t>2024.06.24</w:t>
                  </w:r>
                </w:p>
              </w:tc>
              <w:tc>
                <w:tcPr>
                  <w:tcW w:w="1583" w:type="dxa"/>
                  <w:tcBorders>
                    <w:tl2br w:val="nil"/>
                    <w:tr2bl w:val="nil"/>
                  </w:tcBorders>
                  <w:vAlign w:val="center"/>
                </w:tcPr>
                <w:p w14:paraId="28651BC5">
                  <w:pPr>
                    <w:jc w:val="center"/>
                    <w:rPr>
                      <w:color w:val="auto"/>
                      <w:szCs w:val="21"/>
                    </w:rPr>
                  </w:pPr>
                  <w:r>
                    <w:rPr>
                      <w:color w:val="auto"/>
                      <w:szCs w:val="21"/>
                    </w:rPr>
                    <w:t>02:00~03:00</w:t>
                  </w:r>
                </w:p>
              </w:tc>
              <w:tc>
                <w:tcPr>
                  <w:tcW w:w="797" w:type="dxa"/>
                  <w:tcBorders>
                    <w:tl2br w:val="nil"/>
                    <w:tr2bl w:val="nil"/>
                  </w:tcBorders>
                  <w:vAlign w:val="center"/>
                </w:tcPr>
                <w:p w14:paraId="49E719F3">
                  <w:pPr>
                    <w:jc w:val="center"/>
                    <w:rPr>
                      <w:color w:val="auto"/>
                      <w:szCs w:val="21"/>
                    </w:rPr>
                  </w:pPr>
                  <w:r>
                    <w:rPr>
                      <w:color w:val="auto"/>
                      <w:szCs w:val="21"/>
                    </w:rPr>
                    <w:t>50</w:t>
                  </w:r>
                </w:p>
              </w:tc>
              <w:tc>
                <w:tcPr>
                  <w:tcW w:w="959" w:type="dxa"/>
                  <w:tcBorders>
                    <w:tl2br w:val="nil"/>
                    <w:tr2bl w:val="nil"/>
                  </w:tcBorders>
                  <w:vAlign w:val="center"/>
                </w:tcPr>
                <w:p w14:paraId="41DB60C2">
                  <w:pPr>
                    <w:jc w:val="center"/>
                    <w:rPr>
                      <w:color w:val="auto"/>
                      <w:szCs w:val="21"/>
                    </w:rPr>
                  </w:pPr>
                  <w:r>
                    <w:rPr>
                      <w:color w:val="auto"/>
                      <w:szCs w:val="21"/>
                    </w:rPr>
                    <w:t>3</w:t>
                  </w:r>
                </w:p>
              </w:tc>
              <w:tc>
                <w:tcPr>
                  <w:tcW w:w="1961" w:type="dxa"/>
                  <w:tcBorders>
                    <w:tl2br w:val="nil"/>
                    <w:tr2bl w:val="nil"/>
                  </w:tcBorders>
                  <w:vAlign w:val="center"/>
                </w:tcPr>
                <w:p w14:paraId="181BD862">
                  <w:pPr>
                    <w:jc w:val="center"/>
                    <w:rPr>
                      <w:color w:val="auto"/>
                      <w:szCs w:val="21"/>
                    </w:rPr>
                  </w:pPr>
                  <w:r>
                    <w:rPr>
                      <w:color w:val="auto"/>
                      <w:szCs w:val="21"/>
                    </w:rPr>
                    <w:t>＜10</w:t>
                  </w:r>
                </w:p>
              </w:tc>
            </w:tr>
            <w:tr w14:paraId="3495F0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29375DDF">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4C18F1FA">
                  <w:pPr>
                    <w:jc w:val="center"/>
                    <w:rPr>
                      <w:color w:val="auto"/>
                      <w:szCs w:val="21"/>
                    </w:rPr>
                  </w:pPr>
                </w:p>
              </w:tc>
              <w:tc>
                <w:tcPr>
                  <w:tcW w:w="1583" w:type="dxa"/>
                  <w:tcBorders>
                    <w:tl2br w:val="nil"/>
                    <w:tr2bl w:val="nil"/>
                  </w:tcBorders>
                  <w:vAlign w:val="center"/>
                </w:tcPr>
                <w:p w14:paraId="7407E5F9">
                  <w:pPr>
                    <w:jc w:val="center"/>
                    <w:rPr>
                      <w:color w:val="auto"/>
                      <w:szCs w:val="21"/>
                    </w:rPr>
                  </w:pPr>
                  <w:r>
                    <w:rPr>
                      <w:color w:val="auto"/>
                      <w:szCs w:val="21"/>
                    </w:rPr>
                    <w:t>08:00~09:00</w:t>
                  </w:r>
                </w:p>
              </w:tc>
              <w:tc>
                <w:tcPr>
                  <w:tcW w:w="797" w:type="dxa"/>
                  <w:tcBorders>
                    <w:tl2br w:val="nil"/>
                    <w:tr2bl w:val="nil"/>
                  </w:tcBorders>
                  <w:vAlign w:val="center"/>
                </w:tcPr>
                <w:p w14:paraId="6E0E7FB5">
                  <w:pPr>
                    <w:jc w:val="center"/>
                    <w:rPr>
                      <w:color w:val="auto"/>
                      <w:szCs w:val="21"/>
                    </w:rPr>
                  </w:pPr>
                  <w:r>
                    <w:rPr>
                      <w:color w:val="auto"/>
                      <w:szCs w:val="21"/>
                    </w:rPr>
                    <w:t>40</w:t>
                  </w:r>
                </w:p>
              </w:tc>
              <w:tc>
                <w:tcPr>
                  <w:tcW w:w="959" w:type="dxa"/>
                  <w:tcBorders>
                    <w:tl2br w:val="nil"/>
                    <w:tr2bl w:val="nil"/>
                  </w:tcBorders>
                  <w:vAlign w:val="center"/>
                </w:tcPr>
                <w:p w14:paraId="3D464581">
                  <w:pPr>
                    <w:jc w:val="center"/>
                    <w:rPr>
                      <w:color w:val="auto"/>
                      <w:szCs w:val="21"/>
                    </w:rPr>
                  </w:pPr>
                  <w:r>
                    <w:rPr>
                      <w:color w:val="auto"/>
                      <w:szCs w:val="21"/>
                    </w:rPr>
                    <w:t>3</w:t>
                  </w:r>
                </w:p>
              </w:tc>
              <w:tc>
                <w:tcPr>
                  <w:tcW w:w="1961" w:type="dxa"/>
                  <w:tcBorders>
                    <w:tl2br w:val="nil"/>
                    <w:tr2bl w:val="nil"/>
                  </w:tcBorders>
                  <w:vAlign w:val="center"/>
                </w:tcPr>
                <w:p w14:paraId="4BE53E5A">
                  <w:pPr>
                    <w:jc w:val="center"/>
                    <w:rPr>
                      <w:color w:val="auto"/>
                      <w:szCs w:val="21"/>
                    </w:rPr>
                  </w:pPr>
                  <w:r>
                    <w:rPr>
                      <w:color w:val="auto"/>
                      <w:szCs w:val="21"/>
                    </w:rPr>
                    <w:t>＜10</w:t>
                  </w:r>
                </w:p>
              </w:tc>
            </w:tr>
            <w:tr w14:paraId="5F453B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7734032B">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216A7678">
                  <w:pPr>
                    <w:jc w:val="center"/>
                    <w:rPr>
                      <w:color w:val="auto"/>
                      <w:szCs w:val="21"/>
                    </w:rPr>
                  </w:pPr>
                </w:p>
              </w:tc>
              <w:tc>
                <w:tcPr>
                  <w:tcW w:w="1583" w:type="dxa"/>
                  <w:tcBorders>
                    <w:tl2br w:val="nil"/>
                    <w:tr2bl w:val="nil"/>
                  </w:tcBorders>
                  <w:vAlign w:val="center"/>
                </w:tcPr>
                <w:p w14:paraId="0C4F982A">
                  <w:pPr>
                    <w:jc w:val="center"/>
                    <w:rPr>
                      <w:color w:val="auto"/>
                      <w:szCs w:val="21"/>
                    </w:rPr>
                  </w:pPr>
                  <w:r>
                    <w:rPr>
                      <w:color w:val="auto"/>
                      <w:szCs w:val="21"/>
                    </w:rPr>
                    <w:t>14:00~15:00</w:t>
                  </w:r>
                </w:p>
              </w:tc>
              <w:tc>
                <w:tcPr>
                  <w:tcW w:w="797" w:type="dxa"/>
                  <w:tcBorders>
                    <w:tl2br w:val="nil"/>
                    <w:tr2bl w:val="nil"/>
                  </w:tcBorders>
                  <w:vAlign w:val="center"/>
                </w:tcPr>
                <w:p w14:paraId="648D2A12">
                  <w:pPr>
                    <w:jc w:val="center"/>
                    <w:rPr>
                      <w:color w:val="auto"/>
                      <w:szCs w:val="21"/>
                    </w:rPr>
                  </w:pPr>
                  <w:r>
                    <w:rPr>
                      <w:color w:val="auto"/>
                      <w:szCs w:val="21"/>
                    </w:rPr>
                    <w:t>60</w:t>
                  </w:r>
                </w:p>
              </w:tc>
              <w:tc>
                <w:tcPr>
                  <w:tcW w:w="959" w:type="dxa"/>
                  <w:tcBorders>
                    <w:tl2br w:val="nil"/>
                    <w:tr2bl w:val="nil"/>
                  </w:tcBorders>
                  <w:vAlign w:val="center"/>
                </w:tcPr>
                <w:p w14:paraId="1693D1D4">
                  <w:pPr>
                    <w:jc w:val="center"/>
                    <w:rPr>
                      <w:color w:val="auto"/>
                      <w:szCs w:val="21"/>
                    </w:rPr>
                  </w:pPr>
                  <w:r>
                    <w:rPr>
                      <w:color w:val="auto"/>
                      <w:szCs w:val="21"/>
                    </w:rPr>
                    <w:t>3</w:t>
                  </w:r>
                </w:p>
              </w:tc>
              <w:tc>
                <w:tcPr>
                  <w:tcW w:w="1961" w:type="dxa"/>
                  <w:tcBorders>
                    <w:tl2br w:val="nil"/>
                    <w:tr2bl w:val="nil"/>
                  </w:tcBorders>
                  <w:vAlign w:val="center"/>
                </w:tcPr>
                <w:p w14:paraId="3FE56AF6">
                  <w:pPr>
                    <w:jc w:val="center"/>
                    <w:rPr>
                      <w:color w:val="auto"/>
                      <w:szCs w:val="21"/>
                    </w:rPr>
                  </w:pPr>
                  <w:r>
                    <w:rPr>
                      <w:color w:val="auto"/>
                      <w:szCs w:val="21"/>
                    </w:rPr>
                    <w:t>＜10</w:t>
                  </w:r>
                </w:p>
              </w:tc>
            </w:tr>
            <w:tr w14:paraId="2EDE47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7DF574D2">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4C8F85DD">
                  <w:pPr>
                    <w:jc w:val="center"/>
                    <w:rPr>
                      <w:color w:val="auto"/>
                      <w:szCs w:val="21"/>
                    </w:rPr>
                  </w:pPr>
                </w:p>
              </w:tc>
              <w:tc>
                <w:tcPr>
                  <w:tcW w:w="1583" w:type="dxa"/>
                  <w:tcBorders>
                    <w:tl2br w:val="nil"/>
                    <w:tr2bl w:val="nil"/>
                  </w:tcBorders>
                  <w:vAlign w:val="center"/>
                </w:tcPr>
                <w:p w14:paraId="390F4694">
                  <w:pPr>
                    <w:jc w:val="center"/>
                    <w:rPr>
                      <w:color w:val="auto"/>
                      <w:szCs w:val="21"/>
                    </w:rPr>
                  </w:pPr>
                  <w:r>
                    <w:rPr>
                      <w:color w:val="auto"/>
                      <w:szCs w:val="21"/>
                    </w:rPr>
                    <w:t>20:00~21:00</w:t>
                  </w:r>
                </w:p>
              </w:tc>
              <w:tc>
                <w:tcPr>
                  <w:tcW w:w="797" w:type="dxa"/>
                  <w:tcBorders>
                    <w:tl2br w:val="nil"/>
                    <w:tr2bl w:val="nil"/>
                  </w:tcBorders>
                  <w:vAlign w:val="center"/>
                </w:tcPr>
                <w:p w14:paraId="1A1366B2">
                  <w:pPr>
                    <w:jc w:val="center"/>
                    <w:rPr>
                      <w:color w:val="auto"/>
                      <w:szCs w:val="21"/>
                    </w:rPr>
                  </w:pPr>
                  <w:r>
                    <w:rPr>
                      <w:color w:val="auto"/>
                      <w:szCs w:val="21"/>
                    </w:rPr>
                    <w:t>60</w:t>
                  </w:r>
                </w:p>
              </w:tc>
              <w:tc>
                <w:tcPr>
                  <w:tcW w:w="959" w:type="dxa"/>
                  <w:tcBorders>
                    <w:tl2br w:val="nil"/>
                    <w:tr2bl w:val="nil"/>
                  </w:tcBorders>
                  <w:vAlign w:val="center"/>
                </w:tcPr>
                <w:p w14:paraId="755786B7">
                  <w:pPr>
                    <w:jc w:val="center"/>
                    <w:rPr>
                      <w:color w:val="auto"/>
                      <w:szCs w:val="21"/>
                    </w:rPr>
                  </w:pPr>
                  <w:r>
                    <w:rPr>
                      <w:color w:val="auto"/>
                      <w:szCs w:val="21"/>
                    </w:rPr>
                    <w:t>4</w:t>
                  </w:r>
                </w:p>
              </w:tc>
              <w:tc>
                <w:tcPr>
                  <w:tcW w:w="1961" w:type="dxa"/>
                  <w:tcBorders>
                    <w:tl2br w:val="nil"/>
                    <w:tr2bl w:val="nil"/>
                  </w:tcBorders>
                  <w:vAlign w:val="center"/>
                </w:tcPr>
                <w:p w14:paraId="39D80255">
                  <w:pPr>
                    <w:jc w:val="center"/>
                    <w:rPr>
                      <w:color w:val="auto"/>
                      <w:szCs w:val="21"/>
                    </w:rPr>
                  </w:pPr>
                  <w:r>
                    <w:rPr>
                      <w:color w:val="auto"/>
                      <w:szCs w:val="21"/>
                    </w:rPr>
                    <w:t>＜10</w:t>
                  </w:r>
                </w:p>
              </w:tc>
            </w:tr>
            <w:tr w14:paraId="33C43B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2067048E">
                  <w:pPr>
                    <w:pStyle w:val="68"/>
                    <w:spacing w:line="240" w:lineRule="auto"/>
                    <w:ind w:firstLine="0" w:firstLineChars="0"/>
                    <w:jc w:val="center"/>
                    <w:rPr>
                      <w:color w:val="auto"/>
                      <w:sz w:val="21"/>
                      <w:szCs w:val="21"/>
                    </w:rPr>
                  </w:pPr>
                </w:p>
              </w:tc>
              <w:tc>
                <w:tcPr>
                  <w:tcW w:w="1409" w:type="dxa"/>
                  <w:vMerge w:val="restart"/>
                  <w:tcBorders>
                    <w:tl2br w:val="nil"/>
                    <w:tr2bl w:val="nil"/>
                  </w:tcBorders>
                  <w:vAlign w:val="center"/>
                </w:tcPr>
                <w:p w14:paraId="2B267AE7">
                  <w:pPr>
                    <w:jc w:val="center"/>
                    <w:rPr>
                      <w:color w:val="auto"/>
                      <w:szCs w:val="21"/>
                    </w:rPr>
                  </w:pPr>
                  <w:r>
                    <w:rPr>
                      <w:color w:val="auto"/>
                      <w:szCs w:val="21"/>
                    </w:rPr>
                    <w:t>2024.06.25</w:t>
                  </w:r>
                </w:p>
              </w:tc>
              <w:tc>
                <w:tcPr>
                  <w:tcW w:w="1583" w:type="dxa"/>
                  <w:tcBorders>
                    <w:tl2br w:val="nil"/>
                    <w:tr2bl w:val="nil"/>
                  </w:tcBorders>
                  <w:vAlign w:val="center"/>
                </w:tcPr>
                <w:p w14:paraId="7E45B60C">
                  <w:pPr>
                    <w:jc w:val="center"/>
                    <w:rPr>
                      <w:color w:val="auto"/>
                      <w:szCs w:val="21"/>
                    </w:rPr>
                  </w:pPr>
                  <w:r>
                    <w:rPr>
                      <w:color w:val="auto"/>
                      <w:szCs w:val="21"/>
                    </w:rPr>
                    <w:t>02:00~03:00</w:t>
                  </w:r>
                </w:p>
              </w:tc>
              <w:tc>
                <w:tcPr>
                  <w:tcW w:w="797" w:type="dxa"/>
                  <w:tcBorders>
                    <w:tl2br w:val="nil"/>
                    <w:tr2bl w:val="nil"/>
                  </w:tcBorders>
                  <w:vAlign w:val="center"/>
                </w:tcPr>
                <w:p w14:paraId="5365EB29">
                  <w:pPr>
                    <w:jc w:val="center"/>
                    <w:rPr>
                      <w:color w:val="auto"/>
                      <w:szCs w:val="21"/>
                    </w:rPr>
                  </w:pPr>
                  <w:r>
                    <w:rPr>
                      <w:color w:val="auto"/>
                      <w:szCs w:val="21"/>
                    </w:rPr>
                    <w:t>40</w:t>
                  </w:r>
                </w:p>
              </w:tc>
              <w:tc>
                <w:tcPr>
                  <w:tcW w:w="959" w:type="dxa"/>
                  <w:tcBorders>
                    <w:tl2br w:val="nil"/>
                    <w:tr2bl w:val="nil"/>
                  </w:tcBorders>
                  <w:vAlign w:val="center"/>
                </w:tcPr>
                <w:p w14:paraId="07FB6707">
                  <w:pPr>
                    <w:jc w:val="center"/>
                    <w:rPr>
                      <w:color w:val="auto"/>
                      <w:szCs w:val="21"/>
                    </w:rPr>
                  </w:pPr>
                  <w:r>
                    <w:rPr>
                      <w:color w:val="auto"/>
                      <w:szCs w:val="21"/>
                    </w:rPr>
                    <w:t>3</w:t>
                  </w:r>
                </w:p>
              </w:tc>
              <w:tc>
                <w:tcPr>
                  <w:tcW w:w="1961" w:type="dxa"/>
                  <w:tcBorders>
                    <w:tl2br w:val="nil"/>
                    <w:tr2bl w:val="nil"/>
                  </w:tcBorders>
                  <w:vAlign w:val="center"/>
                </w:tcPr>
                <w:p w14:paraId="52AC36EE">
                  <w:pPr>
                    <w:jc w:val="center"/>
                    <w:rPr>
                      <w:color w:val="auto"/>
                      <w:szCs w:val="21"/>
                    </w:rPr>
                  </w:pPr>
                  <w:r>
                    <w:rPr>
                      <w:color w:val="auto"/>
                      <w:szCs w:val="21"/>
                    </w:rPr>
                    <w:t>＜10</w:t>
                  </w:r>
                </w:p>
              </w:tc>
            </w:tr>
            <w:tr w14:paraId="620DC4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A3BC96B">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32AACAF0">
                  <w:pPr>
                    <w:jc w:val="center"/>
                    <w:rPr>
                      <w:color w:val="auto"/>
                      <w:szCs w:val="21"/>
                    </w:rPr>
                  </w:pPr>
                </w:p>
              </w:tc>
              <w:tc>
                <w:tcPr>
                  <w:tcW w:w="1583" w:type="dxa"/>
                  <w:tcBorders>
                    <w:tl2br w:val="nil"/>
                    <w:tr2bl w:val="nil"/>
                  </w:tcBorders>
                  <w:vAlign w:val="center"/>
                </w:tcPr>
                <w:p w14:paraId="5D383473">
                  <w:pPr>
                    <w:jc w:val="center"/>
                    <w:rPr>
                      <w:color w:val="auto"/>
                      <w:szCs w:val="21"/>
                    </w:rPr>
                  </w:pPr>
                  <w:r>
                    <w:rPr>
                      <w:color w:val="auto"/>
                      <w:szCs w:val="21"/>
                    </w:rPr>
                    <w:t>08:00~09:00</w:t>
                  </w:r>
                </w:p>
              </w:tc>
              <w:tc>
                <w:tcPr>
                  <w:tcW w:w="797" w:type="dxa"/>
                  <w:tcBorders>
                    <w:tl2br w:val="nil"/>
                    <w:tr2bl w:val="nil"/>
                  </w:tcBorders>
                  <w:vAlign w:val="center"/>
                </w:tcPr>
                <w:p w14:paraId="504102C2">
                  <w:pPr>
                    <w:jc w:val="center"/>
                    <w:rPr>
                      <w:color w:val="auto"/>
                      <w:szCs w:val="21"/>
                    </w:rPr>
                  </w:pPr>
                  <w:r>
                    <w:rPr>
                      <w:color w:val="auto"/>
                      <w:szCs w:val="21"/>
                    </w:rPr>
                    <w:t>80</w:t>
                  </w:r>
                </w:p>
              </w:tc>
              <w:tc>
                <w:tcPr>
                  <w:tcW w:w="959" w:type="dxa"/>
                  <w:tcBorders>
                    <w:tl2br w:val="nil"/>
                    <w:tr2bl w:val="nil"/>
                  </w:tcBorders>
                  <w:vAlign w:val="center"/>
                </w:tcPr>
                <w:p w14:paraId="6913A44A">
                  <w:pPr>
                    <w:jc w:val="center"/>
                    <w:rPr>
                      <w:color w:val="auto"/>
                      <w:szCs w:val="21"/>
                    </w:rPr>
                  </w:pPr>
                  <w:r>
                    <w:rPr>
                      <w:color w:val="auto"/>
                      <w:szCs w:val="21"/>
                    </w:rPr>
                    <w:t>3</w:t>
                  </w:r>
                </w:p>
              </w:tc>
              <w:tc>
                <w:tcPr>
                  <w:tcW w:w="1961" w:type="dxa"/>
                  <w:tcBorders>
                    <w:tl2br w:val="nil"/>
                    <w:tr2bl w:val="nil"/>
                  </w:tcBorders>
                  <w:vAlign w:val="center"/>
                </w:tcPr>
                <w:p w14:paraId="3192A697">
                  <w:pPr>
                    <w:jc w:val="center"/>
                    <w:rPr>
                      <w:color w:val="auto"/>
                      <w:szCs w:val="21"/>
                    </w:rPr>
                  </w:pPr>
                  <w:r>
                    <w:rPr>
                      <w:color w:val="auto"/>
                      <w:szCs w:val="21"/>
                    </w:rPr>
                    <w:t>＜10</w:t>
                  </w:r>
                </w:p>
              </w:tc>
            </w:tr>
            <w:tr w14:paraId="4A8311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45354DB5">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28F2F6DE">
                  <w:pPr>
                    <w:jc w:val="center"/>
                    <w:rPr>
                      <w:color w:val="auto"/>
                      <w:szCs w:val="21"/>
                    </w:rPr>
                  </w:pPr>
                </w:p>
              </w:tc>
              <w:tc>
                <w:tcPr>
                  <w:tcW w:w="1583" w:type="dxa"/>
                  <w:tcBorders>
                    <w:tl2br w:val="nil"/>
                    <w:tr2bl w:val="nil"/>
                  </w:tcBorders>
                  <w:vAlign w:val="center"/>
                </w:tcPr>
                <w:p w14:paraId="0BF55B86">
                  <w:pPr>
                    <w:jc w:val="center"/>
                    <w:rPr>
                      <w:color w:val="auto"/>
                      <w:szCs w:val="21"/>
                    </w:rPr>
                  </w:pPr>
                  <w:r>
                    <w:rPr>
                      <w:color w:val="auto"/>
                      <w:szCs w:val="21"/>
                    </w:rPr>
                    <w:t>14:00~15:00</w:t>
                  </w:r>
                </w:p>
              </w:tc>
              <w:tc>
                <w:tcPr>
                  <w:tcW w:w="797" w:type="dxa"/>
                  <w:tcBorders>
                    <w:tl2br w:val="nil"/>
                    <w:tr2bl w:val="nil"/>
                  </w:tcBorders>
                  <w:vAlign w:val="center"/>
                </w:tcPr>
                <w:p w14:paraId="5EC4D1FC">
                  <w:pPr>
                    <w:jc w:val="center"/>
                    <w:rPr>
                      <w:color w:val="auto"/>
                      <w:szCs w:val="21"/>
                    </w:rPr>
                  </w:pPr>
                  <w:r>
                    <w:rPr>
                      <w:color w:val="auto"/>
                      <w:szCs w:val="21"/>
                    </w:rPr>
                    <w:t>70</w:t>
                  </w:r>
                </w:p>
              </w:tc>
              <w:tc>
                <w:tcPr>
                  <w:tcW w:w="959" w:type="dxa"/>
                  <w:tcBorders>
                    <w:tl2br w:val="nil"/>
                    <w:tr2bl w:val="nil"/>
                  </w:tcBorders>
                  <w:vAlign w:val="center"/>
                </w:tcPr>
                <w:p w14:paraId="3FB89420">
                  <w:pPr>
                    <w:jc w:val="center"/>
                    <w:rPr>
                      <w:color w:val="auto"/>
                      <w:szCs w:val="21"/>
                    </w:rPr>
                  </w:pPr>
                  <w:r>
                    <w:rPr>
                      <w:color w:val="auto"/>
                      <w:szCs w:val="21"/>
                    </w:rPr>
                    <w:t>4</w:t>
                  </w:r>
                </w:p>
              </w:tc>
              <w:tc>
                <w:tcPr>
                  <w:tcW w:w="1961" w:type="dxa"/>
                  <w:tcBorders>
                    <w:tl2br w:val="nil"/>
                    <w:tr2bl w:val="nil"/>
                  </w:tcBorders>
                  <w:vAlign w:val="center"/>
                </w:tcPr>
                <w:p w14:paraId="271778D3">
                  <w:pPr>
                    <w:jc w:val="center"/>
                    <w:rPr>
                      <w:color w:val="auto"/>
                      <w:szCs w:val="21"/>
                    </w:rPr>
                  </w:pPr>
                  <w:r>
                    <w:rPr>
                      <w:color w:val="auto"/>
                      <w:szCs w:val="21"/>
                    </w:rPr>
                    <w:t>＜10</w:t>
                  </w:r>
                </w:p>
              </w:tc>
            </w:tr>
            <w:tr w14:paraId="5A8384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213F01E5">
                  <w:pPr>
                    <w:pStyle w:val="68"/>
                    <w:spacing w:line="240" w:lineRule="auto"/>
                    <w:ind w:firstLine="0" w:firstLineChars="0"/>
                    <w:jc w:val="center"/>
                    <w:rPr>
                      <w:color w:val="auto"/>
                      <w:sz w:val="21"/>
                      <w:szCs w:val="21"/>
                    </w:rPr>
                  </w:pPr>
                </w:p>
              </w:tc>
              <w:tc>
                <w:tcPr>
                  <w:tcW w:w="1409" w:type="dxa"/>
                  <w:vMerge w:val="continue"/>
                  <w:tcBorders>
                    <w:tl2br w:val="nil"/>
                    <w:tr2bl w:val="nil"/>
                  </w:tcBorders>
                  <w:vAlign w:val="center"/>
                </w:tcPr>
                <w:p w14:paraId="09387C7F">
                  <w:pPr>
                    <w:jc w:val="center"/>
                    <w:rPr>
                      <w:color w:val="auto"/>
                      <w:szCs w:val="21"/>
                    </w:rPr>
                  </w:pPr>
                </w:p>
              </w:tc>
              <w:tc>
                <w:tcPr>
                  <w:tcW w:w="1583" w:type="dxa"/>
                  <w:tcBorders>
                    <w:tl2br w:val="nil"/>
                    <w:tr2bl w:val="nil"/>
                  </w:tcBorders>
                  <w:vAlign w:val="center"/>
                </w:tcPr>
                <w:p w14:paraId="570CC07E">
                  <w:pPr>
                    <w:jc w:val="center"/>
                    <w:rPr>
                      <w:color w:val="auto"/>
                      <w:szCs w:val="21"/>
                    </w:rPr>
                  </w:pPr>
                  <w:r>
                    <w:rPr>
                      <w:color w:val="auto"/>
                      <w:szCs w:val="21"/>
                    </w:rPr>
                    <w:t>20:00~21:00</w:t>
                  </w:r>
                </w:p>
              </w:tc>
              <w:tc>
                <w:tcPr>
                  <w:tcW w:w="797" w:type="dxa"/>
                  <w:tcBorders>
                    <w:tl2br w:val="nil"/>
                    <w:tr2bl w:val="nil"/>
                  </w:tcBorders>
                  <w:vAlign w:val="center"/>
                </w:tcPr>
                <w:p w14:paraId="1F418FFF">
                  <w:pPr>
                    <w:jc w:val="center"/>
                    <w:rPr>
                      <w:color w:val="auto"/>
                      <w:szCs w:val="21"/>
                    </w:rPr>
                  </w:pPr>
                  <w:r>
                    <w:rPr>
                      <w:color w:val="auto"/>
                      <w:szCs w:val="21"/>
                    </w:rPr>
                    <w:t>50</w:t>
                  </w:r>
                </w:p>
              </w:tc>
              <w:tc>
                <w:tcPr>
                  <w:tcW w:w="959" w:type="dxa"/>
                  <w:tcBorders>
                    <w:tl2br w:val="nil"/>
                    <w:tr2bl w:val="nil"/>
                  </w:tcBorders>
                  <w:vAlign w:val="center"/>
                </w:tcPr>
                <w:p w14:paraId="313DE488">
                  <w:pPr>
                    <w:jc w:val="center"/>
                    <w:rPr>
                      <w:color w:val="auto"/>
                      <w:szCs w:val="21"/>
                    </w:rPr>
                  </w:pPr>
                  <w:r>
                    <w:rPr>
                      <w:color w:val="auto"/>
                      <w:szCs w:val="21"/>
                    </w:rPr>
                    <w:t>3</w:t>
                  </w:r>
                </w:p>
              </w:tc>
              <w:tc>
                <w:tcPr>
                  <w:tcW w:w="1961" w:type="dxa"/>
                  <w:tcBorders>
                    <w:tl2br w:val="nil"/>
                    <w:tr2bl w:val="nil"/>
                  </w:tcBorders>
                  <w:vAlign w:val="center"/>
                </w:tcPr>
                <w:p w14:paraId="2E750668">
                  <w:pPr>
                    <w:jc w:val="center"/>
                    <w:rPr>
                      <w:color w:val="auto"/>
                      <w:szCs w:val="21"/>
                    </w:rPr>
                  </w:pPr>
                  <w:r>
                    <w:rPr>
                      <w:color w:val="auto"/>
                      <w:szCs w:val="21"/>
                    </w:rPr>
                    <w:t>＜10</w:t>
                  </w:r>
                </w:p>
              </w:tc>
            </w:tr>
            <w:tr w14:paraId="24F62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028B393F">
                  <w:pPr>
                    <w:pStyle w:val="68"/>
                    <w:spacing w:line="240" w:lineRule="auto"/>
                    <w:ind w:firstLine="0" w:firstLineChars="0"/>
                    <w:jc w:val="center"/>
                    <w:rPr>
                      <w:color w:val="auto"/>
                      <w:sz w:val="21"/>
                      <w:szCs w:val="21"/>
                    </w:rPr>
                  </w:pPr>
                </w:p>
              </w:tc>
              <w:tc>
                <w:tcPr>
                  <w:tcW w:w="2992" w:type="dxa"/>
                  <w:gridSpan w:val="2"/>
                  <w:tcBorders>
                    <w:tl2br w:val="nil"/>
                    <w:tr2bl w:val="nil"/>
                  </w:tcBorders>
                  <w:vAlign w:val="center"/>
                </w:tcPr>
                <w:p w14:paraId="321FC7E8">
                  <w:pPr>
                    <w:pStyle w:val="68"/>
                    <w:spacing w:line="240" w:lineRule="auto"/>
                    <w:ind w:firstLine="0" w:firstLineChars="0"/>
                    <w:jc w:val="center"/>
                    <w:rPr>
                      <w:color w:val="auto"/>
                      <w:sz w:val="21"/>
                      <w:szCs w:val="21"/>
                    </w:rPr>
                  </w:pPr>
                  <w:r>
                    <w:rPr>
                      <w:color w:val="auto"/>
                      <w:sz w:val="21"/>
                      <w:szCs w:val="21"/>
                    </w:rPr>
                    <w:t>参考标准限值</w:t>
                  </w:r>
                </w:p>
              </w:tc>
              <w:tc>
                <w:tcPr>
                  <w:tcW w:w="797" w:type="dxa"/>
                  <w:tcBorders>
                    <w:tl2br w:val="nil"/>
                    <w:tr2bl w:val="nil"/>
                  </w:tcBorders>
                  <w:vAlign w:val="center"/>
                </w:tcPr>
                <w:p w14:paraId="0844D499">
                  <w:pPr>
                    <w:jc w:val="center"/>
                    <w:rPr>
                      <w:color w:val="auto"/>
                      <w:szCs w:val="21"/>
                    </w:rPr>
                  </w:pPr>
                  <w:r>
                    <w:rPr>
                      <w:color w:val="auto"/>
                      <w:szCs w:val="21"/>
                    </w:rPr>
                    <w:t>200</w:t>
                  </w:r>
                </w:p>
              </w:tc>
              <w:tc>
                <w:tcPr>
                  <w:tcW w:w="959" w:type="dxa"/>
                  <w:tcBorders>
                    <w:tl2br w:val="nil"/>
                    <w:tr2bl w:val="nil"/>
                  </w:tcBorders>
                  <w:vAlign w:val="center"/>
                </w:tcPr>
                <w:p w14:paraId="539C965F">
                  <w:pPr>
                    <w:jc w:val="center"/>
                    <w:rPr>
                      <w:color w:val="auto"/>
                      <w:szCs w:val="21"/>
                    </w:rPr>
                  </w:pPr>
                  <w:r>
                    <w:rPr>
                      <w:color w:val="auto"/>
                      <w:szCs w:val="21"/>
                    </w:rPr>
                    <w:t>10</w:t>
                  </w:r>
                </w:p>
              </w:tc>
              <w:tc>
                <w:tcPr>
                  <w:tcW w:w="1961" w:type="dxa"/>
                  <w:tcBorders>
                    <w:tl2br w:val="nil"/>
                    <w:tr2bl w:val="nil"/>
                  </w:tcBorders>
                  <w:vAlign w:val="center"/>
                </w:tcPr>
                <w:p w14:paraId="39419B78">
                  <w:pPr>
                    <w:pStyle w:val="68"/>
                    <w:spacing w:line="240" w:lineRule="auto"/>
                    <w:ind w:firstLine="0" w:firstLineChars="0"/>
                    <w:jc w:val="center"/>
                    <w:rPr>
                      <w:color w:val="auto"/>
                      <w:sz w:val="21"/>
                      <w:szCs w:val="21"/>
                    </w:rPr>
                  </w:pPr>
                  <w:r>
                    <w:rPr>
                      <w:color w:val="auto"/>
                      <w:sz w:val="21"/>
                      <w:szCs w:val="21"/>
                    </w:rPr>
                    <w:t>/</w:t>
                  </w:r>
                </w:p>
              </w:tc>
            </w:tr>
            <w:tr w14:paraId="5F7E8E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151" w:type="dxa"/>
                  <w:vMerge w:val="continue"/>
                  <w:tcBorders>
                    <w:tl2br w:val="nil"/>
                    <w:tr2bl w:val="nil"/>
                  </w:tcBorders>
                  <w:vAlign w:val="center"/>
                </w:tcPr>
                <w:p w14:paraId="121FC527">
                  <w:pPr>
                    <w:pStyle w:val="68"/>
                    <w:spacing w:line="240" w:lineRule="auto"/>
                    <w:ind w:firstLine="0" w:firstLineChars="0"/>
                    <w:jc w:val="center"/>
                    <w:rPr>
                      <w:color w:val="auto"/>
                      <w:sz w:val="21"/>
                      <w:szCs w:val="21"/>
                    </w:rPr>
                  </w:pPr>
                </w:p>
              </w:tc>
              <w:tc>
                <w:tcPr>
                  <w:tcW w:w="6709" w:type="dxa"/>
                  <w:gridSpan w:val="5"/>
                  <w:tcBorders>
                    <w:tl2br w:val="nil"/>
                    <w:tr2bl w:val="nil"/>
                  </w:tcBorders>
                  <w:vAlign w:val="center"/>
                </w:tcPr>
                <w:p w14:paraId="67DB349E">
                  <w:pPr>
                    <w:pStyle w:val="68"/>
                    <w:spacing w:line="240" w:lineRule="auto"/>
                    <w:ind w:firstLine="0" w:firstLineChars="0"/>
                    <w:jc w:val="center"/>
                    <w:rPr>
                      <w:color w:val="auto"/>
                      <w:sz w:val="21"/>
                      <w:szCs w:val="21"/>
                    </w:rPr>
                  </w:pPr>
                  <w:r>
                    <w:rPr>
                      <w:color w:val="auto"/>
                      <w:sz w:val="21"/>
                      <w:szCs w:val="21"/>
                    </w:rPr>
                    <w:t>注：标准限值来源：《环境影响评价技术导则-大气环境》（HJ2.2-2018）中附录D，表D.1标准值</w:t>
                  </w:r>
                </w:p>
              </w:tc>
            </w:tr>
          </w:tbl>
          <w:p w14:paraId="15233871">
            <w:pPr>
              <w:pStyle w:val="68"/>
              <w:spacing w:line="360" w:lineRule="auto"/>
              <w:ind w:firstLine="480"/>
              <w:rPr>
                <w:color w:val="auto"/>
              </w:rPr>
            </w:pPr>
            <w:r>
              <w:rPr>
                <w:color w:val="auto"/>
                <w:sz w:val="24"/>
              </w:rPr>
              <w:t>由表3-2和表3-3的结果可知，项目所在地周边TSP因子监测结果符合《环境空气质量标准》（GB3095-2012）二级标准要求，</w:t>
            </w:r>
            <w:r>
              <w:rPr>
                <w:color w:val="auto"/>
                <w:sz w:val="24"/>
                <w:szCs w:val="24"/>
              </w:rPr>
              <w:t>臭气浓度、硫化氢、氨</w:t>
            </w:r>
            <w:r>
              <w:rPr>
                <w:color w:val="auto"/>
                <w:sz w:val="24"/>
              </w:rPr>
              <w:t>因子监测结果符合《环境影响评价技术导则-大气环境》（HJ2.2-2018）中附录D，表D.1标准值要求。</w:t>
            </w:r>
          </w:p>
          <w:p w14:paraId="0338F3B6">
            <w:pPr>
              <w:widowControl/>
              <w:adjustRightInd w:val="0"/>
              <w:spacing w:line="360" w:lineRule="auto"/>
              <w:rPr>
                <w:rFonts w:hint="eastAsia" w:ascii="宋体" w:hAnsi="宋体" w:cs="宋体"/>
                <w:b/>
                <w:bCs/>
                <w:color w:val="auto"/>
                <w:sz w:val="24"/>
              </w:rPr>
            </w:pPr>
            <w:r>
              <w:rPr>
                <w:rFonts w:hint="eastAsia" w:ascii="宋体" w:hAnsi="宋体" w:cs="宋体"/>
                <w:b/>
                <w:bCs/>
                <w:color w:val="auto"/>
                <w:sz w:val="24"/>
              </w:rPr>
              <w:t>3、</w:t>
            </w:r>
            <w:r>
              <w:rPr>
                <w:rFonts w:ascii="宋体" w:hAnsi="宋体" w:cs="宋体"/>
                <w:b/>
                <w:bCs/>
                <w:color w:val="auto"/>
                <w:sz w:val="24"/>
              </w:rPr>
              <w:t>地表水环境质量现状</w:t>
            </w:r>
          </w:p>
          <w:p w14:paraId="3AEA4A7C">
            <w:pPr>
              <w:spacing w:line="360" w:lineRule="auto"/>
              <w:ind w:firstLine="480" w:firstLineChars="200"/>
              <w:rPr>
                <w:color w:val="auto"/>
                <w:sz w:val="24"/>
              </w:rPr>
            </w:pPr>
            <w:r>
              <w:rPr>
                <w:color w:val="auto"/>
                <w:sz w:val="24"/>
              </w:rPr>
              <w:t>为了解本项目所在</w:t>
            </w:r>
            <w:r>
              <w:rPr>
                <w:rFonts w:hint="eastAsia"/>
                <w:color w:val="auto"/>
                <w:sz w:val="24"/>
              </w:rPr>
              <w:t>北侧采桑湖、项目区域内池塘</w:t>
            </w:r>
            <w:r>
              <w:rPr>
                <w:color w:val="auto"/>
                <w:sz w:val="24"/>
              </w:rPr>
              <w:t>地表水环境质量现状，</w:t>
            </w:r>
            <w:r>
              <w:rPr>
                <w:rFonts w:hint="eastAsia"/>
                <w:color w:val="auto"/>
                <w:sz w:val="24"/>
              </w:rPr>
              <w:t>本次环评将引用现有采桑湖项目，并对区域内池塘开展地表水质量监测。</w:t>
            </w:r>
          </w:p>
          <w:p w14:paraId="493847D2">
            <w:pPr>
              <w:spacing w:line="360" w:lineRule="auto"/>
              <w:ind w:firstLine="482" w:firstLineChars="200"/>
              <w:rPr>
                <w:b/>
                <w:bCs/>
                <w:color w:val="auto"/>
                <w:sz w:val="24"/>
              </w:rPr>
            </w:pPr>
            <w:r>
              <w:rPr>
                <w:b/>
                <w:bCs/>
                <w:color w:val="auto"/>
                <w:sz w:val="24"/>
              </w:rPr>
              <w:t>3.1</w:t>
            </w:r>
            <w:r>
              <w:rPr>
                <w:rFonts w:hint="eastAsia"/>
                <w:b/>
                <w:bCs/>
                <w:color w:val="auto"/>
                <w:sz w:val="24"/>
              </w:rPr>
              <w:t>、</w:t>
            </w:r>
            <w:r>
              <w:rPr>
                <w:b/>
                <w:bCs/>
                <w:color w:val="auto"/>
                <w:sz w:val="24"/>
              </w:rPr>
              <w:t>项目地北侧采桑湖地表水监测</w:t>
            </w:r>
          </w:p>
          <w:p w14:paraId="0F282CCB">
            <w:pPr>
              <w:spacing w:line="360" w:lineRule="auto"/>
              <w:ind w:firstLine="480" w:firstLineChars="200"/>
              <w:rPr>
                <w:color w:val="auto"/>
                <w:sz w:val="24"/>
              </w:rPr>
            </w:pPr>
            <w:r>
              <w:rPr>
                <w:color w:val="auto"/>
                <w:sz w:val="24"/>
              </w:rPr>
              <w:t>本评价引用《洞庭湖流域采桑湖片区水环境综合治理项目》2024年6月19日~2024年6月21日对采桑湖地表水的监测数据，监测单位为：湖南昌旭环保科技有限公司，该项目监测点位于本项目北侧2000m左右。监测情况及结果如下所示：</w:t>
            </w:r>
          </w:p>
          <w:p w14:paraId="134B11A2">
            <w:pPr>
              <w:jc w:val="center"/>
              <w:rPr>
                <w:b/>
                <w:bCs/>
                <w:color w:val="auto"/>
                <w:szCs w:val="21"/>
              </w:rPr>
            </w:pPr>
            <w:r>
              <w:rPr>
                <w:b/>
                <w:bCs/>
                <w:color w:val="auto"/>
                <w:szCs w:val="21"/>
              </w:rPr>
              <w:t>表3-</w:t>
            </w:r>
            <w:r>
              <w:rPr>
                <w:rFonts w:hint="eastAsia"/>
                <w:b/>
                <w:bCs/>
                <w:color w:val="auto"/>
                <w:szCs w:val="21"/>
                <w:lang w:val="en-US" w:eastAsia="zh-CN"/>
              </w:rPr>
              <w:t>6</w:t>
            </w:r>
            <w:r>
              <w:rPr>
                <w:b/>
                <w:bCs/>
                <w:color w:val="auto"/>
                <w:szCs w:val="21"/>
              </w:rPr>
              <w:t xml:space="preserve">   采桑湖地表水监测数据单位mg/L</w:t>
            </w:r>
          </w:p>
          <w:tbl>
            <w:tblPr>
              <w:tblStyle w:val="28"/>
              <w:tblW w:w="786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87"/>
              <w:gridCol w:w="1085"/>
              <w:gridCol w:w="1252"/>
              <w:gridCol w:w="1252"/>
              <w:gridCol w:w="1252"/>
              <w:gridCol w:w="1076"/>
              <w:gridCol w:w="959"/>
            </w:tblGrid>
            <w:tr w14:paraId="1A83ED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restart"/>
                  <w:tcBorders>
                    <w:tl2br w:val="nil"/>
                    <w:tr2bl w:val="nil"/>
                  </w:tcBorders>
                  <w:vAlign w:val="center"/>
                </w:tcPr>
                <w:p w14:paraId="41F03BEF">
                  <w:pPr>
                    <w:jc w:val="center"/>
                    <w:rPr>
                      <w:b/>
                      <w:bCs/>
                      <w:color w:val="auto"/>
                      <w:szCs w:val="21"/>
                    </w:rPr>
                  </w:pPr>
                  <w:r>
                    <w:rPr>
                      <w:b/>
                      <w:bCs/>
                      <w:color w:val="auto"/>
                      <w:szCs w:val="21"/>
                    </w:rPr>
                    <w:t>点位名称</w:t>
                  </w:r>
                </w:p>
              </w:tc>
              <w:tc>
                <w:tcPr>
                  <w:tcW w:w="1085" w:type="dxa"/>
                  <w:vMerge w:val="restart"/>
                  <w:tcBorders>
                    <w:tl2br w:val="nil"/>
                    <w:tr2bl w:val="nil"/>
                  </w:tcBorders>
                  <w:vAlign w:val="center"/>
                </w:tcPr>
                <w:p w14:paraId="38380FA0">
                  <w:pPr>
                    <w:jc w:val="center"/>
                    <w:rPr>
                      <w:b/>
                      <w:bCs/>
                      <w:color w:val="auto"/>
                      <w:szCs w:val="21"/>
                    </w:rPr>
                  </w:pPr>
                  <w:r>
                    <w:rPr>
                      <w:b/>
                      <w:bCs/>
                      <w:color w:val="auto"/>
                      <w:szCs w:val="21"/>
                    </w:rPr>
                    <w:t>检测项目</w:t>
                  </w:r>
                </w:p>
              </w:tc>
              <w:tc>
                <w:tcPr>
                  <w:tcW w:w="3756" w:type="dxa"/>
                  <w:gridSpan w:val="3"/>
                  <w:tcBorders>
                    <w:tl2br w:val="nil"/>
                    <w:tr2bl w:val="nil"/>
                  </w:tcBorders>
                  <w:vAlign w:val="center"/>
                </w:tcPr>
                <w:p w14:paraId="59BC31C2">
                  <w:pPr>
                    <w:jc w:val="center"/>
                    <w:rPr>
                      <w:b/>
                      <w:bCs/>
                      <w:color w:val="auto"/>
                      <w:szCs w:val="21"/>
                    </w:rPr>
                  </w:pPr>
                  <w:r>
                    <w:rPr>
                      <w:b/>
                      <w:bCs/>
                      <w:color w:val="auto"/>
                      <w:szCs w:val="21"/>
                    </w:rPr>
                    <w:t>检测结果</w:t>
                  </w:r>
                </w:p>
              </w:tc>
              <w:tc>
                <w:tcPr>
                  <w:tcW w:w="1076" w:type="dxa"/>
                  <w:vMerge w:val="restart"/>
                  <w:tcBorders>
                    <w:tl2br w:val="nil"/>
                    <w:tr2bl w:val="nil"/>
                  </w:tcBorders>
                  <w:vAlign w:val="center"/>
                </w:tcPr>
                <w:p w14:paraId="23CDC801">
                  <w:pPr>
                    <w:pStyle w:val="12"/>
                    <w:jc w:val="center"/>
                    <w:textAlignment w:val="auto"/>
                    <w:rPr>
                      <w:rFonts w:ascii="Times New Roman" w:hAnsi="Times New Roman"/>
                      <w:b/>
                      <w:bCs/>
                      <w:color w:val="auto"/>
                      <w:sz w:val="21"/>
                      <w:szCs w:val="21"/>
                    </w:rPr>
                  </w:pPr>
                  <w:r>
                    <w:rPr>
                      <w:rFonts w:ascii="Times New Roman" w:hAnsi="Times New Roman"/>
                      <w:b/>
                      <w:bCs/>
                      <w:color w:val="auto"/>
                      <w:sz w:val="21"/>
                      <w:szCs w:val="21"/>
                    </w:rPr>
                    <w:t>Ⅲ类标准值</w:t>
                  </w:r>
                </w:p>
              </w:tc>
              <w:tc>
                <w:tcPr>
                  <w:tcW w:w="959" w:type="dxa"/>
                  <w:vMerge w:val="restart"/>
                  <w:tcBorders>
                    <w:tl2br w:val="nil"/>
                    <w:tr2bl w:val="nil"/>
                  </w:tcBorders>
                  <w:vAlign w:val="center"/>
                </w:tcPr>
                <w:p w14:paraId="287E90C0">
                  <w:pPr>
                    <w:pStyle w:val="12"/>
                    <w:jc w:val="center"/>
                    <w:textAlignment w:val="auto"/>
                    <w:rPr>
                      <w:rFonts w:ascii="Times New Roman" w:hAnsi="Times New Roman"/>
                      <w:b/>
                      <w:bCs/>
                      <w:color w:val="auto"/>
                      <w:sz w:val="21"/>
                      <w:szCs w:val="21"/>
                    </w:rPr>
                  </w:pPr>
                  <w:r>
                    <w:rPr>
                      <w:rFonts w:ascii="Times New Roman" w:hAnsi="Times New Roman"/>
                      <w:b/>
                      <w:bCs/>
                      <w:color w:val="auto"/>
                      <w:sz w:val="21"/>
                      <w:szCs w:val="21"/>
                    </w:rPr>
                    <w:t>是否达标</w:t>
                  </w:r>
                </w:p>
              </w:tc>
            </w:tr>
            <w:tr w14:paraId="455455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522989EC">
                  <w:pPr>
                    <w:pStyle w:val="9"/>
                    <w:spacing w:before="0" w:after="0" w:line="240" w:lineRule="auto"/>
                    <w:ind w:right="0"/>
                    <w:jc w:val="center"/>
                    <w:rPr>
                      <w:color w:val="auto"/>
                      <w:kern w:val="2"/>
                      <w:sz w:val="21"/>
                      <w:szCs w:val="21"/>
                    </w:rPr>
                  </w:pPr>
                </w:p>
              </w:tc>
              <w:tc>
                <w:tcPr>
                  <w:tcW w:w="1085" w:type="dxa"/>
                  <w:vMerge w:val="continue"/>
                  <w:tcBorders>
                    <w:tl2br w:val="nil"/>
                    <w:tr2bl w:val="nil"/>
                  </w:tcBorders>
                  <w:vAlign w:val="center"/>
                </w:tcPr>
                <w:p w14:paraId="1E9D1527">
                  <w:pPr>
                    <w:pStyle w:val="9"/>
                    <w:spacing w:before="0" w:after="0" w:line="240" w:lineRule="auto"/>
                    <w:ind w:right="0"/>
                    <w:jc w:val="center"/>
                    <w:rPr>
                      <w:color w:val="auto"/>
                      <w:kern w:val="2"/>
                      <w:sz w:val="21"/>
                      <w:szCs w:val="21"/>
                    </w:rPr>
                  </w:pPr>
                </w:p>
              </w:tc>
              <w:tc>
                <w:tcPr>
                  <w:tcW w:w="1252" w:type="dxa"/>
                  <w:tcBorders>
                    <w:tl2br w:val="nil"/>
                    <w:tr2bl w:val="nil"/>
                  </w:tcBorders>
                  <w:vAlign w:val="center"/>
                </w:tcPr>
                <w:p w14:paraId="0B413AA9">
                  <w:pPr>
                    <w:jc w:val="center"/>
                    <w:rPr>
                      <w:b/>
                      <w:bCs/>
                      <w:color w:val="auto"/>
                      <w:szCs w:val="21"/>
                    </w:rPr>
                  </w:pPr>
                  <w:r>
                    <w:rPr>
                      <w:b/>
                      <w:bCs/>
                      <w:color w:val="auto"/>
                      <w:szCs w:val="21"/>
                    </w:rPr>
                    <w:t>2024.06.19</w:t>
                  </w:r>
                </w:p>
              </w:tc>
              <w:tc>
                <w:tcPr>
                  <w:tcW w:w="1252" w:type="dxa"/>
                  <w:tcBorders>
                    <w:tl2br w:val="nil"/>
                    <w:tr2bl w:val="nil"/>
                  </w:tcBorders>
                  <w:vAlign w:val="center"/>
                </w:tcPr>
                <w:p w14:paraId="60740F6D">
                  <w:pPr>
                    <w:jc w:val="center"/>
                    <w:rPr>
                      <w:b/>
                      <w:bCs/>
                      <w:color w:val="auto"/>
                      <w:szCs w:val="21"/>
                    </w:rPr>
                  </w:pPr>
                  <w:r>
                    <w:rPr>
                      <w:b/>
                      <w:bCs/>
                      <w:color w:val="auto"/>
                      <w:szCs w:val="21"/>
                    </w:rPr>
                    <w:t>2024.06.20</w:t>
                  </w:r>
                </w:p>
              </w:tc>
              <w:tc>
                <w:tcPr>
                  <w:tcW w:w="1252" w:type="dxa"/>
                  <w:tcBorders>
                    <w:tl2br w:val="nil"/>
                    <w:tr2bl w:val="nil"/>
                  </w:tcBorders>
                  <w:vAlign w:val="center"/>
                </w:tcPr>
                <w:p w14:paraId="5F80C4FA">
                  <w:pPr>
                    <w:jc w:val="center"/>
                    <w:rPr>
                      <w:b/>
                      <w:bCs/>
                      <w:color w:val="auto"/>
                      <w:szCs w:val="21"/>
                    </w:rPr>
                  </w:pPr>
                  <w:r>
                    <w:rPr>
                      <w:b/>
                      <w:bCs/>
                      <w:color w:val="auto"/>
                      <w:szCs w:val="21"/>
                    </w:rPr>
                    <w:t>2024.06.21</w:t>
                  </w:r>
                </w:p>
              </w:tc>
              <w:tc>
                <w:tcPr>
                  <w:tcW w:w="1076" w:type="dxa"/>
                  <w:vMerge w:val="continue"/>
                  <w:tcBorders>
                    <w:tl2br w:val="nil"/>
                    <w:tr2bl w:val="nil"/>
                  </w:tcBorders>
                  <w:vAlign w:val="center"/>
                </w:tcPr>
                <w:p w14:paraId="6A1198BD">
                  <w:pPr>
                    <w:pStyle w:val="9"/>
                    <w:spacing w:before="0" w:after="0" w:line="240" w:lineRule="auto"/>
                    <w:ind w:right="0"/>
                    <w:jc w:val="center"/>
                    <w:rPr>
                      <w:color w:val="auto"/>
                      <w:kern w:val="2"/>
                      <w:sz w:val="21"/>
                      <w:szCs w:val="21"/>
                    </w:rPr>
                  </w:pPr>
                </w:p>
              </w:tc>
              <w:tc>
                <w:tcPr>
                  <w:tcW w:w="959" w:type="dxa"/>
                  <w:vMerge w:val="continue"/>
                  <w:tcBorders>
                    <w:tl2br w:val="nil"/>
                    <w:tr2bl w:val="nil"/>
                  </w:tcBorders>
                  <w:vAlign w:val="center"/>
                </w:tcPr>
                <w:p w14:paraId="401D7668">
                  <w:pPr>
                    <w:pStyle w:val="9"/>
                    <w:spacing w:before="0" w:after="0" w:line="240" w:lineRule="auto"/>
                    <w:ind w:right="0"/>
                    <w:jc w:val="center"/>
                    <w:rPr>
                      <w:color w:val="auto"/>
                      <w:kern w:val="2"/>
                      <w:sz w:val="21"/>
                      <w:szCs w:val="21"/>
                    </w:rPr>
                  </w:pPr>
                </w:p>
              </w:tc>
            </w:tr>
            <w:tr w14:paraId="291CDB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restart"/>
                  <w:tcBorders>
                    <w:tl2br w:val="nil"/>
                    <w:tr2bl w:val="nil"/>
                  </w:tcBorders>
                  <w:vAlign w:val="center"/>
                </w:tcPr>
                <w:p w14:paraId="4F57D13E">
                  <w:pPr>
                    <w:pStyle w:val="9"/>
                    <w:spacing w:before="0" w:after="0" w:line="240" w:lineRule="auto"/>
                    <w:ind w:right="0"/>
                    <w:jc w:val="center"/>
                    <w:rPr>
                      <w:color w:val="auto"/>
                      <w:kern w:val="2"/>
                      <w:sz w:val="21"/>
                      <w:szCs w:val="21"/>
                    </w:rPr>
                  </w:pPr>
                  <w:r>
                    <w:rPr>
                      <w:color w:val="auto"/>
                      <w:sz w:val="21"/>
                      <w:szCs w:val="21"/>
                    </w:rPr>
                    <w:t>采桑湖W1</w:t>
                  </w:r>
                </w:p>
              </w:tc>
              <w:tc>
                <w:tcPr>
                  <w:tcW w:w="1085" w:type="dxa"/>
                  <w:tcBorders>
                    <w:tl2br w:val="nil"/>
                    <w:tr2bl w:val="nil"/>
                  </w:tcBorders>
                  <w:vAlign w:val="center"/>
                </w:tcPr>
                <w:p w14:paraId="7703128F">
                  <w:pPr>
                    <w:jc w:val="center"/>
                    <w:rPr>
                      <w:color w:val="auto"/>
                      <w:szCs w:val="21"/>
                    </w:rPr>
                  </w:pPr>
                  <w:r>
                    <w:rPr>
                      <w:color w:val="auto"/>
                      <w:szCs w:val="21"/>
                    </w:rPr>
                    <w:t>pH</w:t>
                  </w:r>
                </w:p>
              </w:tc>
              <w:tc>
                <w:tcPr>
                  <w:tcW w:w="1252" w:type="dxa"/>
                  <w:tcBorders>
                    <w:tl2br w:val="nil"/>
                    <w:tr2bl w:val="nil"/>
                  </w:tcBorders>
                  <w:vAlign w:val="center"/>
                </w:tcPr>
                <w:p w14:paraId="4BEBEC63">
                  <w:pPr>
                    <w:tabs>
                      <w:tab w:val="left" w:pos="364"/>
                      <w:tab w:val="center" w:pos="589"/>
                    </w:tabs>
                    <w:jc w:val="center"/>
                    <w:rPr>
                      <w:color w:val="auto"/>
                      <w:szCs w:val="21"/>
                    </w:rPr>
                  </w:pPr>
                  <w:r>
                    <w:rPr>
                      <w:color w:val="auto"/>
                      <w:szCs w:val="21"/>
                    </w:rPr>
                    <w:t>7.5</w:t>
                  </w:r>
                </w:p>
              </w:tc>
              <w:tc>
                <w:tcPr>
                  <w:tcW w:w="1252" w:type="dxa"/>
                  <w:tcBorders>
                    <w:tl2br w:val="nil"/>
                    <w:tr2bl w:val="nil"/>
                  </w:tcBorders>
                  <w:vAlign w:val="center"/>
                </w:tcPr>
                <w:p w14:paraId="34D8764B">
                  <w:pPr>
                    <w:tabs>
                      <w:tab w:val="left" w:pos="364"/>
                      <w:tab w:val="center" w:pos="589"/>
                    </w:tabs>
                    <w:jc w:val="center"/>
                    <w:rPr>
                      <w:color w:val="auto"/>
                      <w:szCs w:val="21"/>
                    </w:rPr>
                  </w:pPr>
                  <w:r>
                    <w:rPr>
                      <w:color w:val="auto"/>
                      <w:szCs w:val="21"/>
                    </w:rPr>
                    <w:t>7.3</w:t>
                  </w:r>
                </w:p>
              </w:tc>
              <w:tc>
                <w:tcPr>
                  <w:tcW w:w="1252" w:type="dxa"/>
                  <w:tcBorders>
                    <w:tl2br w:val="nil"/>
                    <w:tr2bl w:val="nil"/>
                  </w:tcBorders>
                  <w:vAlign w:val="center"/>
                </w:tcPr>
                <w:p w14:paraId="6F3EFD66">
                  <w:pPr>
                    <w:tabs>
                      <w:tab w:val="left" w:pos="364"/>
                      <w:tab w:val="center" w:pos="589"/>
                    </w:tabs>
                    <w:jc w:val="center"/>
                    <w:rPr>
                      <w:color w:val="auto"/>
                      <w:szCs w:val="21"/>
                    </w:rPr>
                  </w:pPr>
                  <w:r>
                    <w:rPr>
                      <w:color w:val="auto"/>
                      <w:szCs w:val="21"/>
                    </w:rPr>
                    <w:t>7.4</w:t>
                  </w:r>
                </w:p>
              </w:tc>
              <w:tc>
                <w:tcPr>
                  <w:tcW w:w="1076" w:type="dxa"/>
                  <w:tcBorders>
                    <w:tl2br w:val="nil"/>
                    <w:tr2bl w:val="nil"/>
                  </w:tcBorders>
                  <w:vAlign w:val="center"/>
                </w:tcPr>
                <w:p w14:paraId="5E8C304F">
                  <w:pPr>
                    <w:tabs>
                      <w:tab w:val="left" w:pos="364"/>
                      <w:tab w:val="center" w:pos="589"/>
                    </w:tabs>
                    <w:jc w:val="center"/>
                    <w:rPr>
                      <w:color w:val="auto"/>
                      <w:szCs w:val="21"/>
                    </w:rPr>
                  </w:pPr>
                  <w:r>
                    <w:rPr>
                      <w:color w:val="auto"/>
                      <w:szCs w:val="21"/>
                    </w:rPr>
                    <w:t>6-9</w:t>
                  </w:r>
                </w:p>
              </w:tc>
              <w:tc>
                <w:tcPr>
                  <w:tcW w:w="959" w:type="dxa"/>
                  <w:tcBorders>
                    <w:tl2br w:val="nil"/>
                    <w:tr2bl w:val="nil"/>
                  </w:tcBorders>
                  <w:vAlign w:val="center"/>
                </w:tcPr>
                <w:p w14:paraId="43262316">
                  <w:pPr>
                    <w:jc w:val="center"/>
                    <w:rPr>
                      <w:color w:val="auto"/>
                      <w:szCs w:val="21"/>
                    </w:rPr>
                  </w:pPr>
                  <w:r>
                    <w:rPr>
                      <w:color w:val="auto"/>
                      <w:szCs w:val="21"/>
                    </w:rPr>
                    <w:t>是</w:t>
                  </w:r>
                </w:p>
              </w:tc>
            </w:tr>
            <w:tr w14:paraId="65B310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531A0B82">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29385531">
                  <w:pPr>
                    <w:jc w:val="center"/>
                    <w:rPr>
                      <w:color w:val="auto"/>
                      <w:szCs w:val="21"/>
                    </w:rPr>
                  </w:pPr>
                  <w:r>
                    <w:rPr>
                      <w:color w:val="auto"/>
                      <w:szCs w:val="21"/>
                    </w:rPr>
                    <w:t>CODcr</w:t>
                  </w:r>
                </w:p>
              </w:tc>
              <w:tc>
                <w:tcPr>
                  <w:tcW w:w="1252" w:type="dxa"/>
                  <w:tcBorders>
                    <w:tl2br w:val="nil"/>
                    <w:tr2bl w:val="nil"/>
                  </w:tcBorders>
                  <w:vAlign w:val="center"/>
                </w:tcPr>
                <w:p w14:paraId="7128FFE8">
                  <w:pPr>
                    <w:widowControl/>
                    <w:jc w:val="center"/>
                    <w:rPr>
                      <w:color w:val="auto"/>
                      <w:szCs w:val="21"/>
                    </w:rPr>
                  </w:pPr>
                  <w:r>
                    <w:rPr>
                      <w:color w:val="auto"/>
                      <w:szCs w:val="21"/>
                    </w:rPr>
                    <w:t>12</w:t>
                  </w:r>
                </w:p>
              </w:tc>
              <w:tc>
                <w:tcPr>
                  <w:tcW w:w="1252" w:type="dxa"/>
                  <w:tcBorders>
                    <w:tl2br w:val="nil"/>
                    <w:tr2bl w:val="nil"/>
                  </w:tcBorders>
                  <w:vAlign w:val="center"/>
                </w:tcPr>
                <w:p w14:paraId="4CEE4F95">
                  <w:pPr>
                    <w:widowControl/>
                    <w:jc w:val="center"/>
                    <w:rPr>
                      <w:color w:val="auto"/>
                      <w:szCs w:val="21"/>
                    </w:rPr>
                  </w:pPr>
                  <w:r>
                    <w:rPr>
                      <w:color w:val="auto"/>
                      <w:szCs w:val="21"/>
                    </w:rPr>
                    <w:t>12</w:t>
                  </w:r>
                </w:p>
              </w:tc>
              <w:tc>
                <w:tcPr>
                  <w:tcW w:w="1252" w:type="dxa"/>
                  <w:tcBorders>
                    <w:tl2br w:val="nil"/>
                    <w:tr2bl w:val="nil"/>
                  </w:tcBorders>
                  <w:vAlign w:val="center"/>
                </w:tcPr>
                <w:p w14:paraId="6D6FDAF9">
                  <w:pPr>
                    <w:widowControl/>
                    <w:jc w:val="center"/>
                    <w:rPr>
                      <w:color w:val="auto"/>
                      <w:szCs w:val="21"/>
                    </w:rPr>
                  </w:pPr>
                  <w:r>
                    <w:rPr>
                      <w:color w:val="auto"/>
                      <w:szCs w:val="21"/>
                    </w:rPr>
                    <w:t>13</w:t>
                  </w:r>
                </w:p>
              </w:tc>
              <w:tc>
                <w:tcPr>
                  <w:tcW w:w="1076" w:type="dxa"/>
                  <w:tcBorders>
                    <w:tl2br w:val="nil"/>
                    <w:tr2bl w:val="nil"/>
                  </w:tcBorders>
                  <w:vAlign w:val="center"/>
                </w:tcPr>
                <w:p w14:paraId="7730661C">
                  <w:pPr>
                    <w:widowControl/>
                    <w:jc w:val="center"/>
                    <w:rPr>
                      <w:color w:val="auto"/>
                      <w:szCs w:val="21"/>
                    </w:rPr>
                  </w:pPr>
                  <w:r>
                    <w:rPr>
                      <w:color w:val="auto"/>
                      <w:szCs w:val="21"/>
                    </w:rPr>
                    <w:t>20</w:t>
                  </w:r>
                </w:p>
              </w:tc>
              <w:tc>
                <w:tcPr>
                  <w:tcW w:w="959" w:type="dxa"/>
                  <w:tcBorders>
                    <w:tl2br w:val="nil"/>
                    <w:tr2bl w:val="nil"/>
                  </w:tcBorders>
                  <w:vAlign w:val="center"/>
                </w:tcPr>
                <w:p w14:paraId="16CA307E">
                  <w:pPr>
                    <w:jc w:val="center"/>
                    <w:rPr>
                      <w:color w:val="auto"/>
                      <w:szCs w:val="21"/>
                    </w:rPr>
                  </w:pPr>
                  <w:r>
                    <w:rPr>
                      <w:color w:val="auto"/>
                      <w:szCs w:val="21"/>
                    </w:rPr>
                    <w:t>是</w:t>
                  </w:r>
                </w:p>
              </w:tc>
            </w:tr>
            <w:tr w14:paraId="379054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217B274D">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0C9F7C62">
                  <w:pPr>
                    <w:jc w:val="center"/>
                    <w:rPr>
                      <w:color w:val="auto"/>
                      <w:szCs w:val="21"/>
                    </w:rPr>
                  </w:pPr>
                  <w:r>
                    <w:rPr>
                      <w:color w:val="auto"/>
                      <w:szCs w:val="21"/>
                    </w:rPr>
                    <w:t>溶解氧</w:t>
                  </w:r>
                </w:p>
              </w:tc>
              <w:tc>
                <w:tcPr>
                  <w:tcW w:w="1252" w:type="dxa"/>
                  <w:tcBorders>
                    <w:tl2br w:val="nil"/>
                    <w:tr2bl w:val="nil"/>
                  </w:tcBorders>
                  <w:vAlign w:val="center"/>
                </w:tcPr>
                <w:p w14:paraId="5D73730C">
                  <w:pPr>
                    <w:jc w:val="center"/>
                    <w:rPr>
                      <w:color w:val="auto"/>
                      <w:szCs w:val="21"/>
                    </w:rPr>
                  </w:pPr>
                  <w:r>
                    <w:rPr>
                      <w:color w:val="auto"/>
                      <w:szCs w:val="21"/>
                    </w:rPr>
                    <w:t>6.7</w:t>
                  </w:r>
                </w:p>
              </w:tc>
              <w:tc>
                <w:tcPr>
                  <w:tcW w:w="1252" w:type="dxa"/>
                  <w:tcBorders>
                    <w:tl2br w:val="nil"/>
                    <w:tr2bl w:val="nil"/>
                  </w:tcBorders>
                  <w:vAlign w:val="center"/>
                </w:tcPr>
                <w:p w14:paraId="31117D16">
                  <w:pPr>
                    <w:jc w:val="center"/>
                    <w:rPr>
                      <w:color w:val="auto"/>
                      <w:szCs w:val="21"/>
                    </w:rPr>
                  </w:pPr>
                  <w:r>
                    <w:rPr>
                      <w:color w:val="auto"/>
                      <w:szCs w:val="21"/>
                    </w:rPr>
                    <w:t>6.5</w:t>
                  </w:r>
                </w:p>
              </w:tc>
              <w:tc>
                <w:tcPr>
                  <w:tcW w:w="1252" w:type="dxa"/>
                  <w:tcBorders>
                    <w:tl2br w:val="nil"/>
                    <w:tr2bl w:val="nil"/>
                  </w:tcBorders>
                  <w:vAlign w:val="center"/>
                </w:tcPr>
                <w:p w14:paraId="06F873C9">
                  <w:pPr>
                    <w:jc w:val="center"/>
                    <w:rPr>
                      <w:color w:val="auto"/>
                      <w:szCs w:val="21"/>
                    </w:rPr>
                  </w:pPr>
                  <w:r>
                    <w:rPr>
                      <w:color w:val="auto"/>
                      <w:szCs w:val="21"/>
                    </w:rPr>
                    <w:t>6.5</w:t>
                  </w:r>
                </w:p>
              </w:tc>
              <w:tc>
                <w:tcPr>
                  <w:tcW w:w="1076" w:type="dxa"/>
                  <w:tcBorders>
                    <w:tl2br w:val="nil"/>
                    <w:tr2bl w:val="nil"/>
                  </w:tcBorders>
                  <w:vAlign w:val="center"/>
                </w:tcPr>
                <w:p w14:paraId="047EA1BE">
                  <w:pPr>
                    <w:jc w:val="center"/>
                    <w:rPr>
                      <w:color w:val="auto"/>
                      <w:szCs w:val="21"/>
                    </w:rPr>
                  </w:pPr>
                  <w:r>
                    <w:rPr>
                      <w:color w:val="auto"/>
                      <w:szCs w:val="21"/>
                    </w:rPr>
                    <w:t>≥5</w:t>
                  </w:r>
                </w:p>
              </w:tc>
              <w:tc>
                <w:tcPr>
                  <w:tcW w:w="959" w:type="dxa"/>
                  <w:tcBorders>
                    <w:tl2br w:val="nil"/>
                    <w:tr2bl w:val="nil"/>
                  </w:tcBorders>
                  <w:vAlign w:val="center"/>
                </w:tcPr>
                <w:p w14:paraId="090FA096">
                  <w:pPr>
                    <w:jc w:val="center"/>
                    <w:rPr>
                      <w:color w:val="auto"/>
                      <w:szCs w:val="21"/>
                    </w:rPr>
                  </w:pPr>
                  <w:r>
                    <w:rPr>
                      <w:color w:val="auto"/>
                      <w:szCs w:val="21"/>
                    </w:rPr>
                    <w:t>是</w:t>
                  </w:r>
                </w:p>
              </w:tc>
            </w:tr>
            <w:tr w14:paraId="24BC0B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3708E963">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6BEE42F8">
                  <w:pPr>
                    <w:jc w:val="center"/>
                    <w:rPr>
                      <w:color w:val="auto"/>
                      <w:szCs w:val="21"/>
                    </w:rPr>
                  </w:pPr>
                  <w:r>
                    <w:rPr>
                      <w:color w:val="auto"/>
                      <w:szCs w:val="21"/>
                    </w:rPr>
                    <w:t>BOD</w:t>
                  </w:r>
                  <w:r>
                    <w:rPr>
                      <w:color w:val="auto"/>
                      <w:szCs w:val="21"/>
                      <w:vertAlign w:val="subscript"/>
                    </w:rPr>
                    <w:t>5</w:t>
                  </w:r>
                </w:p>
              </w:tc>
              <w:tc>
                <w:tcPr>
                  <w:tcW w:w="1252" w:type="dxa"/>
                  <w:tcBorders>
                    <w:tl2br w:val="nil"/>
                    <w:tr2bl w:val="nil"/>
                  </w:tcBorders>
                  <w:vAlign w:val="center"/>
                </w:tcPr>
                <w:p w14:paraId="2E8C134A">
                  <w:pPr>
                    <w:widowControl/>
                    <w:jc w:val="center"/>
                    <w:rPr>
                      <w:color w:val="auto"/>
                      <w:szCs w:val="21"/>
                    </w:rPr>
                  </w:pPr>
                  <w:r>
                    <w:rPr>
                      <w:color w:val="auto"/>
                      <w:szCs w:val="21"/>
                    </w:rPr>
                    <w:t>3.2</w:t>
                  </w:r>
                </w:p>
              </w:tc>
              <w:tc>
                <w:tcPr>
                  <w:tcW w:w="1252" w:type="dxa"/>
                  <w:tcBorders>
                    <w:tl2br w:val="nil"/>
                    <w:tr2bl w:val="nil"/>
                  </w:tcBorders>
                  <w:vAlign w:val="center"/>
                </w:tcPr>
                <w:p w14:paraId="4ECCC6A3">
                  <w:pPr>
                    <w:widowControl/>
                    <w:jc w:val="center"/>
                    <w:rPr>
                      <w:color w:val="auto"/>
                      <w:szCs w:val="21"/>
                    </w:rPr>
                  </w:pPr>
                  <w:r>
                    <w:rPr>
                      <w:color w:val="auto"/>
                      <w:szCs w:val="21"/>
                    </w:rPr>
                    <w:t>3.2</w:t>
                  </w:r>
                </w:p>
              </w:tc>
              <w:tc>
                <w:tcPr>
                  <w:tcW w:w="1252" w:type="dxa"/>
                  <w:tcBorders>
                    <w:tl2br w:val="nil"/>
                    <w:tr2bl w:val="nil"/>
                  </w:tcBorders>
                  <w:vAlign w:val="center"/>
                </w:tcPr>
                <w:p w14:paraId="20ED435E">
                  <w:pPr>
                    <w:widowControl/>
                    <w:jc w:val="center"/>
                    <w:rPr>
                      <w:color w:val="auto"/>
                      <w:szCs w:val="21"/>
                    </w:rPr>
                  </w:pPr>
                  <w:r>
                    <w:rPr>
                      <w:color w:val="auto"/>
                      <w:szCs w:val="21"/>
                    </w:rPr>
                    <w:t>3.3</w:t>
                  </w:r>
                </w:p>
              </w:tc>
              <w:tc>
                <w:tcPr>
                  <w:tcW w:w="1076" w:type="dxa"/>
                  <w:tcBorders>
                    <w:tl2br w:val="nil"/>
                    <w:tr2bl w:val="nil"/>
                  </w:tcBorders>
                  <w:vAlign w:val="center"/>
                </w:tcPr>
                <w:p w14:paraId="493E330E">
                  <w:pPr>
                    <w:widowControl/>
                    <w:jc w:val="center"/>
                    <w:rPr>
                      <w:color w:val="auto"/>
                      <w:szCs w:val="21"/>
                    </w:rPr>
                  </w:pPr>
                  <w:r>
                    <w:rPr>
                      <w:color w:val="auto"/>
                      <w:szCs w:val="21"/>
                    </w:rPr>
                    <w:t>4</w:t>
                  </w:r>
                </w:p>
              </w:tc>
              <w:tc>
                <w:tcPr>
                  <w:tcW w:w="959" w:type="dxa"/>
                  <w:tcBorders>
                    <w:tl2br w:val="nil"/>
                    <w:tr2bl w:val="nil"/>
                  </w:tcBorders>
                  <w:vAlign w:val="center"/>
                </w:tcPr>
                <w:p w14:paraId="72398BFB">
                  <w:pPr>
                    <w:jc w:val="center"/>
                    <w:rPr>
                      <w:color w:val="auto"/>
                      <w:szCs w:val="21"/>
                    </w:rPr>
                  </w:pPr>
                  <w:r>
                    <w:rPr>
                      <w:color w:val="auto"/>
                      <w:szCs w:val="21"/>
                    </w:rPr>
                    <w:t>是</w:t>
                  </w:r>
                </w:p>
              </w:tc>
            </w:tr>
            <w:tr w14:paraId="157DC0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5D15F0AE">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2DBF25F8">
                  <w:pPr>
                    <w:jc w:val="center"/>
                    <w:rPr>
                      <w:color w:val="auto"/>
                      <w:szCs w:val="21"/>
                    </w:rPr>
                  </w:pPr>
                  <w:r>
                    <w:rPr>
                      <w:color w:val="auto"/>
                      <w:szCs w:val="21"/>
                    </w:rPr>
                    <w:t>氨氮</w:t>
                  </w:r>
                </w:p>
              </w:tc>
              <w:tc>
                <w:tcPr>
                  <w:tcW w:w="1252" w:type="dxa"/>
                  <w:tcBorders>
                    <w:tl2br w:val="nil"/>
                    <w:tr2bl w:val="nil"/>
                  </w:tcBorders>
                  <w:vAlign w:val="center"/>
                </w:tcPr>
                <w:p w14:paraId="19205E02">
                  <w:pPr>
                    <w:widowControl/>
                    <w:jc w:val="center"/>
                    <w:rPr>
                      <w:color w:val="auto"/>
                      <w:szCs w:val="21"/>
                    </w:rPr>
                  </w:pPr>
                  <w:r>
                    <w:rPr>
                      <w:color w:val="auto"/>
                      <w:szCs w:val="21"/>
                    </w:rPr>
                    <w:t>0.405</w:t>
                  </w:r>
                </w:p>
              </w:tc>
              <w:tc>
                <w:tcPr>
                  <w:tcW w:w="1252" w:type="dxa"/>
                  <w:tcBorders>
                    <w:tl2br w:val="nil"/>
                    <w:tr2bl w:val="nil"/>
                  </w:tcBorders>
                  <w:vAlign w:val="center"/>
                </w:tcPr>
                <w:p w14:paraId="09C32E13">
                  <w:pPr>
                    <w:widowControl/>
                    <w:jc w:val="center"/>
                    <w:rPr>
                      <w:color w:val="auto"/>
                      <w:szCs w:val="21"/>
                    </w:rPr>
                  </w:pPr>
                  <w:r>
                    <w:rPr>
                      <w:color w:val="auto"/>
                      <w:szCs w:val="21"/>
                    </w:rPr>
                    <w:t>0.388</w:t>
                  </w:r>
                </w:p>
              </w:tc>
              <w:tc>
                <w:tcPr>
                  <w:tcW w:w="1252" w:type="dxa"/>
                  <w:tcBorders>
                    <w:tl2br w:val="nil"/>
                    <w:tr2bl w:val="nil"/>
                  </w:tcBorders>
                  <w:vAlign w:val="center"/>
                </w:tcPr>
                <w:p w14:paraId="1FCB3CFC">
                  <w:pPr>
                    <w:widowControl/>
                    <w:jc w:val="center"/>
                    <w:rPr>
                      <w:color w:val="auto"/>
                      <w:szCs w:val="21"/>
                    </w:rPr>
                  </w:pPr>
                  <w:r>
                    <w:rPr>
                      <w:color w:val="auto"/>
                      <w:szCs w:val="21"/>
                    </w:rPr>
                    <w:t>0.403</w:t>
                  </w:r>
                </w:p>
              </w:tc>
              <w:tc>
                <w:tcPr>
                  <w:tcW w:w="1076" w:type="dxa"/>
                  <w:tcBorders>
                    <w:tl2br w:val="nil"/>
                    <w:tr2bl w:val="nil"/>
                  </w:tcBorders>
                  <w:vAlign w:val="center"/>
                </w:tcPr>
                <w:p w14:paraId="52EF5E39">
                  <w:pPr>
                    <w:widowControl/>
                    <w:jc w:val="center"/>
                    <w:rPr>
                      <w:color w:val="auto"/>
                      <w:szCs w:val="21"/>
                    </w:rPr>
                  </w:pPr>
                  <w:r>
                    <w:rPr>
                      <w:color w:val="auto"/>
                      <w:szCs w:val="21"/>
                    </w:rPr>
                    <w:t>1.0</w:t>
                  </w:r>
                </w:p>
              </w:tc>
              <w:tc>
                <w:tcPr>
                  <w:tcW w:w="959" w:type="dxa"/>
                  <w:tcBorders>
                    <w:tl2br w:val="nil"/>
                    <w:tr2bl w:val="nil"/>
                  </w:tcBorders>
                  <w:vAlign w:val="center"/>
                </w:tcPr>
                <w:p w14:paraId="43FE7FE8">
                  <w:pPr>
                    <w:jc w:val="center"/>
                    <w:rPr>
                      <w:color w:val="auto"/>
                      <w:szCs w:val="21"/>
                    </w:rPr>
                  </w:pPr>
                  <w:r>
                    <w:rPr>
                      <w:color w:val="auto"/>
                      <w:szCs w:val="21"/>
                    </w:rPr>
                    <w:t>是</w:t>
                  </w:r>
                </w:p>
              </w:tc>
            </w:tr>
            <w:tr w14:paraId="2F6487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45DF453">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7372D38A">
                  <w:pPr>
                    <w:jc w:val="center"/>
                    <w:rPr>
                      <w:color w:val="auto"/>
                      <w:szCs w:val="21"/>
                    </w:rPr>
                  </w:pPr>
                  <w:r>
                    <w:rPr>
                      <w:color w:val="auto"/>
                      <w:szCs w:val="21"/>
                    </w:rPr>
                    <w:t>总磷</w:t>
                  </w:r>
                </w:p>
              </w:tc>
              <w:tc>
                <w:tcPr>
                  <w:tcW w:w="1252" w:type="dxa"/>
                  <w:tcBorders>
                    <w:tl2br w:val="nil"/>
                    <w:tr2bl w:val="nil"/>
                  </w:tcBorders>
                  <w:vAlign w:val="center"/>
                </w:tcPr>
                <w:p w14:paraId="172A489A">
                  <w:pPr>
                    <w:jc w:val="center"/>
                    <w:rPr>
                      <w:color w:val="auto"/>
                      <w:szCs w:val="21"/>
                    </w:rPr>
                  </w:pPr>
                  <w:r>
                    <w:rPr>
                      <w:color w:val="auto"/>
                      <w:szCs w:val="21"/>
                    </w:rPr>
                    <w:t>0.08</w:t>
                  </w:r>
                </w:p>
              </w:tc>
              <w:tc>
                <w:tcPr>
                  <w:tcW w:w="1252" w:type="dxa"/>
                  <w:tcBorders>
                    <w:tl2br w:val="nil"/>
                    <w:tr2bl w:val="nil"/>
                  </w:tcBorders>
                  <w:vAlign w:val="center"/>
                </w:tcPr>
                <w:p w14:paraId="4C2FEBF9">
                  <w:pPr>
                    <w:jc w:val="center"/>
                    <w:rPr>
                      <w:color w:val="auto"/>
                      <w:szCs w:val="21"/>
                    </w:rPr>
                  </w:pPr>
                  <w:r>
                    <w:rPr>
                      <w:color w:val="auto"/>
                      <w:szCs w:val="21"/>
                    </w:rPr>
                    <w:t>0.08</w:t>
                  </w:r>
                </w:p>
              </w:tc>
              <w:tc>
                <w:tcPr>
                  <w:tcW w:w="1252" w:type="dxa"/>
                  <w:tcBorders>
                    <w:tl2br w:val="nil"/>
                    <w:tr2bl w:val="nil"/>
                  </w:tcBorders>
                  <w:vAlign w:val="center"/>
                </w:tcPr>
                <w:p w14:paraId="657C99DA">
                  <w:pPr>
                    <w:jc w:val="center"/>
                    <w:rPr>
                      <w:color w:val="auto"/>
                      <w:szCs w:val="21"/>
                    </w:rPr>
                  </w:pPr>
                  <w:r>
                    <w:rPr>
                      <w:color w:val="auto"/>
                      <w:szCs w:val="21"/>
                    </w:rPr>
                    <w:t>0.08</w:t>
                  </w:r>
                </w:p>
              </w:tc>
              <w:tc>
                <w:tcPr>
                  <w:tcW w:w="1076" w:type="dxa"/>
                  <w:tcBorders>
                    <w:tl2br w:val="nil"/>
                    <w:tr2bl w:val="nil"/>
                  </w:tcBorders>
                  <w:vAlign w:val="center"/>
                </w:tcPr>
                <w:p w14:paraId="78273DB2">
                  <w:pPr>
                    <w:jc w:val="center"/>
                    <w:rPr>
                      <w:color w:val="auto"/>
                      <w:szCs w:val="21"/>
                    </w:rPr>
                  </w:pPr>
                  <w:r>
                    <w:rPr>
                      <w:color w:val="auto"/>
                      <w:szCs w:val="21"/>
                    </w:rPr>
                    <w:t>0.2</w:t>
                  </w:r>
                </w:p>
              </w:tc>
              <w:tc>
                <w:tcPr>
                  <w:tcW w:w="959" w:type="dxa"/>
                  <w:tcBorders>
                    <w:tl2br w:val="nil"/>
                    <w:tr2bl w:val="nil"/>
                  </w:tcBorders>
                  <w:vAlign w:val="center"/>
                </w:tcPr>
                <w:p w14:paraId="1476DF63">
                  <w:pPr>
                    <w:jc w:val="center"/>
                    <w:rPr>
                      <w:color w:val="auto"/>
                      <w:szCs w:val="21"/>
                    </w:rPr>
                  </w:pPr>
                  <w:r>
                    <w:rPr>
                      <w:color w:val="auto"/>
                      <w:szCs w:val="21"/>
                    </w:rPr>
                    <w:t>是</w:t>
                  </w:r>
                </w:p>
              </w:tc>
            </w:tr>
            <w:tr w14:paraId="3E3B1E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3E9DA609">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40F77678">
                  <w:pPr>
                    <w:jc w:val="center"/>
                    <w:rPr>
                      <w:color w:val="auto"/>
                      <w:szCs w:val="21"/>
                    </w:rPr>
                  </w:pPr>
                  <w:r>
                    <w:rPr>
                      <w:color w:val="auto"/>
                      <w:szCs w:val="21"/>
                    </w:rPr>
                    <w:t>总氮</w:t>
                  </w:r>
                </w:p>
              </w:tc>
              <w:tc>
                <w:tcPr>
                  <w:tcW w:w="1252" w:type="dxa"/>
                  <w:tcBorders>
                    <w:tl2br w:val="nil"/>
                    <w:tr2bl w:val="nil"/>
                  </w:tcBorders>
                  <w:vAlign w:val="center"/>
                </w:tcPr>
                <w:p w14:paraId="7088B335">
                  <w:pPr>
                    <w:jc w:val="center"/>
                    <w:rPr>
                      <w:color w:val="auto"/>
                      <w:szCs w:val="21"/>
                    </w:rPr>
                  </w:pPr>
                  <w:r>
                    <w:rPr>
                      <w:color w:val="auto"/>
                      <w:szCs w:val="21"/>
                    </w:rPr>
                    <w:t>0.78</w:t>
                  </w:r>
                </w:p>
              </w:tc>
              <w:tc>
                <w:tcPr>
                  <w:tcW w:w="1252" w:type="dxa"/>
                  <w:tcBorders>
                    <w:tl2br w:val="nil"/>
                    <w:tr2bl w:val="nil"/>
                  </w:tcBorders>
                  <w:vAlign w:val="center"/>
                </w:tcPr>
                <w:p w14:paraId="474FDB62">
                  <w:pPr>
                    <w:jc w:val="center"/>
                    <w:rPr>
                      <w:color w:val="auto"/>
                      <w:szCs w:val="21"/>
                    </w:rPr>
                  </w:pPr>
                  <w:r>
                    <w:rPr>
                      <w:color w:val="auto"/>
                      <w:szCs w:val="21"/>
                    </w:rPr>
                    <w:t>0.73</w:t>
                  </w:r>
                </w:p>
              </w:tc>
              <w:tc>
                <w:tcPr>
                  <w:tcW w:w="1252" w:type="dxa"/>
                  <w:tcBorders>
                    <w:tl2br w:val="nil"/>
                    <w:tr2bl w:val="nil"/>
                  </w:tcBorders>
                  <w:vAlign w:val="center"/>
                </w:tcPr>
                <w:p w14:paraId="5DA0246D">
                  <w:pPr>
                    <w:jc w:val="center"/>
                    <w:rPr>
                      <w:color w:val="auto"/>
                      <w:szCs w:val="21"/>
                    </w:rPr>
                  </w:pPr>
                  <w:r>
                    <w:rPr>
                      <w:color w:val="auto"/>
                      <w:szCs w:val="21"/>
                    </w:rPr>
                    <w:t>0.80</w:t>
                  </w:r>
                </w:p>
              </w:tc>
              <w:tc>
                <w:tcPr>
                  <w:tcW w:w="1076" w:type="dxa"/>
                  <w:tcBorders>
                    <w:tl2br w:val="nil"/>
                    <w:tr2bl w:val="nil"/>
                  </w:tcBorders>
                  <w:vAlign w:val="center"/>
                </w:tcPr>
                <w:p w14:paraId="63A26407">
                  <w:pPr>
                    <w:jc w:val="center"/>
                    <w:rPr>
                      <w:color w:val="auto"/>
                      <w:szCs w:val="21"/>
                    </w:rPr>
                  </w:pPr>
                  <w:r>
                    <w:rPr>
                      <w:color w:val="auto"/>
                      <w:szCs w:val="21"/>
                    </w:rPr>
                    <w:t>1.0</w:t>
                  </w:r>
                </w:p>
              </w:tc>
              <w:tc>
                <w:tcPr>
                  <w:tcW w:w="959" w:type="dxa"/>
                  <w:tcBorders>
                    <w:tl2br w:val="nil"/>
                    <w:tr2bl w:val="nil"/>
                  </w:tcBorders>
                  <w:vAlign w:val="center"/>
                </w:tcPr>
                <w:p w14:paraId="67E4591A">
                  <w:pPr>
                    <w:jc w:val="center"/>
                    <w:rPr>
                      <w:color w:val="auto"/>
                      <w:szCs w:val="21"/>
                    </w:rPr>
                  </w:pPr>
                  <w:r>
                    <w:rPr>
                      <w:color w:val="auto"/>
                      <w:szCs w:val="21"/>
                    </w:rPr>
                    <w:t>是</w:t>
                  </w:r>
                </w:p>
              </w:tc>
            </w:tr>
            <w:tr w14:paraId="07C107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7D0454FD">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2A3D62A6">
                  <w:pPr>
                    <w:jc w:val="center"/>
                    <w:rPr>
                      <w:color w:val="auto"/>
                      <w:szCs w:val="21"/>
                    </w:rPr>
                  </w:pPr>
                  <w:r>
                    <w:rPr>
                      <w:color w:val="auto"/>
                      <w:szCs w:val="21"/>
                    </w:rPr>
                    <w:t>铜</w:t>
                  </w:r>
                </w:p>
              </w:tc>
              <w:tc>
                <w:tcPr>
                  <w:tcW w:w="1252" w:type="dxa"/>
                  <w:tcBorders>
                    <w:tl2br w:val="nil"/>
                    <w:tr2bl w:val="nil"/>
                  </w:tcBorders>
                  <w:vAlign w:val="center"/>
                </w:tcPr>
                <w:p w14:paraId="0FFE5426">
                  <w:pPr>
                    <w:widowControl/>
                    <w:jc w:val="center"/>
                    <w:rPr>
                      <w:color w:val="auto"/>
                      <w:szCs w:val="21"/>
                    </w:rPr>
                  </w:pPr>
                  <w:r>
                    <w:rPr>
                      <w:color w:val="auto"/>
                      <w:szCs w:val="21"/>
                    </w:rPr>
                    <w:t>0.001L</w:t>
                  </w:r>
                </w:p>
              </w:tc>
              <w:tc>
                <w:tcPr>
                  <w:tcW w:w="1252" w:type="dxa"/>
                  <w:tcBorders>
                    <w:tl2br w:val="nil"/>
                    <w:tr2bl w:val="nil"/>
                  </w:tcBorders>
                  <w:vAlign w:val="center"/>
                </w:tcPr>
                <w:p w14:paraId="2AEEE11D">
                  <w:pPr>
                    <w:widowControl/>
                    <w:jc w:val="center"/>
                    <w:rPr>
                      <w:color w:val="auto"/>
                      <w:szCs w:val="21"/>
                    </w:rPr>
                  </w:pPr>
                  <w:r>
                    <w:rPr>
                      <w:color w:val="auto"/>
                      <w:szCs w:val="21"/>
                    </w:rPr>
                    <w:t>0.001L</w:t>
                  </w:r>
                </w:p>
              </w:tc>
              <w:tc>
                <w:tcPr>
                  <w:tcW w:w="1252" w:type="dxa"/>
                  <w:tcBorders>
                    <w:tl2br w:val="nil"/>
                    <w:tr2bl w:val="nil"/>
                  </w:tcBorders>
                  <w:vAlign w:val="center"/>
                </w:tcPr>
                <w:p w14:paraId="293EEEED">
                  <w:pPr>
                    <w:widowControl/>
                    <w:jc w:val="center"/>
                    <w:rPr>
                      <w:color w:val="auto"/>
                      <w:szCs w:val="21"/>
                    </w:rPr>
                  </w:pPr>
                  <w:r>
                    <w:rPr>
                      <w:color w:val="auto"/>
                      <w:szCs w:val="21"/>
                    </w:rPr>
                    <w:t>0.001L</w:t>
                  </w:r>
                </w:p>
              </w:tc>
              <w:tc>
                <w:tcPr>
                  <w:tcW w:w="1076" w:type="dxa"/>
                  <w:tcBorders>
                    <w:tl2br w:val="nil"/>
                    <w:tr2bl w:val="nil"/>
                  </w:tcBorders>
                  <w:vAlign w:val="center"/>
                </w:tcPr>
                <w:p w14:paraId="6E60C852">
                  <w:pPr>
                    <w:widowControl/>
                    <w:jc w:val="center"/>
                    <w:rPr>
                      <w:color w:val="auto"/>
                      <w:szCs w:val="21"/>
                    </w:rPr>
                  </w:pPr>
                  <w:r>
                    <w:rPr>
                      <w:color w:val="auto"/>
                      <w:szCs w:val="21"/>
                    </w:rPr>
                    <w:t>1.0</w:t>
                  </w:r>
                </w:p>
              </w:tc>
              <w:tc>
                <w:tcPr>
                  <w:tcW w:w="959" w:type="dxa"/>
                  <w:tcBorders>
                    <w:tl2br w:val="nil"/>
                    <w:tr2bl w:val="nil"/>
                  </w:tcBorders>
                  <w:vAlign w:val="center"/>
                </w:tcPr>
                <w:p w14:paraId="11F1E3E8">
                  <w:pPr>
                    <w:jc w:val="center"/>
                    <w:rPr>
                      <w:color w:val="auto"/>
                      <w:szCs w:val="21"/>
                    </w:rPr>
                  </w:pPr>
                  <w:r>
                    <w:rPr>
                      <w:color w:val="auto"/>
                      <w:szCs w:val="21"/>
                    </w:rPr>
                    <w:t>是</w:t>
                  </w:r>
                </w:p>
              </w:tc>
            </w:tr>
            <w:tr w14:paraId="2AD9DD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3432FBC">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138AE956">
                  <w:pPr>
                    <w:jc w:val="center"/>
                    <w:rPr>
                      <w:color w:val="auto"/>
                      <w:szCs w:val="21"/>
                    </w:rPr>
                  </w:pPr>
                  <w:r>
                    <w:rPr>
                      <w:color w:val="auto"/>
                      <w:szCs w:val="21"/>
                    </w:rPr>
                    <w:t>锌</w:t>
                  </w:r>
                </w:p>
              </w:tc>
              <w:tc>
                <w:tcPr>
                  <w:tcW w:w="1252" w:type="dxa"/>
                  <w:tcBorders>
                    <w:tl2br w:val="nil"/>
                    <w:tr2bl w:val="nil"/>
                  </w:tcBorders>
                  <w:vAlign w:val="center"/>
                </w:tcPr>
                <w:p w14:paraId="532637E5">
                  <w:pPr>
                    <w:widowControl/>
                    <w:jc w:val="center"/>
                    <w:rPr>
                      <w:color w:val="auto"/>
                      <w:szCs w:val="21"/>
                    </w:rPr>
                  </w:pPr>
                  <w:r>
                    <w:rPr>
                      <w:color w:val="auto"/>
                      <w:szCs w:val="21"/>
                    </w:rPr>
                    <w:t>0.05L</w:t>
                  </w:r>
                </w:p>
              </w:tc>
              <w:tc>
                <w:tcPr>
                  <w:tcW w:w="1252" w:type="dxa"/>
                  <w:tcBorders>
                    <w:tl2br w:val="nil"/>
                    <w:tr2bl w:val="nil"/>
                  </w:tcBorders>
                  <w:vAlign w:val="center"/>
                </w:tcPr>
                <w:p w14:paraId="7C3B3A1C">
                  <w:pPr>
                    <w:widowControl/>
                    <w:jc w:val="center"/>
                    <w:rPr>
                      <w:color w:val="auto"/>
                      <w:szCs w:val="21"/>
                    </w:rPr>
                  </w:pPr>
                  <w:r>
                    <w:rPr>
                      <w:color w:val="auto"/>
                      <w:szCs w:val="21"/>
                    </w:rPr>
                    <w:t>0.05L</w:t>
                  </w:r>
                </w:p>
              </w:tc>
              <w:tc>
                <w:tcPr>
                  <w:tcW w:w="1252" w:type="dxa"/>
                  <w:tcBorders>
                    <w:tl2br w:val="nil"/>
                    <w:tr2bl w:val="nil"/>
                  </w:tcBorders>
                  <w:vAlign w:val="center"/>
                </w:tcPr>
                <w:p w14:paraId="07312FEC">
                  <w:pPr>
                    <w:widowControl/>
                    <w:jc w:val="center"/>
                    <w:rPr>
                      <w:color w:val="auto"/>
                      <w:szCs w:val="21"/>
                    </w:rPr>
                  </w:pPr>
                  <w:r>
                    <w:rPr>
                      <w:color w:val="auto"/>
                      <w:szCs w:val="21"/>
                    </w:rPr>
                    <w:t>0.05L</w:t>
                  </w:r>
                </w:p>
              </w:tc>
              <w:tc>
                <w:tcPr>
                  <w:tcW w:w="1076" w:type="dxa"/>
                  <w:tcBorders>
                    <w:tl2br w:val="nil"/>
                    <w:tr2bl w:val="nil"/>
                  </w:tcBorders>
                  <w:vAlign w:val="center"/>
                </w:tcPr>
                <w:p w14:paraId="05082C02">
                  <w:pPr>
                    <w:widowControl/>
                    <w:jc w:val="center"/>
                    <w:rPr>
                      <w:color w:val="auto"/>
                      <w:szCs w:val="21"/>
                    </w:rPr>
                  </w:pPr>
                  <w:r>
                    <w:rPr>
                      <w:color w:val="auto"/>
                      <w:szCs w:val="21"/>
                    </w:rPr>
                    <w:t>1.0</w:t>
                  </w:r>
                </w:p>
              </w:tc>
              <w:tc>
                <w:tcPr>
                  <w:tcW w:w="959" w:type="dxa"/>
                  <w:tcBorders>
                    <w:tl2br w:val="nil"/>
                    <w:tr2bl w:val="nil"/>
                  </w:tcBorders>
                  <w:vAlign w:val="center"/>
                </w:tcPr>
                <w:p w14:paraId="258CEFD7">
                  <w:pPr>
                    <w:jc w:val="center"/>
                    <w:rPr>
                      <w:color w:val="auto"/>
                      <w:szCs w:val="21"/>
                    </w:rPr>
                  </w:pPr>
                  <w:r>
                    <w:rPr>
                      <w:color w:val="auto"/>
                      <w:szCs w:val="21"/>
                    </w:rPr>
                    <w:t>是</w:t>
                  </w:r>
                </w:p>
              </w:tc>
            </w:tr>
            <w:tr w14:paraId="2127D5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0322B5BF">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65A31728">
                  <w:pPr>
                    <w:jc w:val="center"/>
                    <w:rPr>
                      <w:color w:val="auto"/>
                      <w:szCs w:val="21"/>
                    </w:rPr>
                  </w:pPr>
                  <w:r>
                    <w:rPr>
                      <w:color w:val="auto"/>
                      <w:szCs w:val="21"/>
                    </w:rPr>
                    <w:t>氟化物</w:t>
                  </w:r>
                </w:p>
              </w:tc>
              <w:tc>
                <w:tcPr>
                  <w:tcW w:w="1252" w:type="dxa"/>
                  <w:tcBorders>
                    <w:tl2br w:val="nil"/>
                    <w:tr2bl w:val="nil"/>
                  </w:tcBorders>
                  <w:vAlign w:val="center"/>
                </w:tcPr>
                <w:p w14:paraId="3CBC5145">
                  <w:pPr>
                    <w:widowControl/>
                    <w:jc w:val="center"/>
                    <w:rPr>
                      <w:color w:val="auto"/>
                      <w:szCs w:val="21"/>
                    </w:rPr>
                  </w:pPr>
                  <w:r>
                    <w:rPr>
                      <w:color w:val="auto"/>
                      <w:szCs w:val="21"/>
                    </w:rPr>
                    <w:t>0.032</w:t>
                  </w:r>
                </w:p>
              </w:tc>
              <w:tc>
                <w:tcPr>
                  <w:tcW w:w="1252" w:type="dxa"/>
                  <w:tcBorders>
                    <w:tl2br w:val="nil"/>
                    <w:tr2bl w:val="nil"/>
                  </w:tcBorders>
                  <w:vAlign w:val="center"/>
                </w:tcPr>
                <w:p w14:paraId="1F869896">
                  <w:pPr>
                    <w:widowControl/>
                    <w:jc w:val="center"/>
                    <w:rPr>
                      <w:color w:val="auto"/>
                      <w:szCs w:val="21"/>
                    </w:rPr>
                  </w:pPr>
                  <w:r>
                    <w:rPr>
                      <w:color w:val="auto"/>
                      <w:szCs w:val="21"/>
                    </w:rPr>
                    <w:t>0.030</w:t>
                  </w:r>
                </w:p>
              </w:tc>
              <w:tc>
                <w:tcPr>
                  <w:tcW w:w="1252" w:type="dxa"/>
                  <w:tcBorders>
                    <w:tl2br w:val="nil"/>
                    <w:tr2bl w:val="nil"/>
                  </w:tcBorders>
                  <w:vAlign w:val="center"/>
                </w:tcPr>
                <w:p w14:paraId="09988824">
                  <w:pPr>
                    <w:widowControl/>
                    <w:jc w:val="center"/>
                    <w:rPr>
                      <w:color w:val="auto"/>
                      <w:szCs w:val="21"/>
                    </w:rPr>
                  </w:pPr>
                  <w:r>
                    <w:rPr>
                      <w:color w:val="auto"/>
                      <w:szCs w:val="21"/>
                    </w:rPr>
                    <w:t>0.034</w:t>
                  </w:r>
                </w:p>
              </w:tc>
              <w:tc>
                <w:tcPr>
                  <w:tcW w:w="1076" w:type="dxa"/>
                  <w:tcBorders>
                    <w:tl2br w:val="nil"/>
                    <w:tr2bl w:val="nil"/>
                  </w:tcBorders>
                  <w:vAlign w:val="center"/>
                </w:tcPr>
                <w:p w14:paraId="3BAB71CB">
                  <w:pPr>
                    <w:widowControl/>
                    <w:jc w:val="center"/>
                    <w:rPr>
                      <w:color w:val="auto"/>
                      <w:szCs w:val="21"/>
                    </w:rPr>
                  </w:pPr>
                  <w:r>
                    <w:rPr>
                      <w:color w:val="auto"/>
                      <w:szCs w:val="21"/>
                    </w:rPr>
                    <w:t>1.0</w:t>
                  </w:r>
                </w:p>
              </w:tc>
              <w:tc>
                <w:tcPr>
                  <w:tcW w:w="959" w:type="dxa"/>
                  <w:tcBorders>
                    <w:tl2br w:val="nil"/>
                    <w:tr2bl w:val="nil"/>
                  </w:tcBorders>
                  <w:vAlign w:val="center"/>
                </w:tcPr>
                <w:p w14:paraId="3B3952BC">
                  <w:pPr>
                    <w:jc w:val="center"/>
                    <w:rPr>
                      <w:color w:val="auto"/>
                      <w:szCs w:val="21"/>
                    </w:rPr>
                  </w:pPr>
                  <w:r>
                    <w:rPr>
                      <w:color w:val="auto"/>
                      <w:szCs w:val="21"/>
                    </w:rPr>
                    <w:t>是</w:t>
                  </w:r>
                </w:p>
              </w:tc>
            </w:tr>
            <w:tr w14:paraId="4CD410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045F66F">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670BA8EF">
                  <w:pPr>
                    <w:jc w:val="center"/>
                    <w:rPr>
                      <w:color w:val="auto"/>
                      <w:szCs w:val="21"/>
                    </w:rPr>
                  </w:pPr>
                  <w:r>
                    <w:rPr>
                      <w:color w:val="auto"/>
                      <w:szCs w:val="21"/>
                    </w:rPr>
                    <w:t>砷</w:t>
                  </w:r>
                </w:p>
              </w:tc>
              <w:tc>
                <w:tcPr>
                  <w:tcW w:w="1252" w:type="dxa"/>
                  <w:tcBorders>
                    <w:tl2br w:val="nil"/>
                    <w:tr2bl w:val="nil"/>
                  </w:tcBorders>
                  <w:vAlign w:val="center"/>
                </w:tcPr>
                <w:p w14:paraId="455CC3E6">
                  <w:pPr>
                    <w:widowControl/>
                    <w:jc w:val="center"/>
                    <w:rPr>
                      <w:color w:val="auto"/>
                      <w:szCs w:val="21"/>
                    </w:rPr>
                  </w:pPr>
                  <w:r>
                    <w:rPr>
                      <w:color w:val="auto"/>
                      <w:szCs w:val="21"/>
                    </w:rPr>
                    <w:t>3×10</w:t>
                  </w:r>
                  <w:r>
                    <w:rPr>
                      <w:color w:val="auto"/>
                      <w:szCs w:val="21"/>
                      <w:vertAlign w:val="superscript"/>
                    </w:rPr>
                    <w:t>-4</w:t>
                  </w:r>
                  <w:r>
                    <w:rPr>
                      <w:color w:val="auto"/>
                      <w:szCs w:val="21"/>
                    </w:rPr>
                    <w:t>L</w:t>
                  </w:r>
                </w:p>
              </w:tc>
              <w:tc>
                <w:tcPr>
                  <w:tcW w:w="1252" w:type="dxa"/>
                  <w:tcBorders>
                    <w:tl2br w:val="nil"/>
                    <w:tr2bl w:val="nil"/>
                  </w:tcBorders>
                  <w:vAlign w:val="center"/>
                </w:tcPr>
                <w:p w14:paraId="12D417B0">
                  <w:pPr>
                    <w:widowControl/>
                    <w:jc w:val="center"/>
                    <w:rPr>
                      <w:color w:val="auto"/>
                      <w:szCs w:val="21"/>
                    </w:rPr>
                  </w:pPr>
                  <w:r>
                    <w:rPr>
                      <w:color w:val="auto"/>
                      <w:szCs w:val="21"/>
                    </w:rPr>
                    <w:t>3×10</w:t>
                  </w:r>
                  <w:r>
                    <w:rPr>
                      <w:color w:val="auto"/>
                      <w:szCs w:val="21"/>
                      <w:vertAlign w:val="superscript"/>
                    </w:rPr>
                    <w:t>-4</w:t>
                  </w:r>
                  <w:r>
                    <w:rPr>
                      <w:color w:val="auto"/>
                      <w:szCs w:val="21"/>
                    </w:rPr>
                    <w:t>L</w:t>
                  </w:r>
                </w:p>
              </w:tc>
              <w:tc>
                <w:tcPr>
                  <w:tcW w:w="1252" w:type="dxa"/>
                  <w:tcBorders>
                    <w:tl2br w:val="nil"/>
                    <w:tr2bl w:val="nil"/>
                  </w:tcBorders>
                  <w:vAlign w:val="center"/>
                </w:tcPr>
                <w:p w14:paraId="6D9D7933">
                  <w:pPr>
                    <w:widowControl/>
                    <w:jc w:val="center"/>
                    <w:rPr>
                      <w:color w:val="auto"/>
                      <w:szCs w:val="21"/>
                    </w:rPr>
                  </w:pPr>
                  <w:r>
                    <w:rPr>
                      <w:color w:val="auto"/>
                      <w:szCs w:val="21"/>
                    </w:rPr>
                    <w:t>3×10</w:t>
                  </w:r>
                  <w:r>
                    <w:rPr>
                      <w:color w:val="auto"/>
                      <w:szCs w:val="21"/>
                      <w:vertAlign w:val="superscript"/>
                    </w:rPr>
                    <w:t>-4</w:t>
                  </w:r>
                  <w:r>
                    <w:rPr>
                      <w:color w:val="auto"/>
                      <w:szCs w:val="21"/>
                    </w:rPr>
                    <w:t>L</w:t>
                  </w:r>
                </w:p>
              </w:tc>
              <w:tc>
                <w:tcPr>
                  <w:tcW w:w="1076" w:type="dxa"/>
                  <w:tcBorders>
                    <w:tl2br w:val="nil"/>
                    <w:tr2bl w:val="nil"/>
                  </w:tcBorders>
                  <w:vAlign w:val="center"/>
                </w:tcPr>
                <w:p w14:paraId="4D3F978E">
                  <w:pPr>
                    <w:widowControl/>
                    <w:jc w:val="center"/>
                    <w:rPr>
                      <w:color w:val="auto"/>
                      <w:szCs w:val="21"/>
                    </w:rPr>
                  </w:pPr>
                  <w:r>
                    <w:rPr>
                      <w:color w:val="auto"/>
                      <w:szCs w:val="21"/>
                    </w:rPr>
                    <w:t>0.05</w:t>
                  </w:r>
                </w:p>
              </w:tc>
              <w:tc>
                <w:tcPr>
                  <w:tcW w:w="959" w:type="dxa"/>
                  <w:tcBorders>
                    <w:tl2br w:val="nil"/>
                    <w:tr2bl w:val="nil"/>
                  </w:tcBorders>
                  <w:vAlign w:val="center"/>
                </w:tcPr>
                <w:p w14:paraId="1BA61082">
                  <w:pPr>
                    <w:jc w:val="center"/>
                    <w:rPr>
                      <w:color w:val="auto"/>
                      <w:szCs w:val="21"/>
                    </w:rPr>
                  </w:pPr>
                  <w:r>
                    <w:rPr>
                      <w:color w:val="auto"/>
                      <w:szCs w:val="21"/>
                    </w:rPr>
                    <w:t>是</w:t>
                  </w:r>
                </w:p>
              </w:tc>
            </w:tr>
            <w:tr w14:paraId="35945D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7E8E1226">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2B5B4812">
                  <w:pPr>
                    <w:jc w:val="center"/>
                    <w:rPr>
                      <w:color w:val="auto"/>
                      <w:szCs w:val="21"/>
                    </w:rPr>
                  </w:pPr>
                  <w:r>
                    <w:rPr>
                      <w:color w:val="auto"/>
                      <w:szCs w:val="21"/>
                    </w:rPr>
                    <w:t>汞</w:t>
                  </w:r>
                </w:p>
              </w:tc>
              <w:tc>
                <w:tcPr>
                  <w:tcW w:w="1252" w:type="dxa"/>
                  <w:tcBorders>
                    <w:tl2br w:val="nil"/>
                    <w:tr2bl w:val="nil"/>
                  </w:tcBorders>
                  <w:vAlign w:val="center"/>
                </w:tcPr>
                <w:p w14:paraId="67E8B593">
                  <w:pPr>
                    <w:widowControl/>
                    <w:jc w:val="center"/>
                    <w:rPr>
                      <w:color w:val="auto"/>
                      <w:szCs w:val="21"/>
                    </w:rPr>
                  </w:pPr>
                  <w:r>
                    <w:rPr>
                      <w:color w:val="auto"/>
                      <w:szCs w:val="21"/>
                    </w:rPr>
                    <w:t>4×10</w:t>
                  </w:r>
                  <w:r>
                    <w:rPr>
                      <w:color w:val="auto"/>
                      <w:szCs w:val="21"/>
                      <w:vertAlign w:val="superscript"/>
                    </w:rPr>
                    <w:t>-5</w:t>
                  </w:r>
                  <w:r>
                    <w:rPr>
                      <w:color w:val="auto"/>
                      <w:szCs w:val="21"/>
                    </w:rPr>
                    <w:t>L</w:t>
                  </w:r>
                </w:p>
              </w:tc>
              <w:tc>
                <w:tcPr>
                  <w:tcW w:w="1252" w:type="dxa"/>
                  <w:tcBorders>
                    <w:tl2br w:val="nil"/>
                    <w:tr2bl w:val="nil"/>
                  </w:tcBorders>
                  <w:vAlign w:val="center"/>
                </w:tcPr>
                <w:p w14:paraId="658ABCD7">
                  <w:pPr>
                    <w:widowControl/>
                    <w:jc w:val="center"/>
                    <w:rPr>
                      <w:color w:val="auto"/>
                      <w:szCs w:val="21"/>
                    </w:rPr>
                  </w:pPr>
                  <w:r>
                    <w:rPr>
                      <w:color w:val="auto"/>
                      <w:szCs w:val="21"/>
                    </w:rPr>
                    <w:t>4×10</w:t>
                  </w:r>
                  <w:r>
                    <w:rPr>
                      <w:color w:val="auto"/>
                      <w:szCs w:val="21"/>
                      <w:vertAlign w:val="superscript"/>
                    </w:rPr>
                    <w:t>-5</w:t>
                  </w:r>
                  <w:r>
                    <w:rPr>
                      <w:color w:val="auto"/>
                      <w:szCs w:val="21"/>
                    </w:rPr>
                    <w:t>L</w:t>
                  </w:r>
                </w:p>
              </w:tc>
              <w:tc>
                <w:tcPr>
                  <w:tcW w:w="1252" w:type="dxa"/>
                  <w:tcBorders>
                    <w:tl2br w:val="nil"/>
                    <w:tr2bl w:val="nil"/>
                  </w:tcBorders>
                  <w:vAlign w:val="center"/>
                </w:tcPr>
                <w:p w14:paraId="167B684A">
                  <w:pPr>
                    <w:widowControl/>
                    <w:jc w:val="center"/>
                    <w:rPr>
                      <w:color w:val="auto"/>
                      <w:szCs w:val="21"/>
                    </w:rPr>
                  </w:pPr>
                  <w:r>
                    <w:rPr>
                      <w:color w:val="auto"/>
                      <w:szCs w:val="21"/>
                    </w:rPr>
                    <w:t>4×10</w:t>
                  </w:r>
                  <w:r>
                    <w:rPr>
                      <w:color w:val="auto"/>
                      <w:szCs w:val="21"/>
                      <w:vertAlign w:val="superscript"/>
                    </w:rPr>
                    <w:t>-5</w:t>
                  </w:r>
                  <w:r>
                    <w:rPr>
                      <w:color w:val="auto"/>
                      <w:szCs w:val="21"/>
                    </w:rPr>
                    <w:t>L</w:t>
                  </w:r>
                </w:p>
              </w:tc>
              <w:tc>
                <w:tcPr>
                  <w:tcW w:w="1076" w:type="dxa"/>
                  <w:tcBorders>
                    <w:tl2br w:val="nil"/>
                    <w:tr2bl w:val="nil"/>
                  </w:tcBorders>
                  <w:vAlign w:val="center"/>
                </w:tcPr>
                <w:p w14:paraId="175C8CBE">
                  <w:pPr>
                    <w:widowControl/>
                    <w:jc w:val="center"/>
                    <w:rPr>
                      <w:color w:val="auto"/>
                      <w:szCs w:val="21"/>
                    </w:rPr>
                  </w:pPr>
                  <w:r>
                    <w:rPr>
                      <w:color w:val="auto"/>
                      <w:szCs w:val="21"/>
                    </w:rPr>
                    <w:t>0.0001</w:t>
                  </w:r>
                </w:p>
              </w:tc>
              <w:tc>
                <w:tcPr>
                  <w:tcW w:w="959" w:type="dxa"/>
                  <w:tcBorders>
                    <w:tl2br w:val="nil"/>
                    <w:tr2bl w:val="nil"/>
                  </w:tcBorders>
                  <w:vAlign w:val="center"/>
                </w:tcPr>
                <w:p w14:paraId="54900ECB">
                  <w:pPr>
                    <w:jc w:val="center"/>
                    <w:rPr>
                      <w:color w:val="auto"/>
                      <w:szCs w:val="21"/>
                    </w:rPr>
                  </w:pPr>
                  <w:r>
                    <w:rPr>
                      <w:color w:val="auto"/>
                      <w:szCs w:val="21"/>
                    </w:rPr>
                    <w:t>是</w:t>
                  </w:r>
                </w:p>
              </w:tc>
            </w:tr>
            <w:tr w14:paraId="6D63FD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7CC7831">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1A2BB723">
                  <w:pPr>
                    <w:jc w:val="center"/>
                    <w:rPr>
                      <w:color w:val="auto"/>
                      <w:szCs w:val="21"/>
                    </w:rPr>
                  </w:pPr>
                  <w:r>
                    <w:rPr>
                      <w:color w:val="auto"/>
                      <w:szCs w:val="21"/>
                    </w:rPr>
                    <w:t>镉</w:t>
                  </w:r>
                </w:p>
              </w:tc>
              <w:tc>
                <w:tcPr>
                  <w:tcW w:w="1252" w:type="dxa"/>
                  <w:tcBorders>
                    <w:tl2br w:val="nil"/>
                    <w:tr2bl w:val="nil"/>
                  </w:tcBorders>
                  <w:vAlign w:val="center"/>
                </w:tcPr>
                <w:p w14:paraId="1A1D6A32">
                  <w:pPr>
                    <w:widowControl/>
                    <w:jc w:val="center"/>
                    <w:rPr>
                      <w:color w:val="auto"/>
                      <w:szCs w:val="21"/>
                    </w:rPr>
                  </w:pPr>
                  <w:r>
                    <w:rPr>
                      <w:color w:val="auto"/>
                      <w:szCs w:val="21"/>
                    </w:rPr>
                    <w:t>0.001L</w:t>
                  </w:r>
                </w:p>
              </w:tc>
              <w:tc>
                <w:tcPr>
                  <w:tcW w:w="1252" w:type="dxa"/>
                  <w:tcBorders>
                    <w:tl2br w:val="nil"/>
                    <w:tr2bl w:val="nil"/>
                  </w:tcBorders>
                  <w:vAlign w:val="center"/>
                </w:tcPr>
                <w:p w14:paraId="757FC7A5">
                  <w:pPr>
                    <w:widowControl/>
                    <w:jc w:val="center"/>
                    <w:rPr>
                      <w:color w:val="auto"/>
                      <w:szCs w:val="21"/>
                    </w:rPr>
                  </w:pPr>
                  <w:r>
                    <w:rPr>
                      <w:color w:val="auto"/>
                      <w:szCs w:val="21"/>
                    </w:rPr>
                    <w:t>0.001L</w:t>
                  </w:r>
                </w:p>
              </w:tc>
              <w:tc>
                <w:tcPr>
                  <w:tcW w:w="1252" w:type="dxa"/>
                  <w:tcBorders>
                    <w:tl2br w:val="nil"/>
                    <w:tr2bl w:val="nil"/>
                  </w:tcBorders>
                  <w:vAlign w:val="center"/>
                </w:tcPr>
                <w:p w14:paraId="421AE9B8">
                  <w:pPr>
                    <w:widowControl/>
                    <w:jc w:val="center"/>
                    <w:rPr>
                      <w:color w:val="auto"/>
                      <w:szCs w:val="21"/>
                    </w:rPr>
                  </w:pPr>
                  <w:r>
                    <w:rPr>
                      <w:color w:val="auto"/>
                      <w:szCs w:val="21"/>
                    </w:rPr>
                    <w:t>0.001L</w:t>
                  </w:r>
                </w:p>
              </w:tc>
              <w:tc>
                <w:tcPr>
                  <w:tcW w:w="1076" w:type="dxa"/>
                  <w:tcBorders>
                    <w:tl2br w:val="nil"/>
                    <w:tr2bl w:val="nil"/>
                  </w:tcBorders>
                  <w:vAlign w:val="center"/>
                </w:tcPr>
                <w:p w14:paraId="1D851D86">
                  <w:pPr>
                    <w:widowControl/>
                    <w:jc w:val="center"/>
                    <w:rPr>
                      <w:color w:val="auto"/>
                      <w:szCs w:val="21"/>
                    </w:rPr>
                  </w:pPr>
                  <w:r>
                    <w:rPr>
                      <w:color w:val="auto"/>
                      <w:szCs w:val="21"/>
                    </w:rPr>
                    <w:t>0.005</w:t>
                  </w:r>
                </w:p>
              </w:tc>
              <w:tc>
                <w:tcPr>
                  <w:tcW w:w="959" w:type="dxa"/>
                  <w:tcBorders>
                    <w:tl2br w:val="nil"/>
                    <w:tr2bl w:val="nil"/>
                  </w:tcBorders>
                  <w:vAlign w:val="center"/>
                </w:tcPr>
                <w:p w14:paraId="16CA63D1">
                  <w:pPr>
                    <w:jc w:val="center"/>
                    <w:rPr>
                      <w:color w:val="auto"/>
                      <w:szCs w:val="21"/>
                    </w:rPr>
                  </w:pPr>
                  <w:r>
                    <w:rPr>
                      <w:color w:val="auto"/>
                      <w:szCs w:val="21"/>
                    </w:rPr>
                    <w:t>是</w:t>
                  </w:r>
                </w:p>
              </w:tc>
            </w:tr>
            <w:tr w14:paraId="08C317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2FEDCC0E">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50BA1405">
                  <w:pPr>
                    <w:jc w:val="center"/>
                    <w:rPr>
                      <w:color w:val="auto"/>
                      <w:szCs w:val="21"/>
                    </w:rPr>
                  </w:pPr>
                  <w:r>
                    <w:rPr>
                      <w:color w:val="auto"/>
                      <w:szCs w:val="21"/>
                    </w:rPr>
                    <w:t>硒</w:t>
                  </w:r>
                </w:p>
              </w:tc>
              <w:tc>
                <w:tcPr>
                  <w:tcW w:w="1252" w:type="dxa"/>
                  <w:tcBorders>
                    <w:tl2br w:val="nil"/>
                    <w:tr2bl w:val="nil"/>
                  </w:tcBorders>
                  <w:vAlign w:val="center"/>
                </w:tcPr>
                <w:p w14:paraId="0D9EE2FB">
                  <w:pPr>
                    <w:widowControl/>
                    <w:jc w:val="center"/>
                    <w:rPr>
                      <w:color w:val="auto"/>
                      <w:szCs w:val="21"/>
                    </w:rPr>
                  </w:pPr>
                  <w:r>
                    <w:rPr>
                      <w:color w:val="auto"/>
                      <w:szCs w:val="21"/>
                    </w:rPr>
                    <w:t>4×10</w:t>
                  </w:r>
                  <w:r>
                    <w:rPr>
                      <w:color w:val="auto"/>
                      <w:szCs w:val="21"/>
                      <w:vertAlign w:val="superscript"/>
                    </w:rPr>
                    <w:t>-4</w:t>
                  </w:r>
                  <w:r>
                    <w:rPr>
                      <w:color w:val="auto"/>
                      <w:szCs w:val="21"/>
                    </w:rPr>
                    <w:t>L</w:t>
                  </w:r>
                </w:p>
              </w:tc>
              <w:tc>
                <w:tcPr>
                  <w:tcW w:w="1252" w:type="dxa"/>
                  <w:tcBorders>
                    <w:tl2br w:val="nil"/>
                    <w:tr2bl w:val="nil"/>
                  </w:tcBorders>
                  <w:vAlign w:val="center"/>
                </w:tcPr>
                <w:p w14:paraId="23765E86">
                  <w:pPr>
                    <w:widowControl/>
                    <w:jc w:val="center"/>
                    <w:rPr>
                      <w:color w:val="auto"/>
                      <w:szCs w:val="21"/>
                    </w:rPr>
                  </w:pPr>
                  <w:r>
                    <w:rPr>
                      <w:color w:val="auto"/>
                      <w:szCs w:val="21"/>
                    </w:rPr>
                    <w:t>4×10</w:t>
                  </w:r>
                  <w:r>
                    <w:rPr>
                      <w:color w:val="auto"/>
                      <w:szCs w:val="21"/>
                      <w:vertAlign w:val="superscript"/>
                    </w:rPr>
                    <w:t>-4</w:t>
                  </w:r>
                  <w:r>
                    <w:rPr>
                      <w:color w:val="auto"/>
                      <w:szCs w:val="21"/>
                    </w:rPr>
                    <w:t>L</w:t>
                  </w:r>
                </w:p>
              </w:tc>
              <w:tc>
                <w:tcPr>
                  <w:tcW w:w="1252" w:type="dxa"/>
                  <w:tcBorders>
                    <w:tl2br w:val="nil"/>
                    <w:tr2bl w:val="nil"/>
                  </w:tcBorders>
                  <w:vAlign w:val="center"/>
                </w:tcPr>
                <w:p w14:paraId="0F14FC05">
                  <w:pPr>
                    <w:widowControl/>
                    <w:jc w:val="center"/>
                    <w:rPr>
                      <w:color w:val="auto"/>
                      <w:szCs w:val="21"/>
                    </w:rPr>
                  </w:pPr>
                  <w:r>
                    <w:rPr>
                      <w:color w:val="auto"/>
                      <w:szCs w:val="21"/>
                    </w:rPr>
                    <w:t>4×10</w:t>
                  </w:r>
                  <w:r>
                    <w:rPr>
                      <w:color w:val="auto"/>
                      <w:szCs w:val="21"/>
                      <w:vertAlign w:val="superscript"/>
                    </w:rPr>
                    <w:t>-4</w:t>
                  </w:r>
                  <w:r>
                    <w:rPr>
                      <w:color w:val="auto"/>
                      <w:szCs w:val="21"/>
                    </w:rPr>
                    <w:t>L</w:t>
                  </w:r>
                </w:p>
              </w:tc>
              <w:tc>
                <w:tcPr>
                  <w:tcW w:w="1076" w:type="dxa"/>
                  <w:tcBorders>
                    <w:tl2br w:val="nil"/>
                    <w:tr2bl w:val="nil"/>
                  </w:tcBorders>
                  <w:vAlign w:val="center"/>
                </w:tcPr>
                <w:p w14:paraId="33150E47">
                  <w:pPr>
                    <w:widowControl/>
                    <w:jc w:val="center"/>
                    <w:rPr>
                      <w:color w:val="auto"/>
                      <w:szCs w:val="21"/>
                    </w:rPr>
                  </w:pPr>
                  <w:r>
                    <w:rPr>
                      <w:color w:val="auto"/>
                      <w:szCs w:val="21"/>
                    </w:rPr>
                    <w:t>0.01</w:t>
                  </w:r>
                </w:p>
              </w:tc>
              <w:tc>
                <w:tcPr>
                  <w:tcW w:w="959" w:type="dxa"/>
                  <w:tcBorders>
                    <w:tl2br w:val="nil"/>
                    <w:tr2bl w:val="nil"/>
                  </w:tcBorders>
                  <w:vAlign w:val="center"/>
                </w:tcPr>
                <w:p w14:paraId="49D1980D">
                  <w:pPr>
                    <w:jc w:val="center"/>
                    <w:rPr>
                      <w:color w:val="auto"/>
                      <w:szCs w:val="21"/>
                    </w:rPr>
                  </w:pPr>
                  <w:r>
                    <w:rPr>
                      <w:color w:val="auto"/>
                      <w:szCs w:val="21"/>
                    </w:rPr>
                    <w:t>是</w:t>
                  </w:r>
                </w:p>
              </w:tc>
            </w:tr>
            <w:tr w14:paraId="1039BA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3F78789E">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0BB829BB">
                  <w:pPr>
                    <w:jc w:val="center"/>
                    <w:rPr>
                      <w:color w:val="auto"/>
                      <w:szCs w:val="21"/>
                    </w:rPr>
                  </w:pPr>
                  <w:r>
                    <w:rPr>
                      <w:color w:val="auto"/>
                      <w:szCs w:val="21"/>
                    </w:rPr>
                    <w:t>铅</w:t>
                  </w:r>
                </w:p>
              </w:tc>
              <w:tc>
                <w:tcPr>
                  <w:tcW w:w="1252" w:type="dxa"/>
                  <w:tcBorders>
                    <w:tl2br w:val="nil"/>
                    <w:tr2bl w:val="nil"/>
                  </w:tcBorders>
                  <w:vAlign w:val="center"/>
                </w:tcPr>
                <w:p w14:paraId="3325A6BA">
                  <w:pPr>
                    <w:widowControl/>
                    <w:jc w:val="center"/>
                    <w:rPr>
                      <w:color w:val="auto"/>
                      <w:szCs w:val="21"/>
                    </w:rPr>
                  </w:pPr>
                  <w:r>
                    <w:rPr>
                      <w:color w:val="auto"/>
                      <w:szCs w:val="21"/>
                    </w:rPr>
                    <w:t>0.010L</w:t>
                  </w:r>
                </w:p>
              </w:tc>
              <w:tc>
                <w:tcPr>
                  <w:tcW w:w="1252" w:type="dxa"/>
                  <w:tcBorders>
                    <w:tl2br w:val="nil"/>
                    <w:tr2bl w:val="nil"/>
                  </w:tcBorders>
                  <w:vAlign w:val="center"/>
                </w:tcPr>
                <w:p w14:paraId="467A0576">
                  <w:pPr>
                    <w:widowControl/>
                    <w:jc w:val="center"/>
                    <w:rPr>
                      <w:color w:val="auto"/>
                      <w:szCs w:val="21"/>
                    </w:rPr>
                  </w:pPr>
                  <w:r>
                    <w:rPr>
                      <w:color w:val="auto"/>
                      <w:szCs w:val="21"/>
                    </w:rPr>
                    <w:t>0.010L</w:t>
                  </w:r>
                </w:p>
              </w:tc>
              <w:tc>
                <w:tcPr>
                  <w:tcW w:w="1252" w:type="dxa"/>
                  <w:tcBorders>
                    <w:tl2br w:val="nil"/>
                    <w:tr2bl w:val="nil"/>
                  </w:tcBorders>
                  <w:vAlign w:val="center"/>
                </w:tcPr>
                <w:p w14:paraId="52305C2E">
                  <w:pPr>
                    <w:widowControl/>
                    <w:jc w:val="center"/>
                    <w:rPr>
                      <w:color w:val="auto"/>
                      <w:szCs w:val="21"/>
                    </w:rPr>
                  </w:pPr>
                  <w:r>
                    <w:rPr>
                      <w:color w:val="auto"/>
                      <w:szCs w:val="21"/>
                    </w:rPr>
                    <w:t>0.010L</w:t>
                  </w:r>
                </w:p>
              </w:tc>
              <w:tc>
                <w:tcPr>
                  <w:tcW w:w="1076" w:type="dxa"/>
                  <w:tcBorders>
                    <w:tl2br w:val="nil"/>
                    <w:tr2bl w:val="nil"/>
                  </w:tcBorders>
                  <w:vAlign w:val="center"/>
                </w:tcPr>
                <w:p w14:paraId="244D2229">
                  <w:pPr>
                    <w:widowControl/>
                    <w:jc w:val="center"/>
                    <w:rPr>
                      <w:color w:val="auto"/>
                      <w:szCs w:val="21"/>
                    </w:rPr>
                  </w:pPr>
                  <w:r>
                    <w:rPr>
                      <w:color w:val="auto"/>
                      <w:szCs w:val="21"/>
                    </w:rPr>
                    <w:t>0.05</w:t>
                  </w:r>
                </w:p>
              </w:tc>
              <w:tc>
                <w:tcPr>
                  <w:tcW w:w="959" w:type="dxa"/>
                  <w:tcBorders>
                    <w:tl2br w:val="nil"/>
                    <w:tr2bl w:val="nil"/>
                  </w:tcBorders>
                  <w:vAlign w:val="center"/>
                </w:tcPr>
                <w:p w14:paraId="3E244361">
                  <w:pPr>
                    <w:jc w:val="center"/>
                    <w:rPr>
                      <w:color w:val="auto"/>
                      <w:szCs w:val="21"/>
                    </w:rPr>
                  </w:pPr>
                  <w:r>
                    <w:rPr>
                      <w:color w:val="auto"/>
                      <w:szCs w:val="21"/>
                    </w:rPr>
                    <w:t>是</w:t>
                  </w:r>
                </w:p>
              </w:tc>
            </w:tr>
            <w:tr w14:paraId="67EEA4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1C121A6">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39348D7C">
                  <w:pPr>
                    <w:jc w:val="center"/>
                    <w:rPr>
                      <w:color w:val="auto"/>
                      <w:szCs w:val="21"/>
                    </w:rPr>
                  </w:pPr>
                  <w:r>
                    <w:rPr>
                      <w:color w:val="auto"/>
                      <w:szCs w:val="21"/>
                    </w:rPr>
                    <w:t>氰化物</w:t>
                  </w:r>
                </w:p>
              </w:tc>
              <w:tc>
                <w:tcPr>
                  <w:tcW w:w="1252" w:type="dxa"/>
                  <w:tcBorders>
                    <w:tl2br w:val="nil"/>
                    <w:tr2bl w:val="nil"/>
                  </w:tcBorders>
                  <w:vAlign w:val="center"/>
                </w:tcPr>
                <w:p w14:paraId="3024A005">
                  <w:pPr>
                    <w:jc w:val="center"/>
                    <w:rPr>
                      <w:color w:val="auto"/>
                      <w:szCs w:val="21"/>
                    </w:rPr>
                  </w:pPr>
                  <w:r>
                    <w:rPr>
                      <w:color w:val="auto"/>
                      <w:szCs w:val="21"/>
                    </w:rPr>
                    <w:t>0.001L</w:t>
                  </w:r>
                </w:p>
              </w:tc>
              <w:tc>
                <w:tcPr>
                  <w:tcW w:w="1252" w:type="dxa"/>
                  <w:tcBorders>
                    <w:tl2br w:val="nil"/>
                    <w:tr2bl w:val="nil"/>
                  </w:tcBorders>
                  <w:vAlign w:val="center"/>
                </w:tcPr>
                <w:p w14:paraId="081BAEB8">
                  <w:pPr>
                    <w:jc w:val="center"/>
                    <w:rPr>
                      <w:color w:val="auto"/>
                      <w:szCs w:val="21"/>
                    </w:rPr>
                  </w:pPr>
                  <w:r>
                    <w:rPr>
                      <w:color w:val="auto"/>
                      <w:szCs w:val="21"/>
                    </w:rPr>
                    <w:t>0.001L</w:t>
                  </w:r>
                </w:p>
              </w:tc>
              <w:tc>
                <w:tcPr>
                  <w:tcW w:w="1252" w:type="dxa"/>
                  <w:tcBorders>
                    <w:tl2br w:val="nil"/>
                    <w:tr2bl w:val="nil"/>
                  </w:tcBorders>
                  <w:vAlign w:val="center"/>
                </w:tcPr>
                <w:p w14:paraId="290A8696">
                  <w:pPr>
                    <w:jc w:val="center"/>
                    <w:rPr>
                      <w:color w:val="auto"/>
                      <w:szCs w:val="21"/>
                    </w:rPr>
                  </w:pPr>
                  <w:r>
                    <w:rPr>
                      <w:color w:val="auto"/>
                      <w:szCs w:val="21"/>
                    </w:rPr>
                    <w:t>0.001L</w:t>
                  </w:r>
                </w:p>
              </w:tc>
              <w:tc>
                <w:tcPr>
                  <w:tcW w:w="1076" w:type="dxa"/>
                  <w:tcBorders>
                    <w:tl2br w:val="nil"/>
                    <w:tr2bl w:val="nil"/>
                  </w:tcBorders>
                  <w:vAlign w:val="center"/>
                </w:tcPr>
                <w:p w14:paraId="13D9F5BF">
                  <w:pPr>
                    <w:jc w:val="center"/>
                    <w:rPr>
                      <w:color w:val="auto"/>
                      <w:szCs w:val="21"/>
                    </w:rPr>
                  </w:pPr>
                  <w:r>
                    <w:rPr>
                      <w:color w:val="auto"/>
                      <w:szCs w:val="21"/>
                    </w:rPr>
                    <w:t>0.2</w:t>
                  </w:r>
                </w:p>
              </w:tc>
              <w:tc>
                <w:tcPr>
                  <w:tcW w:w="959" w:type="dxa"/>
                  <w:tcBorders>
                    <w:tl2br w:val="nil"/>
                    <w:tr2bl w:val="nil"/>
                  </w:tcBorders>
                  <w:vAlign w:val="center"/>
                </w:tcPr>
                <w:p w14:paraId="2BB55E47">
                  <w:pPr>
                    <w:jc w:val="center"/>
                    <w:rPr>
                      <w:color w:val="auto"/>
                      <w:szCs w:val="21"/>
                    </w:rPr>
                  </w:pPr>
                  <w:r>
                    <w:rPr>
                      <w:color w:val="auto"/>
                      <w:szCs w:val="21"/>
                    </w:rPr>
                    <w:t>是</w:t>
                  </w:r>
                </w:p>
              </w:tc>
            </w:tr>
            <w:tr w14:paraId="6056D5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493C0D32">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1FD3131A">
                  <w:pPr>
                    <w:jc w:val="center"/>
                    <w:rPr>
                      <w:color w:val="auto"/>
                      <w:szCs w:val="21"/>
                    </w:rPr>
                  </w:pPr>
                  <w:r>
                    <w:rPr>
                      <w:color w:val="auto"/>
                      <w:szCs w:val="21"/>
                    </w:rPr>
                    <w:t>挥发酚</w:t>
                  </w:r>
                </w:p>
              </w:tc>
              <w:tc>
                <w:tcPr>
                  <w:tcW w:w="1252" w:type="dxa"/>
                  <w:tcBorders>
                    <w:tl2br w:val="nil"/>
                    <w:tr2bl w:val="nil"/>
                  </w:tcBorders>
                  <w:vAlign w:val="center"/>
                </w:tcPr>
                <w:p w14:paraId="7F90A169">
                  <w:pPr>
                    <w:widowControl/>
                    <w:jc w:val="center"/>
                    <w:rPr>
                      <w:color w:val="auto"/>
                      <w:szCs w:val="21"/>
                    </w:rPr>
                  </w:pPr>
                  <w:r>
                    <w:rPr>
                      <w:color w:val="auto"/>
                      <w:szCs w:val="21"/>
                    </w:rPr>
                    <w:t>0.0003L</w:t>
                  </w:r>
                </w:p>
              </w:tc>
              <w:tc>
                <w:tcPr>
                  <w:tcW w:w="1252" w:type="dxa"/>
                  <w:tcBorders>
                    <w:tl2br w:val="nil"/>
                    <w:tr2bl w:val="nil"/>
                  </w:tcBorders>
                  <w:vAlign w:val="center"/>
                </w:tcPr>
                <w:p w14:paraId="6A8D3898">
                  <w:pPr>
                    <w:widowControl/>
                    <w:jc w:val="center"/>
                    <w:rPr>
                      <w:color w:val="auto"/>
                      <w:szCs w:val="21"/>
                    </w:rPr>
                  </w:pPr>
                  <w:r>
                    <w:rPr>
                      <w:color w:val="auto"/>
                      <w:szCs w:val="21"/>
                    </w:rPr>
                    <w:t>0.0003L</w:t>
                  </w:r>
                </w:p>
              </w:tc>
              <w:tc>
                <w:tcPr>
                  <w:tcW w:w="1252" w:type="dxa"/>
                  <w:tcBorders>
                    <w:tl2br w:val="nil"/>
                    <w:tr2bl w:val="nil"/>
                  </w:tcBorders>
                  <w:vAlign w:val="center"/>
                </w:tcPr>
                <w:p w14:paraId="46C11E5F">
                  <w:pPr>
                    <w:widowControl/>
                    <w:jc w:val="center"/>
                    <w:rPr>
                      <w:color w:val="auto"/>
                      <w:szCs w:val="21"/>
                    </w:rPr>
                  </w:pPr>
                  <w:r>
                    <w:rPr>
                      <w:color w:val="auto"/>
                      <w:szCs w:val="21"/>
                    </w:rPr>
                    <w:t>0.0003L</w:t>
                  </w:r>
                </w:p>
              </w:tc>
              <w:tc>
                <w:tcPr>
                  <w:tcW w:w="1076" w:type="dxa"/>
                  <w:tcBorders>
                    <w:tl2br w:val="nil"/>
                    <w:tr2bl w:val="nil"/>
                  </w:tcBorders>
                  <w:vAlign w:val="center"/>
                </w:tcPr>
                <w:p w14:paraId="79B705B7">
                  <w:pPr>
                    <w:widowControl/>
                    <w:jc w:val="center"/>
                    <w:rPr>
                      <w:color w:val="auto"/>
                      <w:szCs w:val="21"/>
                    </w:rPr>
                  </w:pPr>
                  <w:r>
                    <w:rPr>
                      <w:color w:val="auto"/>
                      <w:szCs w:val="21"/>
                    </w:rPr>
                    <w:t>0.005</w:t>
                  </w:r>
                </w:p>
              </w:tc>
              <w:tc>
                <w:tcPr>
                  <w:tcW w:w="959" w:type="dxa"/>
                  <w:tcBorders>
                    <w:tl2br w:val="nil"/>
                    <w:tr2bl w:val="nil"/>
                  </w:tcBorders>
                  <w:vAlign w:val="center"/>
                </w:tcPr>
                <w:p w14:paraId="7D632A33">
                  <w:pPr>
                    <w:jc w:val="center"/>
                    <w:rPr>
                      <w:color w:val="auto"/>
                      <w:szCs w:val="21"/>
                    </w:rPr>
                  </w:pPr>
                  <w:r>
                    <w:rPr>
                      <w:color w:val="auto"/>
                      <w:szCs w:val="21"/>
                    </w:rPr>
                    <w:t>是</w:t>
                  </w:r>
                </w:p>
              </w:tc>
            </w:tr>
            <w:tr w14:paraId="44969F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7E5A82A5">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7152FD0F">
                  <w:pPr>
                    <w:jc w:val="center"/>
                    <w:rPr>
                      <w:color w:val="auto"/>
                      <w:szCs w:val="21"/>
                    </w:rPr>
                  </w:pPr>
                  <w:r>
                    <w:rPr>
                      <w:color w:val="auto"/>
                      <w:szCs w:val="21"/>
                    </w:rPr>
                    <w:t>石油类</w:t>
                  </w:r>
                </w:p>
              </w:tc>
              <w:tc>
                <w:tcPr>
                  <w:tcW w:w="1252" w:type="dxa"/>
                  <w:tcBorders>
                    <w:tl2br w:val="nil"/>
                    <w:tr2bl w:val="nil"/>
                  </w:tcBorders>
                  <w:vAlign w:val="center"/>
                </w:tcPr>
                <w:p w14:paraId="17C311E0">
                  <w:pPr>
                    <w:widowControl/>
                    <w:jc w:val="center"/>
                    <w:rPr>
                      <w:color w:val="auto"/>
                      <w:szCs w:val="21"/>
                    </w:rPr>
                  </w:pPr>
                  <w:r>
                    <w:rPr>
                      <w:color w:val="auto"/>
                      <w:szCs w:val="21"/>
                    </w:rPr>
                    <w:t>0.01L</w:t>
                  </w:r>
                </w:p>
              </w:tc>
              <w:tc>
                <w:tcPr>
                  <w:tcW w:w="1252" w:type="dxa"/>
                  <w:tcBorders>
                    <w:tl2br w:val="nil"/>
                    <w:tr2bl w:val="nil"/>
                  </w:tcBorders>
                  <w:vAlign w:val="center"/>
                </w:tcPr>
                <w:p w14:paraId="319187BB">
                  <w:pPr>
                    <w:widowControl/>
                    <w:jc w:val="center"/>
                    <w:rPr>
                      <w:color w:val="auto"/>
                      <w:szCs w:val="21"/>
                    </w:rPr>
                  </w:pPr>
                  <w:r>
                    <w:rPr>
                      <w:color w:val="auto"/>
                      <w:szCs w:val="21"/>
                    </w:rPr>
                    <w:t>0.01L</w:t>
                  </w:r>
                </w:p>
              </w:tc>
              <w:tc>
                <w:tcPr>
                  <w:tcW w:w="1252" w:type="dxa"/>
                  <w:tcBorders>
                    <w:tl2br w:val="nil"/>
                    <w:tr2bl w:val="nil"/>
                  </w:tcBorders>
                  <w:vAlign w:val="center"/>
                </w:tcPr>
                <w:p w14:paraId="3710E41B">
                  <w:pPr>
                    <w:widowControl/>
                    <w:jc w:val="center"/>
                    <w:rPr>
                      <w:color w:val="auto"/>
                      <w:szCs w:val="21"/>
                    </w:rPr>
                  </w:pPr>
                  <w:r>
                    <w:rPr>
                      <w:color w:val="auto"/>
                      <w:szCs w:val="21"/>
                    </w:rPr>
                    <w:t>0.01L</w:t>
                  </w:r>
                </w:p>
              </w:tc>
              <w:tc>
                <w:tcPr>
                  <w:tcW w:w="1076" w:type="dxa"/>
                  <w:tcBorders>
                    <w:tl2br w:val="nil"/>
                    <w:tr2bl w:val="nil"/>
                  </w:tcBorders>
                  <w:vAlign w:val="center"/>
                </w:tcPr>
                <w:p w14:paraId="1E0BAB1D">
                  <w:pPr>
                    <w:widowControl/>
                    <w:jc w:val="center"/>
                    <w:rPr>
                      <w:color w:val="auto"/>
                      <w:szCs w:val="21"/>
                    </w:rPr>
                  </w:pPr>
                  <w:r>
                    <w:rPr>
                      <w:color w:val="auto"/>
                      <w:szCs w:val="21"/>
                    </w:rPr>
                    <w:t>0.05</w:t>
                  </w:r>
                </w:p>
              </w:tc>
              <w:tc>
                <w:tcPr>
                  <w:tcW w:w="959" w:type="dxa"/>
                  <w:tcBorders>
                    <w:tl2br w:val="nil"/>
                    <w:tr2bl w:val="nil"/>
                  </w:tcBorders>
                  <w:vAlign w:val="center"/>
                </w:tcPr>
                <w:p w14:paraId="40B04011">
                  <w:pPr>
                    <w:jc w:val="center"/>
                    <w:rPr>
                      <w:color w:val="auto"/>
                      <w:szCs w:val="21"/>
                    </w:rPr>
                  </w:pPr>
                  <w:r>
                    <w:rPr>
                      <w:color w:val="auto"/>
                      <w:szCs w:val="21"/>
                    </w:rPr>
                    <w:t>是</w:t>
                  </w:r>
                </w:p>
              </w:tc>
            </w:tr>
            <w:tr w14:paraId="00546E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616EC481">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717573A2">
                  <w:pPr>
                    <w:jc w:val="center"/>
                    <w:rPr>
                      <w:color w:val="auto"/>
                      <w:szCs w:val="21"/>
                    </w:rPr>
                  </w:pPr>
                  <w:r>
                    <w:rPr>
                      <w:color w:val="auto"/>
                      <w:szCs w:val="21"/>
                    </w:rPr>
                    <w:t>LAS</w:t>
                  </w:r>
                </w:p>
              </w:tc>
              <w:tc>
                <w:tcPr>
                  <w:tcW w:w="1252" w:type="dxa"/>
                  <w:tcBorders>
                    <w:tl2br w:val="nil"/>
                    <w:tr2bl w:val="nil"/>
                  </w:tcBorders>
                  <w:vAlign w:val="center"/>
                </w:tcPr>
                <w:p w14:paraId="41E207D6">
                  <w:pPr>
                    <w:widowControl/>
                    <w:jc w:val="center"/>
                    <w:rPr>
                      <w:color w:val="auto"/>
                      <w:szCs w:val="21"/>
                    </w:rPr>
                  </w:pPr>
                  <w:r>
                    <w:rPr>
                      <w:color w:val="auto"/>
                      <w:szCs w:val="21"/>
                    </w:rPr>
                    <w:t>0.06</w:t>
                  </w:r>
                </w:p>
              </w:tc>
              <w:tc>
                <w:tcPr>
                  <w:tcW w:w="1252" w:type="dxa"/>
                  <w:tcBorders>
                    <w:tl2br w:val="nil"/>
                    <w:tr2bl w:val="nil"/>
                  </w:tcBorders>
                  <w:vAlign w:val="center"/>
                </w:tcPr>
                <w:p w14:paraId="17536B7F">
                  <w:pPr>
                    <w:widowControl/>
                    <w:jc w:val="center"/>
                    <w:rPr>
                      <w:color w:val="auto"/>
                      <w:szCs w:val="21"/>
                    </w:rPr>
                  </w:pPr>
                  <w:r>
                    <w:rPr>
                      <w:color w:val="auto"/>
                      <w:szCs w:val="21"/>
                    </w:rPr>
                    <w:t>0.07</w:t>
                  </w:r>
                </w:p>
              </w:tc>
              <w:tc>
                <w:tcPr>
                  <w:tcW w:w="1252" w:type="dxa"/>
                  <w:tcBorders>
                    <w:tl2br w:val="nil"/>
                    <w:tr2bl w:val="nil"/>
                  </w:tcBorders>
                  <w:vAlign w:val="center"/>
                </w:tcPr>
                <w:p w14:paraId="764F96F0">
                  <w:pPr>
                    <w:widowControl/>
                    <w:jc w:val="center"/>
                    <w:rPr>
                      <w:color w:val="auto"/>
                      <w:szCs w:val="21"/>
                    </w:rPr>
                  </w:pPr>
                  <w:r>
                    <w:rPr>
                      <w:color w:val="auto"/>
                      <w:szCs w:val="21"/>
                    </w:rPr>
                    <w:t>0.07</w:t>
                  </w:r>
                </w:p>
              </w:tc>
              <w:tc>
                <w:tcPr>
                  <w:tcW w:w="1076" w:type="dxa"/>
                  <w:tcBorders>
                    <w:tl2br w:val="nil"/>
                    <w:tr2bl w:val="nil"/>
                  </w:tcBorders>
                  <w:vAlign w:val="center"/>
                </w:tcPr>
                <w:p w14:paraId="665E710B">
                  <w:pPr>
                    <w:widowControl/>
                    <w:jc w:val="center"/>
                    <w:rPr>
                      <w:color w:val="auto"/>
                      <w:szCs w:val="21"/>
                    </w:rPr>
                  </w:pPr>
                  <w:r>
                    <w:rPr>
                      <w:color w:val="auto"/>
                      <w:szCs w:val="21"/>
                    </w:rPr>
                    <w:t>0.2</w:t>
                  </w:r>
                </w:p>
              </w:tc>
              <w:tc>
                <w:tcPr>
                  <w:tcW w:w="959" w:type="dxa"/>
                  <w:tcBorders>
                    <w:tl2br w:val="nil"/>
                    <w:tr2bl w:val="nil"/>
                  </w:tcBorders>
                  <w:vAlign w:val="center"/>
                </w:tcPr>
                <w:p w14:paraId="50239693">
                  <w:pPr>
                    <w:jc w:val="center"/>
                    <w:rPr>
                      <w:color w:val="auto"/>
                      <w:szCs w:val="21"/>
                    </w:rPr>
                  </w:pPr>
                  <w:r>
                    <w:rPr>
                      <w:color w:val="auto"/>
                      <w:szCs w:val="21"/>
                    </w:rPr>
                    <w:t>是</w:t>
                  </w:r>
                </w:p>
              </w:tc>
            </w:tr>
            <w:tr w14:paraId="47BC04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4223E4AF">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7608E623">
                  <w:pPr>
                    <w:jc w:val="center"/>
                    <w:rPr>
                      <w:color w:val="auto"/>
                      <w:szCs w:val="21"/>
                    </w:rPr>
                  </w:pPr>
                  <w:r>
                    <w:rPr>
                      <w:color w:val="auto"/>
                      <w:szCs w:val="21"/>
                    </w:rPr>
                    <w:t>硫化物</w:t>
                  </w:r>
                </w:p>
              </w:tc>
              <w:tc>
                <w:tcPr>
                  <w:tcW w:w="1252" w:type="dxa"/>
                  <w:tcBorders>
                    <w:tl2br w:val="nil"/>
                    <w:tr2bl w:val="nil"/>
                  </w:tcBorders>
                  <w:vAlign w:val="center"/>
                </w:tcPr>
                <w:p w14:paraId="4E71CFC4">
                  <w:pPr>
                    <w:widowControl/>
                    <w:jc w:val="center"/>
                    <w:rPr>
                      <w:color w:val="auto"/>
                      <w:szCs w:val="21"/>
                    </w:rPr>
                  </w:pPr>
                  <w:r>
                    <w:rPr>
                      <w:color w:val="auto"/>
                      <w:szCs w:val="21"/>
                    </w:rPr>
                    <w:t>0.01L</w:t>
                  </w:r>
                </w:p>
              </w:tc>
              <w:tc>
                <w:tcPr>
                  <w:tcW w:w="1252" w:type="dxa"/>
                  <w:tcBorders>
                    <w:tl2br w:val="nil"/>
                    <w:tr2bl w:val="nil"/>
                  </w:tcBorders>
                  <w:vAlign w:val="center"/>
                </w:tcPr>
                <w:p w14:paraId="7F3C6033">
                  <w:pPr>
                    <w:widowControl/>
                    <w:jc w:val="center"/>
                    <w:rPr>
                      <w:color w:val="auto"/>
                      <w:szCs w:val="21"/>
                    </w:rPr>
                  </w:pPr>
                  <w:r>
                    <w:rPr>
                      <w:color w:val="auto"/>
                      <w:szCs w:val="21"/>
                    </w:rPr>
                    <w:t>0.01L</w:t>
                  </w:r>
                </w:p>
              </w:tc>
              <w:tc>
                <w:tcPr>
                  <w:tcW w:w="1252" w:type="dxa"/>
                  <w:tcBorders>
                    <w:tl2br w:val="nil"/>
                    <w:tr2bl w:val="nil"/>
                  </w:tcBorders>
                  <w:vAlign w:val="center"/>
                </w:tcPr>
                <w:p w14:paraId="4A43881A">
                  <w:pPr>
                    <w:widowControl/>
                    <w:jc w:val="center"/>
                    <w:rPr>
                      <w:color w:val="auto"/>
                      <w:szCs w:val="21"/>
                    </w:rPr>
                  </w:pPr>
                  <w:r>
                    <w:rPr>
                      <w:color w:val="auto"/>
                      <w:szCs w:val="21"/>
                    </w:rPr>
                    <w:t>0.01L</w:t>
                  </w:r>
                </w:p>
              </w:tc>
              <w:tc>
                <w:tcPr>
                  <w:tcW w:w="1076" w:type="dxa"/>
                  <w:tcBorders>
                    <w:tl2br w:val="nil"/>
                    <w:tr2bl w:val="nil"/>
                  </w:tcBorders>
                  <w:vAlign w:val="center"/>
                </w:tcPr>
                <w:p w14:paraId="1BC925CA">
                  <w:pPr>
                    <w:widowControl/>
                    <w:jc w:val="center"/>
                    <w:rPr>
                      <w:color w:val="auto"/>
                      <w:szCs w:val="21"/>
                    </w:rPr>
                  </w:pPr>
                  <w:r>
                    <w:rPr>
                      <w:color w:val="auto"/>
                      <w:szCs w:val="21"/>
                    </w:rPr>
                    <w:t>0.2</w:t>
                  </w:r>
                </w:p>
              </w:tc>
              <w:tc>
                <w:tcPr>
                  <w:tcW w:w="959" w:type="dxa"/>
                  <w:tcBorders>
                    <w:tl2br w:val="nil"/>
                    <w:tr2bl w:val="nil"/>
                  </w:tcBorders>
                  <w:vAlign w:val="center"/>
                </w:tcPr>
                <w:p w14:paraId="0EBB6FC8">
                  <w:pPr>
                    <w:jc w:val="center"/>
                    <w:rPr>
                      <w:color w:val="auto"/>
                      <w:szCs w:val="21"/>
                    </w:rPr>
                  </w:pPr>
                  <w:r>
                    <w:rPr>
                      <w:color w:val="auto"/>
                      <w:szCs w:val="21"/>
                    </w:rPr>
                    <w:t>是</w:t>
                  </w:r>
                </w:p>
              </w:tc>
            </w:tr>
            <w:tr w14:paraId="24C3BE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1300C3F9">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1F6AECEB">
                  <w:pPr>
                    <w:jc w:val="center"/>
                    <w:rPr>
                      <w:color w:val="auto"/>
                      <w:szCs w:val="21"/>
                    </w:rPr>
                  </w:pPr>
                  <w:r>
                    <w:rPr>
                      <w:color w:val="auto"/>
                      <w:szCs w:val="21"/>
                    </w:rPr>
                    <w:t>高锰酸盐指数</w:t>
                  </w:r>
                </w:p>
              </w:tc>
              <w:tc>
                <w:tcPr>
                  <w:tcW w:w="1252" w:type="dxa"/>
                  <w:tcBorders>
                    <w:tl2br w:val="nil"/>
                    <w:tr2bl w:val="nil"/>
                  </w:tcBorders>
                  <w:vAlign w:val="center"/>
                </w:tcPr>
                <w:p w14:paraId="640FB575">
                  <w:pPr>
                    <w:widowControl/>
                    <w:jc w:val="center"/>
                    <w:rPr>
                      <w:color w:val="auto"/>
                      <w:szCs w:val="21"/>
                    </w:rPr>
                  </w:pPr>
                  <w:r>
                    <w:rPr>
                      <w:color w:val="auto"/>
                      <w:szCs w:val="21"/>
                    </w:rPr>
                    <w:t>1.5</w:t>
                  </w:r>
                </w:p>
              </w:tc>
              <w:tc>
                <w:tcPr>
                  <w:tcW w:w="1252" w:type="dxa"/>
                  <w:tcBorders>
                    <w:tl2br w:val="nil"/>
                    <w:tr2bl w:val="nil"/>
                  </w:tcBorders>
                  <w:vAlign w:val="center"/>
                </w:tcPr>
                <w:p w14:paraId="49B12B49">
                  <w:pPr>
                    <w:widowControl/>
                    <w:jc w:val="center"/>
                    <w:rPr>
                      <w:color w:val="auto"/>
                      <w:szCs w:val="21"/>
                    </w:rPr>
                  </w:pPr>
                  <w:r>
                    <w:rPr>
                      <w:color w:val="auto"/>
                      <w:szCs w:val="21"/>
                    </w:rPr>
                    <w:t>1.4</w:t>
                  </w:r>
                </w:p>
              </w:tc>
              <w:tc>
                <w:tcPr>
                  <w:tcW w:w="1252" w:type="dxa"/>
                  <w:tcBorders>
                    <w:tl2br w:val="nil"/>
                    <w:tr2bl w:val="nil"/>
                  </w:tcBorders>
                  <w:vAlign w:val="center"/>
                </w:tcPr>
                <w:p w14:paraId="2CD66AEF">
                  <w:pPr>
                    <w:widowControl/>
                    <w:jc w:val="center"/>
                    <w:rPr>
                      <w:color w:val="auto"/>
                      <w:szCs w:val="21"/>
                    </w:rPr>
                  </w:pPr>
                  <w:r>
                    <w:rPr>
                      <w:color w:val="auto"/>
                      <w:szCs w:val="21"/>
                    </w:rPr>
                    <w:t>1.5</w:t>
                  </w:r>
                </w:p>
              </w:tc>
              <w:tc>
                <w:tcPr>
                  <w:tcW w:w="1076" w:type="dxa"/>
                  <w:tcBorders>
                    <w:tl2br w:val="nil"/>
                    <w:tr2bl w:val="nil"/>
                  </w:tcBorders>
                  <w:vAlign w:val="center"/>
                </w:tcPr>
                <w:p w14:paraId="38D11D61">
                  <w:pPr>
                    <w:widowControl/>
                    <w:jc w:val="center"/>
                    <w:rPr>
                      <w:color w:val="auto"/>
                      <w:szCs w:val="21"/>
                    </w:rPr>
                  </w:pPr>
                  <w:r>
                    <w:rPr>
                      <w:color w:val="auto"/>
                      <w:szCs w:val="21"/>
                    </w:rPr>
                    <w:t>6</w:t>
                  </w:r>
                </w:p>
              </w:tc>
              <w:tc>
                <w:tcPr>
                  <w:tcW w:w="959" w:type="dxa"/>
                  <w:tcBorders>
                    <w:tl2br w:val="nil"/>
                    <w:tr2bl w:val="nil"/>
                  </w:tcBorders>
                  <w:vAlign w:val="center"/>
                </w:tcPr>
                <w:p w14:paraId="4960E1D0">
                  <w:pPr>
                    <w:jc w:val="center"/>
                    <w:rPr>
                      <w:color w:val="auto"/>
                      <w:szCs w:val="21"/>
                    </w:rPr>
                  </w:pPr>
                  <w:r>
                    <w:rPr>
                      <w:color w:val="auto"/>
                      <w:szCs w:val="21"/>
                    </w:rPr>
                    <w:t>是</w:t>
                  </w:r>
                </w:p>
              </w:tc>
            </w:tr>
            <w:tr w14:paraId="05D90D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0476018F">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3E268C36">
                  <w:pPr>
                    <w:jc w:val="center"/>
                    <w:rPr>
                      <w:color w:val="auto"/>
                      <w:szCs w:val="21"/>
                    </w:rPr>
                  </w:pPr>
                  <w:r>
                    <w:rPr>
                      <w:color w:val="auto"/>
                      <w:szCs w:val="21"/>
                    </w:rPr>
                    <w:t>六价铬</w:t>
                  </w:r>
                </w:p>
              </w:tc>
              <w:tc>
                <w:tcPr>
                  <w:tcW w:w="1252" w:type="dxa"/>
                  <w:tcBorders>
                    <w:tl2br w:val="nil"/>
                    <w:tr2bl w:val="nil"/>
                  </w:tcBorders>
                  <w:vAlign w:val="center"/>
                </w:tcPr>
                <w:p w14:paraId="67DDD579">
                  <w:pPr>
                    <w:widowControl/>
                    <w:jc w:val="center"/>
                    <w:rPr>
                      <w:color w:val="auto"/>
                      <w:szCs w:val="21"/>
                    </w:rPr>
                  </w:pPr>
                  <w:r>
                    <w:rPr>
                      <w:color w:val="auto"/>
                      <w:szCs w:val="21"/>
                    </w:rPr>
                    <w:t>0.004L</w:t>
                  </w:r>
                </w:p>
              </w:tc>
              <w:tc>
                <w:tcPr>
                  <w:tcW w:w="1252" w:type="dxa"/>
                  <w:tcBorders>
                    <w:tl2br w:val="nil"/>
                    <w:tr2bl w:val="nil"/>
                  </w:tcBorders>
                  <w:vAlign w:val="center"/>
                </w:tcPr>
                <w:p w14:paraId="44536557">
                  <w:pPr>
                    <w:widowControl/>
                    <w:jc w:val="center"/>
                    <w:rPr>
                      <w:color w:val="auto"/>
                      <w:szCs w:val="21"/>
                    </w:rPr>
                  </w:pPr>
                  <w:r>
                    <w:rPr>
                      <w:color w:val="auto"/>
                      <w:szCs w:val="21"/>
                    </w:rPr>
                    <w:t>0.004L</w:t>
                  </w:r>
                </w:p>
              </w:tc>
              <w:tc>
                <w:tcPr>
                  <w:tcW w:w="1252" w:type="dxa"/>
                  <w:tcBorders>
                    <w:tl2br w:val="nil"/>
                    <w:tr2bl w:val="nil"/>
                  </w:tcBorders>
                  <w:vAlign w:val="center"/>
                </w:tcPr>
                <w:p w14:paraId="4E63810A">
                  <w:pPr>
                    <w:widowControl/>
                    <w:jc w:val="center"/>
                    <w:rPr>
                      <w:color w:val="auto"/>
                      <w:szCs w:val="21"/>
                    </w:rPr>
                  </w:pPr>
                  <w:r>
                    <w:rPr>
                      <w:color w:val="auto"/>
                      <w:szCs w:val="21"/>
                    </w:rPr>
                    <w:t>0.004L</w:t>
                  </w:r>
                </w:p>
              </w:tc>
              <w:tc>
                <w:tcPr>
                  <w:tcW w:w="1076" w:type="dxa"/>
                  <w:tcBorders>
                    <w:tl2br w:val="nil"/>
                    <w:tr2bl w:val="nil"/>
                  </w:tcBorders>
                  <w:vAlign w:val="center"/>
                </w:tcPr>
                <w:p w14:paraId="5A5A2C94">
                  <w:pPr>
                    <w:widowControl/>
                    <w:jc w:val="center"/>
                    <w:rPr>
                      <w:color w:val="auto"/>
                      <w:szCs w:val="21"/>
                    </w:rPr>
                  </w:pPr>
                  <w:r>
                    <w:rPr>
                      <w:color w:val="auto"/>
                      <w:szCs w:val="21"/>
                    </w:rPr>
                    <w:t>0.05</w:t>
                  </w:r>
                </w:p>
              </w:tc>
              <w:tc>
                <w:tcPr>
                  <w:tcW w:w="959" w:type="dxa"/>
                  <w:tcBorders>
                    <w:tl2br w:val="nil"/>
                    <w:tr2bl w:val="nil"/>
                  </w:tcBorders>
                  <w:vAlign w:val="center"/>
                </w:tcPr>
                <w:p w14:paraId="506D22B3">
                  <w:pPr>
                    <w:jc w:val="center"/>
                    <w:rPr>
                      <w:color w:val="auto"/>
                      <w:szCs w:val="21"/>
                    </w:rPr>
                  </w:pPr>
                  <w:r>
                    <w:rPr>
                      <w:color w:val="auto"/>
                      <w:szCs w:val="21"/>
                    </w:rPr>
                    <w:t>是</w:t>
                  </w:r>
                </w:p>
              </w:tc>
            </w:tr>
            <w:tr w14:paraId="761CDB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72E07932">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289669C7">
                  <w:pPr>
                    <w:jc w:val="center"/>
                    <w:rPr>
                      <w:color w:val="auto"/>
                      <w:szCs w:val="21"/>
                    </w:rPr>
                  </w:pPr>
                  <w:r>
                    <w:rPr>
                      <w:color w:val="auto"/>
                      <w:szCs w:val="21"/>
                    </w:rPr>
                    <w:t>悬浮物</w:t>
                  </w:r>
                </w:p>
              </w:tc>
              <w:tc>
                <w:tcPr>
                  <w:tcW w:w="1252" w:type="dxa"/>
                  <w:tcBorders>
                    <w:tl2br w:val="nil"/>
                    <w:tr2bl w:val="nil"/>
                  </w:tcBorders>
                  <w:vAlign w:val="center"/>
                </w:tcPr>
                <w:p w14:paraId="2D64BF73">
                  <w:pPr>
                    <w:widowControl/>
                    <w:jc w:val="center"/>
                    <w:rPr>
                      <w:color w:val="auto"/>
                      <w:szCs w:val="21"/>
                    </w:rPr>
                  </w:pPr>
                  <w:r>
                    <w:rPr>
                      <w:color w:val="auto"/>
                      <w:szCs w:val="21"/>
                    </w:rPr>
                    <w:t>7</w:t>
                  </w:r>
                </w:p>
              </w:tc>
              <w:tc>
                <w:tcPr>
                  <w:tcW w:w="1252" w:type="dxa"/>
                  <w:tcBorders>
                    <w:tl2br w:val="nil"/>
                    <w:tr2bl w:val="nil"/>
                  </w:tcBorders>
                  <w:vAlign w:val="center"/>
                </w:tcPr>
                <w:p w14:paraId="0D11758C">
                  <w:pPr>
                    <w:widowControl/>
                    <w:jc w:val="center"/>
                    <w:rPr>
                      <w:color w:val="auto"/>
                      <w:szCs w:val="21"/>
                    </w:rPr>
                  </w:pPr>
                  <w:r>
                    <w:rPr>
                      <w:color w:val="auto"/>
                      <w:szCs w:val="21"/>
                    </w:rPr>
                    <w:t>9</w:t>
                  </w:r>
                </w:p>
              </w:tc>
              <w:tc>
                <w:tcPr>
                  <w:tcW w:w="1252" w:type="dxa"/>
                  <w:tcBorders>
                    <w:tl2br w:val="nil"/>
                    <w:tr2bl w:val="nil"/>
                  </w:tcBorders>
                  <w:vAlign w:val="center"/>
                </w:tcPr>
                <w:p w14:paraId="71D73C5F">
                  <w:pPr>
                    <w:widowControl/>
                    <w:jc w:val="center"/>
                    <w:rPr>
                      <w:color w:val="auto"/>
                      <w:szCs w:val="21"/>
                    </w:rPr>
                  </w:pPr>
                  <w:r>
                    <w:rPr>
                      <w:color w:val="auto"/>
                      <w:szCs w:val="21"/>
                    </w:rPr>
                    <w:t>11</w:t>
                  </w:r>
                </w:p>
              </w:tc>
              <w:tc>
                <w:tcPr>
                  <w:tcW w:w="1076" w:type="dxa"/>
                  <w:tcBorders>
                    <w:tl2br w:val="nil"/>
                    <w:tr2bl w:val="nil"/>
                  </w:tcBorders>
                  <w:vAlign w:val="center"/>
                </w:tcPr>
                <w:p w14:paraId="6933F169">
                  <w:pPr>
                    <w:jc w:val="center"/>
                    <w:rPr>
                      <w:color w:val="auto"/>
                      <w:szCs w:val="21"/>
                    </w:rPr>
                  </w:pPr>
                  <w:r>
                    <w:rPr>
                      <w:color w:val="auto"/>
                      <w:szCs w:val="21"/>
                    </w:rPr>
                    <w:t>/</w:t>
                  </w:r>
                </w:p>
              </w:tc>
              <w:tc>
                <w:tcPr>
                  <w:tcW w:w="959" w:type="dxa"/>
                  <w:tcBorders>
                    <w:tl2br w:val="nil"/>
                    <w:tr2bl w:val="nil"/>
                  </w:tcBorders>
                  <w:vAlign w:val="center"/>
                </w:tcPr>
                <w:p w14:paraId="08C12E60">
                  <w:pPr>
                    <w:jc w:val="center"/>
                    <w:rPr>
                      <w:color w:val="auto"/>
                      <w:szCs w:val="21"/>
                    </w:rPr>
                  </w:pPr>
                  <w:r>
                    <w:rPr>
                      <w:color w:val="auto"/>
                      <w:szCs w:val="21"/>
                    </w:rPr>
                    <w:t>是</w:t>
                  </w:r>
                </w:p>
              </w:tc>
            </w:tr>
            <w:tr w14:paraId="16652C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87" w:type="dxa"/>
                  <w:vMerge w:val="continue"/>
                  <w:tcBorders>
                    <w:tl2br w:val="nil"/>
                    <w:tr2bl w:val="nil"/>
                  </w:tcBorders>
                  <w:vAlign w:val="center"/>
                </w:tcPr>
                <w:p w14:paraId="4C1FF01D">
                  <w:pPr>
                    <w:pStyle w:val="9"/>
                    <w:spacing w:before="0" w:after="0" w:line="240" w:lineRule="auto"/>
                    <w:ind w:right="0"/>
                    <w:jc w:val="center"/>
                    <w:rPr>
                      <w:color w:val="auto"/>
                      <w:kern w:val="2"/>
                      <w:sz w:val="21"/>
                      <w:szCs w:val="21"/>
                    </w:rPr>
                  </w:pPr>
                </w:p>
              </w:tc>
              <w:tc>
                <w:tcPr>
                  <w:tcW w:w="1085" w:type="dxa"/>
                  <w:tcBorders>
                    <w:tl2br w:val="nil"/>
                    <w:tr2bl w:val="nil"/>
                  </w:tcBorders>
                  <w:vAlign w:val="center"/>
                </w:tcPr>
                <w:p w14:paraId="004B696C">
                  <w:pPr>
                    <w:jc w:val="center"/>
                    <w:rPr>
                      <w:color w:val="auto"/>
                      <w:szCs w:val="21"/>
                    </w:rPr>
                  </w:pPr>
                  <w:r>
                    <w:rPr>
                      <w:color w:val="auto"/>
                      <w:szCs w:val="21"/>
                    </w:rPr>
                    <w:t>粪大肠菌群</w:t>
                  </w:r>
                </w:p>
              </w:tc>
              <w:tc>
                <w:tcPr>
                  <w:tcW w:w="1252" w:type="dxa"/>
                  <w:tcBorders>
                    <w:tl2br w:val="nil"/>
                    <w:tr2bl w:val="nil"/>
                  </w:tcBorders>
                  <w:vAlign w:val="center"/>
                </w:tcPr>
                <w:p w14:paraId="68180263">
                  <w:pPr>
                    <w:widowControl/>
                    <w:jc w:val="center"/>
                    <w:rPr>
                      <w:color w:val="auto"/>
                      <w:szCs w:val="21"/>
                    </w:rPr>
                  </w:pPr>
                  <w:r>
                    <w:rPr>
                      <w:color w:val="auto"/>
                      <w:szCs w:val="21"/>
                    </w:rPr>
                    <w:t>10L</w:t>
                  </w:r>
                </w:p>
              </w:tc>
              <w:tc>
                <w:tcPr>
                  <w:tcW w:w="1252" w:type="dxa"/>
                  <w:tcBorders>
                    <w:tl2br w:val="nil"/>
                    <w:tr2bl w:val="nil"/>
                  </w:tcBorders>
                  <w:vAlign w:val="center"/>
                </w:tcPr>
                <w:p w14:paraId="7C208BF8">
                  <w:pPr>
                    <w:widowControl/>
                    <w:jc w:val="center"/>
                    <w:rPr>
                      <w:color w:val="auto"/>
                      <w:szCs w:val="21"/>
                    </w:rPr>
                  </w:pPr>
                  <w:r>
                    <w:rPr>
                      <w:color w:val="auto"/>
                      <w:szCs w:val="21"/>
                    </w:rPr>
                    <w:t>10L</w:t>
                  </w:r>
                </w:p>
              </w:tc>
              <w:tc>
                <w:tcPr>
                  <w:tcW w:w="1252" w:type="dxa"/>
                  <w:tcBorders>
                    <w:tl2br w:val="nil"/>
                    <w:tr2bl w:val="nil"/>
                  </w:tcBorders>
                  <w:vAlign w:val="center"/>
                </w:tcPr>
                <w:p w14:paraId="07A6A8ED">
                  <w:pPr>
                    <w:widowControl/>
                    <w:jc w:val="center"/>
                    <w:rPr>
                      <w:color w:val="auto"/>
                      <w:szCs w:val="21"/>
                    </w:rPr>
                  </w:pPr>
                  <w:r>
                    <w:rPr>
                      <w:color w:val="auto"/>
                      <w:szCs w:val="21"/>
                    </w:rPr>
                    <w:t>10L</w:t>
                  </w:r>
                </w:p>
              </w:tc>
              <w:tc>
                <w:tcPr>
                  <w:tcW w:w="1076" w:type="dxa"/>
                  <w:tcBorders>
                    <w:tl2br w:val="nil"/>
                    <w:tr2bl w:val="nil"/>
                  </w:tcBorders>
                  <w:vAlign w:val="center"/>
                </w:tcPr>
                <w:p w14:paraId="1FAB3B14">
                  <w:pPr>
                    <w:widowControl/>
                    <w:jc w:val="center"/>
                    <w:rPr>
                      <w:color w:val="auto"/>
                      <w:szCs w:val="21"/>
                    </w:rPr>
                  </w:pPr>
                  <w:r>
                    <w:rPr>
                      <w:color w:val="auto"/>
                      <w:szCs w:val="21"/>
                    </w:rPr>
                    <w:t>10000</w:t>
                  </w:r>
                </w:p>
              </w:tc>
              <w:tc>
                <w:tcPr>
                  <w:tcW w:w="959" w:type="dxa"/>
                  <w:tcBorders>
                    <w:tl2br w:val="nil"/>
                    <w:tr2bl w:val="nil"/>
                  </w:tcBorders>
                  <w:vAlign w:val="center"/>
                </w:tcPr>
                <w:p w14:paraId="070643D6">
                  <w:pPr>
                    <w:jc w:val="center"/>
                    <w:rPr>
                      <w:color w:val="auto"/>
                      <w:szCs w:val="21"/>
                    </w:rPr>
                  </w:pPr>
                  <w:r>
                    <w:rPr>
                      <w:color w:val="auto"/>
                      <w:szCs w:val="21"/>
                    </w:rPr>
                    <w:t>是</w:t>
                  </w:r>
                </w:p>
              </w:tc>
            </w:tr>
            <w:tr w14:paraId="57E4E0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863" w:type="dxa"/>
                  <w:gridSpan w:val="7"/>
                  <w:tcBorders>
                    <w:tl2br w:val="nil"/>
                    <w:tr2bl w:val="nil"/>
                  </w:tcBorders>
                  <w:vAlign w:val="center"/>
                </w:tcPr>
                <w:p w14:paraId="4276854E">
                  <w:pPr>
                    <w:jc w:val="center"/>
                    <w:rPr>
                      <w:color w:val="auto"/>
                      <w:szCs w:val="21"/>
                    </w:rPr>
                  </w:pPr>
                  <w:r>
                    <w:rPr>
                      <w:color w:val="auto"/>
                      <w:szCs w:val="21"/>
                    </w:rPr>
                    <w:t>注：检测结果小于检测方法检出限，用检出限+L表示</w:t>
                  </w:r>
                </w:p>
              </w:tc>
            </w:tr>
          </w:tbl>
          <w:p w14:paraId="028815B6">
            <w:pPr>
              <w:pStyle w:val="9"/>
              <w:spacing w:before="0" w:after="0" w:line="360" w:lineRule="auto"/>
              <w:ind w:right="0" w:firstLine="480" w:firstLineChars="200"/>
              <w:rPr>
                <w:color w:val="auto"/>
                <w:sz w:val="24"/>
                <w:szCs w:val="20"/>
              </w:rPr>
            </w:pPr>
            <w:r>
              <w:rPr>
                <w:color w:val="auto"/>
                <w:sz w:val="24"/>
                <w:szCs w:val="20"/>
              </w:rPr>
              <w:t>根据</w:t>
            </w:r>
            <w:r>
              <w:rPr>
                <w:rFonts w:hint="eastAsia"/>
                <w:color w:val="auto"/>
                <w:sz w:val="24"/>
                <w:szCs w:val="20"/>
              </w:rPr>
              <w:t>上表</w:t>
            </w:r>
            <w:r>
              <w:rPr>
                <w:color w:val="auto"/>
                <w:sz w:val="24"/>
                <w:szCs w:val="20"/>
              </w:rPr>
              <w:t>可知，采桑湖地表水各项</w:t>
            </w:r>
            <w:r>
              <w:rPr>
                <w:rFonts w:hint="eastAsia"/>
                <w:color w:val="auto"/>
                <w:sz w:val="24"/>
                <w:szCs w:val="20"/>
              </w:rPr>
              <w:t>监测</w:t>
            </w:r>
            <w:r>
              <w:rPr>
                <w:color w:val="auto"/>
                <w:sz w:val="24"/>
                <w:szCs w:val="20"/>
              </w:rPr>
              <w:t>因子均能达到</w:t>
            </w:r>
            <w:r>
              <w:rPr>
                <w:color w:val="auto"/>
                <w:sz w:val="24"/>
              </w:rPr>
              <w:t>《地表水环境质量标准》（GB3838-2002）Ⅲ类标准</w:t>
            </w:r>
            <w:r>
              <w:rPr>
                <w:rFonts w:hint="eastAsia"/>
                <w:color w:val="auto"/>
                <w:sz w:val="24"/>
                <w:szCs w:val="20"/>
              </w:rPr>
              <w:t>。</w:t>
            </w:r>
          </w:p>
          <w:p w14:paraId="39B5A456">
            <w:pPr>
              <w:spacing w:line="360" w:lineRule="auto"/>
              <w:ind w:firstLine="482" w:firstLineChars="200"/>
              <w:rPr>
                <w:b/>
                <w:bCs/>
                <w:color w:val="auto"/>
                <w:sz w:val="24"/>
                <w:u w:val="single"/>
              </w:rPr>
            </w:pPr>
            <w:r>
              <w:rPr>
                <w:b/>
                <w:bCs/>
                <w:color w:val="auto"/>
                <w:sz w:val="24"/>
                <w:u w:val="single"/>
              </w:rPr>
              <w:t>3.2</w:t>
            </w:r>
            <w:r>
              <w:rPr>
                <w:rFonts w:hint="eastAsia"/>
                <w:b/>
                <w:bCs/>
                <w:color w:val="auto"/>
                <w:sz w:val="24"/>
                <w:u w:val="single"/>
              </w:rPr>
              <w:t>、</w:t>
            </w:r>
            <w:r>
              <w:rPr>
                <w:b/>
                <w:bCs/>
                <w:color w:val="auto"/>
                <w:sz w:val="24"/>
                <w:u w:val="single"/>
              </w:rPr>
              <w:t>项目区鱼塘地表水监测</w:t>
            </w:r>
          </w:p>
          <w:p w14:paraId="086E3A16">
            <w:pPr>
              <w:adjustRightInd w:val="0"/>
              <w:snapToGrid w:val="0"/>
              <w:spacing w:line="360" w:lineRule="auto"/>
              <w:ind w:firstLine="480" w:firstLineChars="200"/>
              <w:jc w:val="left"/>
              <w:rPr>
                <w:color w:val="auto"/>
                <w:sz w:val="24"/>
                <w:u w:val="single"/>
              </w:rPr>
            </w:pPr>
            <w:r>
              <w:rPr>
                <w:color w:val="auto"/>
                <w:sz w:val="24"/>
                <w:u w:val="single"/>
              </w:rPr>
              <w:t>为了解</w:t>
            </w:r>
            <w:r>
              <w:rPr>
                <w:rFonts w:hint="eastAsia"/>
                <w:color w:val="auto"/>
                <w:sz w:val="24"/>
                <w:u w:val="single"/>
              </w:rPr>
              <w:t>区域内</w:t>
            </w:r>
            <w:r>
              <w:rPr>
                <w:rFonts w:hint="eastAsia"/>
                <w:color w:val="auto"/>
                <w:kern w:val="0"/>
                <w:sz w:val="24"/>
                <w:u w:val="single"/>
              </w:rPr>
              <w:t>鱼塘</w:t>
            </w:r>
            <w:r>
              <w:rPr>
                <w:rFonts w:hint="eastAsia"/>
                <w:color w:val="auto"/>
                <w:sz w:val="24"/>
                <w:u w:val="single"/>
              </w:rPr>
              <w:t>地表</w:t>
            </w:r>
            <w:r>
              <w:rPr>
                <w:color w:val="auto"/>
                <w:sz w:val="24"/>
                <w:u w:val="single"/>
              </w:rPr>
              <w:t>水环境质量现状，特</w:t>
            </w:r>
            <w:r>
              <w:rPr>
                <w:rFonts w:hint="eastAsia"/>
                <w:color w:val="auto"/>
                <w:sz w:val="24"/>
                <w:u w:val="single"/>
              </w:rPr>
              <w:t>委托湖南聚鸿环保科技有限公司于2025年7月24日-25日对鱼塘进行</w:t>
            </w:r>
            <w:r>
              <w:rPr>
                <w:color w:val="auto"/>
                <w:sz w:val="24"/>
                <w:u w:val="single"/>
              </w:rPr>
              <w:t>水质监测。</w:t>
            </w:r>
            <w:r>
              <w:rPr>
                <w:rFonts w:hint="eastAsia"/>
                <w:color w:val="auto"/>
                <w:sz w:val="24"/>
                <w:u w:val="single"/>
              </w:rPr>
              <w:t>监测结果具体情况如表3-</w:t>
            </w:r>
            <w:r>
              <w:rPr>
                <w:rFonts w:hint="eastAsia"/>
                <w:color w:val="auto"/>
                <w:sz w:val="24"/>
                <w:u w:val="single"/>
                <w:lang w:val="en-US" w:eastAsia="zh-CN"/>
              </w:rPr>
              <w:t>7</w:t>
            </w:r>
            <w:r>
              <w:rPr>
                <w:rFonts w:hint="eastAsia"/>
                <w:color w:val="auto"/>
                <w:sz w:val="24"/>
                <w:u w:val="single"/>
              </w:rPr>
              <w:t>。</w:t>
            </w:r>
          </w:p>
          <w:p w14:paraId="07B70303">
            <w:pPr>
              <w:widowControl/>
              <w:snapToGrid w:val="0"/>
              <w:ind w:firstLine="422" w:firstLineChars="200"/>
              <w:jc w:val="center"/>
              <w:rPr>
                <w:b/>
                <w:bCs/>
                <w:color w:val="auto"/>
                <w:szCs w:val="21"/>
                <w:u w:val="single"/>
              </w:rPr>
            </w:pPr>
            <w:r>
              <w:rPr>
                <w:b/>
                <w:bCs/>
                <w:color w:val="auto"/>
                <w:szCs w:val="21"/>
                <w:u w:val="single"/>
              </w:rPr>
              <w:t>表3-</w:t>
            </w:r>
            <w:r>
              <w:rPr>
                <w:rFonts w:hint="eastAsia"/>
                <w:b/>
                <w:bCs/>
                <w:color w:val="auto"/>
                <w:szCs w:val="21"/>
                <w:u w:val="single"/>
                <w:lang w:val="en-US" w:eastAsia="zh-CN"/>
              </w:rPr>
              <w:t>7</w:t>
            </w:r>
            <w:r>
              <w:rPr>
                <w:rFonts w:hint="eastAsia"/>
                <w:b/>
                <w:bCs/>
                <w:color w:val="auto"/>
                <w:szCs w:val="21"/>
                <w:u w:val="single"/>
              </w:rPr>
              <w:t xml:space="preserve">  </w:t>
            </w:r>
            <w:r>
              <w:rPr>
                <w:b/>
                <w:color w:val="auto"/>
                <w:szCs w:val="21"/>
                <w:u w:val="single"/>
              </w:rPr>
              <w:t>地</w:t>
            </w:r>
            <w:r>
              <w:rPr>
                <w:rFonts w:hint="eastAsia"/>
                <w:b/>
                <w:color w:val="auto"/>
                <w:szCs w:val="21"/>
                <w:u w:val="single"/>
              </w:rPr>
              <w:t>表</w:t>
            </w:r>
            <w:r>
              <w:rPr>
                <w:b/>
                <w:color w:val="auto"/>
                <w:szCs w:val="21"/>
                <w:u w:val="single"/>
              </w:rPr>
              <w:t>水监测结果</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67"/>
              <w:gridCol w:w="1376"/>
              <w:gridCol w:w="1477"/>
              <w:gridCol w:w="1392"/>
              <w:gridCol w:w="1272"/>
              <w:gridCol w:w="1134"/>
            </w:tblGrid>
            <w:tr w14:paraId="13985F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restart"/>
                  <w:tcBorders>
                    <w:tl2br w:val="nil"/>
                    <w:tr2bl w:val="nil"/>
                  </w:tcBorders>
                  <w:vAlign w:val="center"/>
                </w:tcPr>
                <w:p w14:paraId="12FB333B">
                  <w:pPr>
                    <w:jc w:val="center"/>
                    <w:rPr>
                      <w:b/>
                      <w:bCs/>
                      <w:color w:val="auto"/>
                      <w:szCs w:val="21"/>
                      <w:u w:val="single"/>
                    </w:rPr>
                  </w:pPr>
                  <w:r>
                    <w:rPr>
                      <w:b/>
                      <w:bCs/>
                      <w:color w:val="auto"/>
                      <w:szCs w:val="21"/>
                      <w:u w:val="single"/>
                    </w:rPr>
                    <w:t>点位名称</w:t>
                  </w:r>
                </w:p>
              </w:tc>
              <w:tc>
                <w:tcPr>
                  <w:tcW w:w="880" w:type="pct"/>
                  <w:vMerge w:val="restart"/>
                  <w:tcBorders>
                    <w:tl2br w:val="nil"/>
                    <w:tr2bl w:val="nil"/>
                  </w:tcBorders>
                  <w:vAlign w:val="center"/>
                </w:tcPr>
                <w:p w14:paraId="49E90732">
                  <w:pPr>
                    <w:jc w:val="center"/>
                    <w:rPr>
                      <w:b/>
                      <w:bCs/>
                      <w:color w:val="auto"/>
                      <w:szCs w:val="21"/>
                      <w:u w:val="single"/>
                    </w:rPr>
                  </w:pPr>
                  <w:r>
                    <w:rPr>
                      <w:b/>
                      <w:bCs/>
                      <w:color w:val="auto"/>
                      <w:szCs w:val="21"/>
                      <w:u w:val="single"/>
                    </w:rPr>
                    <w:t>检测项目</w:t>
                  </w:r>
                </w:p>
              </w:tc>
              <w:tc>
                <w:tcPr>
                  <w:tcW w:w="1834" w:type="pct"/>
                  <w:gridSpan w:val="2"/>
                  <w:tcBorders>
                    <w:tl2br w:val="nil"/>
                    <w:tr2bl w:val="nil"/>
                  </w:tcBorders>
                  <w:vAlign w:val="center"/>
                </w:tcPr>
                <w:p w14:paraId="0BC5DBD0">
                  <w:pPr>
                    <w:jc w:val="center"/>
                    <w:rPr>
                      <w:b/>
                      <w:bCs/>
                      <w:color w:val="auto"/>
                      <w:szCs w:val="21"/>
                      <w:u w:val="single"/>
                    </w:rPr>
                  </w:pPr>
                  <w:r>
                    <w:rPr>
                      <w:b/>
                      <w:bCs/>
                      <w:color w:val="auto"/>
                      <w:szCs w:val="21"/>
                      <w:u w:val="single"/>
                    </w:rPr>
                    <w:t>检测结果</w:t>
                  </w:r>
                </w:p>
              </w:tc>
              <w:tc>
                <w:tcPr>
                  <w:tcW w:w="813" w:type="pct"/>
                  <w:vMerge w:val="restart"/>
                  <w:tcBorders>
                    <w:tl2br w:val="nil"/>
                    <w:tr2bl w:val="nil"/>
                  </w:tcBorders>
                  <w:vAlign w:val="center"/>
                </w:tcPr>
                <w:p w14:paraId="408E7B73">
                  <w:pPr>
                    <w:pStyle w:val="12"/>
                    <w:jc w:val="center"/>
                    <w:textAlignment w:val="auto"/>
                    <w:rPr>
                      <w:rFonts w:ascii="Times New Roman" w:hAnsi="Times New Roman"/>
                      <w:b/>
                      <w:bCs/>
                      <w:color w:val="auto"/>
                      <w:sz w:val="21"/>
                      <w:szCs w:val="21"/>
                      <w:u w:val="single"/>
                    </w:rPr>
                  </w:pPr>
                  <w:r>
                    <w:rPr>
                      <w:rFonts w:ascii="Times New Roman" w:hAnsi="Times New Roman"/>
                      <w:b/>
                      <w:bCs/>
                      <w:color w:val="auto"/>
                      <w:sz w:val="21"/>
                      <w:szCs w:val="21"/>
                      <w:u w:val="single"/>
                    </w:rPr>
                    <w:t>Ⅲ类标准值</w:t>
                  </w:r>
                </w:p>
              </w:tc>
              <w:tc>
                <w:tcPr>
                  <w:tcW w:w="725" w:type="pct"/>
                  <w:vMerge w:val="restart"/>
                  <w:tcBorders>
                    <w:tl2br w:val="nil"/>
                    <w:tr2bl w:val="nil"/>
                  </w:tcBorders>
                  <w:vAlign w:val="center"/>
                </w:tcPr>
                <w:p w14:paraId="3522D028">
                  <w:pPr>
                    <w:pStyle w:val="12"/>
                    <w:jc w:val="center"/>
                    <w:textAlignment w:val="auto"/>
                    <w:rPr>
                      <w:rFonts w:ascii="Times New Roman" w:hAnsi="Times New Roman"/>
                      <w:b/>
                      <w:bCs/>
                      <w:color w:val="auto"/>
                      <w:sz w:val="21"/>
                      <w:szCs w:val="21"/>
                      <w:u w:val="single"/>
                    </w:rPr>
                  </w:pPr>
                  <w:r>
                    <w:rPr>
                      <w:rFonts w:ascii="Times New Roman" w:hAnsi="Times New Roman"/>
                      <w:b/>
                      <w:bCs/>
                      <w:color w:val="auto"/>
                      <w:sz w:val="21"/>
                      <w:szCs w:val="21"/>
                      <w:u w:val="single"/>
                    </w:rPr>
                    <w:t>是否达标</w:t>
                  </w:r>
                </w:p>
              </w:tc>
            </w:tr>
            <w:tr w14:paraId="56EA48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57874617">
                  <w:pPr>
                    <w:pStyle w:val="9"/>
                    <w:spacing w:before="0" w:after="0" w:line="240" w:lineRule="auto"/>
                    <w:ind w:right="0"/>
                    <w:jc w:val="center"/>
                    <w:rPr>
                      <w:color w:val="auto"/>
                      <w:kern w:val="2"/>
                      <w:sz w:val="21"/>
                      <w:szCs w:val="21"/>
                      <w:u w:val="single"/>
                    </w:rPr>
                  </w:pPr>
                </w:p>
              </w:tc>
              <w:tc>
                <w:tcPr>
                  <w:tcW w:w="880" w:type="pct"/>
                  <w:vMerge w:val="continue"/>
                  <w:tcBorders>
                    <w:tl2br w:val="nil"/>
                    <w:tr2bl w:val="nil"/>
                  </w:tcBorders>
                  <w:vAlign w:val="center"/>
                </w:tcPr>
                <w:p w14:paraId="7B98C1E9">
                  <w:pPr>
                    <w:pStyle w:val="9"/>
                    <w:spacing w:before="0" w:after="0" w:line="240" w:lineRule="auto"/>
                    <w:ind w:right="0"/>
                    <w:jc w:val="center"/>
                    <w:rPr>
                      <w:color w:val="auto"/>
                      <w:kern w:val="2"/>
                      <w:sz w:val="21"/>
                      <w:szCs w:val="21"/>
                      <w:u w:val="single"/>
                    </w:rPr>
                  </w:pPr>
                </w:p>
              </w:tc>
              <w:tc>
                <w:tcPr>
                  <w:tcW w:w="944" w:type="pct"/>
                  <w:tcBorders>
                    <w:tl2br w:val="nil"/>
                    <w:tr2bl w:val="nil"/>
                  </w:tcBorders>
                  <w:vAlign w:val="center"/>
                </w:tcPr>
                <w:p w14:paraId="2E53F484">
                  <w:pPr>
                    <w:jc w:val="center"/>
                    <w:rPr>
                      <w:b/>
                      <w:bCs/>
                      <w:color w:val="auto"/>
                      <w:szCs w:val="21"/>
                      <w:u w:val="single"/>
                    </w:rPr>
                  </w:pPr>
                  <w:r>
                    <w:rPr>
                      <w:b/>
                      <w:bCs/>
                      <w:color w:val="auto"/>
                      <w:szCs w:val="21"/>
                      <w:u w:val="single"/>
                    </w:rPr>
                    <w:t>2025</w:t>
                  </w:r>
                  <w:r>
                    <w:rPr>
                      <w:rFonts w:hint="eastAsia"/>
                      <w:b/>
                      <w:bCs/>
                      <w:color w:val="auto"/>
                      <w:szCs w:val="21"/>
                      <w:u w:val="single"/>
                    </w:rPr>
                    <w:t>.</w:t>
                  </w:r>
                  <w:r>
                    <w:rPr>
                      <w:b/>
                      <w:bCs/>
                      <w:color w:val="auto"/>
                      <w:szCs w:val="21"/>
                      <w:u w:val="single"/>
                    </w:rPr>
                    <w:t>7</w:t>
                  </w:r>
                  <w:r>
                    <w:rPr>
                      <w:rFonts w:hint="eastAsia"/>
                      <w:b/>
                      <w:bCs/>
                      <w:color w:val="auto"/>
                      <w:szCs w:val="21"/>
                      <w:u w:val="single"/>
                    </w:rPr>
                    <w:t>.</w:t>
                  </w:r>
                  <w:r>
                    <w:rPr>
                      <w:b/>
                      <w:bCs/>
                      <w:color w:val="auto"/>
                      <w:szCs w:val="21"/>
                      <w:u w:val="single"/>
                    </w:rPr>
                    <w:t>24</w:t>
                  </w:r>
                </w:p>
              </w:tc>
              <w:tc>
                <w:tcPr>
                  <w:tcW w:w="889" w:type="pct"/>
                  <w:tcBorders>
                    <w:tl2br w:val="nil"/>
                    <w:tr2bl w:val="nil"/>
                  </w:tcBorders>
                  <w:vAlign w:val="center"/>
                </w:tcPr>
                <w:p w14:paraId="65D842F1">
                  <w:pPr>
                    <w:jc w:val="center"/>
                    <w:rPr>
                      <w:b/>
                      <w:bCs/>
                      <w:color w:val="auto"/>
                      <w:szCs w:val="21"/>
                      <w:u w:val="single"/>
                    </w:rPr>
                  </w:pPr>
                  <w:r>
                    <w:rPr>
                      <w:b/>
                      <w:bCs/>
                      <w:color w:val="auto"/>
                      <w:szCs w:val="21"/>
                      <w:u w:val="single"/>
                    </w:rPr>
                    <w:t>2025</w:t>
                  </w:r>
                  <w:r>
                    <w:rPr>
                      <w:rFonts w:hint="eastAsia"/>
                      <w:b/>
                      <w:bCs/>
                      <w:color w:val="auto"/>
                      <w:szCs w:val="21"/>
                      <w:u w:val="single"/>
                    </w:rPr>
                    <w:t>.</w:t>
                  </w:r>
                  <w:r>
                    <w:rPr>
                      <w:b/>
                      <w:bCs/>
                      <w:color w:val="auto"/>
                      <w:szCs w:val="21"/>
                      <w:u w:val="single"/>
                    </w:rPr>
                    <w:t>7</w:t>
                  </w:r>
                  <w:r>
                    <w:rPr>
                      <w:rFonts w:hint="eastAsia"/>
                      <w:b/>
                      <w:bCs/>
                      <w:color w:val="auto"/>
                      <w:szCs w:val="21"/>
                      <w:u w:val="single"/>
                    </w:rPr>
                    <w:t>.</w:t>
                  </w:r>
                  <w:r>
                    <w:rPr>
                      <w:b/>
                      <w:bCs/>
                      <w:color w:val="auto"/>
                      <w:szCs w:val="21"/>
                      <w:u w:val="single"/>
                    </w:rPr>
                    <w:t>2</w:t>
                  </w:r>
                  <w:r>
                    <w:rPr>
                      <w:rFonts w:hint="eastAsia"/>
                      <w:b/>
                      <w:bCs/>
                      <w:color w:val="auto"/>
                      <w:szCs w:val="21"/>
                      <w:u w:val="single"/>
                    </w:rPr>
                    <w:t>5</w:t>
                  </w:r>
                </w:p>
              </w:tc>
              <w:tc>
                <w:tcPr>
                  <w:tcW w:w="813" w:type="pct"/>
                  <w:vMerge w:val="continue"/>
                  <w:tcBorders>
                    <w:tl2br w:val="nil"/>
                    <w:tr2bl w:val="nil"/>
                  </w:tcBorders>
                  <w:vAlign w:val="center"/>
                </w:tcPr>
                <w:p w14:paraId="348D1355">
                  <w:pPr>
                    <w:pStyle w:val="9"/>
                    <w:spacing w:before="0" w:after="0" w:line="240" w:lineRule="auto"/>
                    <w:ind w:right="0"/>
                    <w:jc w:val="center"/>
                    <w:rPr>
                      <w:color w:val="auto"/>
                      <w:kern w:val="2"/>
                      <w:sz w:val="21"/>
                      <w:szCs w:val="21"/>
                      <w:u w:val="single"/>
                    </w:rPr>
                  </w:pPr>
                </w:p>
              </w:tc>
              <w:tc>
                <w:tcPr>
                  <w:tcW w:w="725" w:type="pct"/>
                  <w:vMerge w:val="continue"/>
                  <w:tcBorders>
                    <w:tl2br w:val="nil"/>
                    <w:tr2bl w:val="nil"/>
                  </w:tcBorders>
                  <w:vAlign w:val="center"/>
                </w:tcPr>
                <w:p w14:paraId="232B806B">
                  <w:pPr>
                    <w:pStyle w:val="9"/>
                    <w:spacing w:before="0" w:after="0" w:line="240" w:lineRule="auto"/>
                    <w:ind w:right="0"/>
                    <w:jc w:val="center"/>
                    <w:rPr>
                      <w:color w:val="auto"/>
                      <w:kern w:val="2"/>
                      <w:sz w:val="21"/>
                      <w:szCs w:val="21"/>
                      <w:u w:val="single"/>
                    </w:rPr>
                  </w:pPr>
                </w:p>
              </w:tc>
            </w:tr>
            <w:tr w14:paraId="288065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restart"/>
                  <w:tcBorders>
                    <w:tl2br w:val="nil"/>
                    <w:tr2bl w:val="nil"/>
                  </w:tcBorders>
                  <w:vAlign w:val="center"/>
                </w:tcPr>
                <w:p w14:paraId="74F9FE67">
                  <w:pPr>
                    <w:pStyle w:val="9"/>
                    <w:spacing w:before="0" w:after="0" w:line="240" w:lineRule="auto"/>
                    <w:ind w:right="0"/>
                    <w:jc w:val="center"/>
                    <w:rPr>
                      <w:color w:val="auto"/>
                      <w:kern w:val="2"/>
                      <w:sz w:val="21"/>
                      <w:szCs w:val="21"/>
                      <w:u w:val="single"/>
                    </w:rPr>
                  </w:pPr>
                  <w:r>
                    <w:rPr>
                      <w:rFonts w:hint="eastAsia"/>
                      <w:color w:val="auto"/>
                      <w:sz w:val="21"/>
                      <w:szCs w:val="21"/>
                      <w:u w:val="single"/>
                    </w:rPr>
                    <w:t>项目区鱼塘</w:t>
                  </w:r>
                  <w:r>
                    <w:rPr>
                      <w:color w:val="auto"/>
                      <w:sz w:val="21"/>
                      <w:szCs w:val="21"/>
                      <w:u w:val="single"/>
                    </w:rPr>
                    <w:t>W1</w:t>
                  </w:r>
                </w:p>
              </w:tc>
              <w:tc>
                <w:tcPr>
                  <w:tcW w:w="880" w:type="pct"/>
                  <w:tcBorders>
                    <w:tl2br w:val="nil"/>
                    <w:tr2bl w:val="nil"/>
                  </w:tcBorders>
                  <w:vAlign w:val="center"/>
                </w:tcPr>
                <w:p w14:paraId="35A1B77F">
                  <w:pPr>
                    <w:jc w:val="center"/>
                    <w:rPr>
                      <w:color w:val="auto"/>
                      <w:szCs w:val="21"/>
                      <w:u w:val="single"/>
                    </w:rPr>
                  </w:pPr>
                  <w:r>
                    <w:rPr>
                      <w:color w:val="auto"/>
                      <w:szCs w:val="21"/>
                      <w:u w:val="single"/>
                    </w:rPr>
                    <w:t>pH</w:t>
                  </w:r>
                </w:p>
              </w:tc>
              <w:tc>
                <w:tcPr>
                  <w:tcW w:w="944" w:type="pct"/>
                  <w:tcBorders>
                    <w:tl2br w:val="nil"/>
                    <w:tr2bl w:val="nil"/>
                  </w:tcBorders>
                  <w:vAlign w:val="center"/>
                </w:tcPr>
                <w:p w14:paraId="18094334">
                  <w:pPr>
                    <w:tabs>
                      <w:tab w:val="left" w:pos="364"/>
                      <w:tab w:val="center" w:pos="589"/>
                    </w:tabs>
                    <w:jc w:val="center"/>
                    <w:rPr>
                      <w:color w:val="auto"/>
                      <w:szCs w:val="21"/>
                      <w:u w:val="single"/>
                    </w:rPr>
                  </w:pPr>
                  <w:r>
                    <w:rPr>
                      <w:rFonts w:hint="eastAsia"/>
                      <w:color w:val="auto"/>
                      <w:szCs w:val="21"/>
                      <w:u w:val="single"/>
                    </w:rPr>
                    <w:t>7.9</w:t>
                  </w:r>
                </w:p>
              </w:tc>
              <w:tc>
                <w:tcPr>
                  <w:tcW w:w="889" w:type="pct"/>
                  <w:tcBorders>
                    <w:tl2br w:val="nil"/>
                    <w:tr2bl w:val="nil"/>
                  </w:tcBorders>
                  <w:vAlign w:val="center"/>
                </w:tcPr>
                <w:p w14:paraId="3663E0FB">
                  <w:pPr>
                    <w:tabs>
                      <w:tab w:val="left" w:pos="364"/>
                      <w:tab w:val="center" w:pos="589"/>
                    </w:tabs>
                    <w:jc w:val="center"/>
                    <w:rPr>
                      <w:color w:val="auto"/>
                      <w:szCs w:val="21"/>
                      <w:u w:val="single"/>
                    </w:rPr>
                  </w:pPr>
                  <w:r>
                    <w:rPr>
                      <w:rFonts w:hint="eastAsia"/>
                      <w:color w:val="auto"/>
                      <w:szCs w:val="21"/>
                      <w:u w:val="single"/>
                    </w:rPr>
                    <w:t>8.0</w:t>
                  </w:r>
                </w:p>
              </w:tc>
              <w:tc>
                <w:tcPr>
                  <w:tcW w:w="813" w:type="pct"/>
                  <w:tcBorders>
                    <w:tl2br w:val="nil"/>
                    <w:tr2bl w:val="nil"/>
                  </w:tcBorders>
                  <w:vAlign w:val="center"/>
                </w:tcPr>
                <w:p w14:paraId="30BAD4C7">
                  <w:pPr>
                    <w:tabs>
                      <w:tab w:val="left" w:pos="364"/>
                      <w:tab w:val="center" w:pos="589"/>
                    </w:tabs>
                    <w:jc w:val="center"/>
                    <w:rPr>
                      <w:color w:val="auto"/>
                      <w:szCs w:val="21"/>
                      <w:u w:val="single"/>
                    </w:rPr>
                  </w:pPr>
                  <w:r>
                    <w:rPr>
                      <w:color w:val="auto"/>
                      <w:szCs w:val="21"/>
                      <w:u w:val="single"/>
                    </w:rPr>
                    <w:t>6-9</w:t>
                  </w:r>
                </w:p>
              </w:tc>
              <w:tc>
                <w:tcPr>
                  <w:tcW w:w="725" w:type="pct"/>
                  <w:tcBorders>
                    <w:tl2br w:val="nil"/>
                    <w:tr2bl w:val="nil"/>
                  </w:tcBorders>
                  <w:vAlign w:val="center"/>
                </w:tcPr>
                <w:p w14:paraId="0A8196BC">
                  <w:pPr>
                    <w:jc w:val="center"/>
                    <w:rPr>
                      <w:color w:val="auto"/>
                      <w:szCs w:val="21"/>
                      <w:u w:val="single"/>
                    </w:rPr>
                  </w:pPr>
                  <w:r>
                    <w:rPr>
                      <w:color w:val="auto"/>
                      <w:szCs w:val="21"/>
                      <w:u w:val="single"/>
                    </w:rPr>
                    <w:t>是</w:t>
                  </w:r>
                </w:p>
              </w:tc>
            </w:tr>
            <w:tr w14:paraId="0D04EC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60D0B8A2">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42480787">
                  <w:pPr>
                    <w:jc w:val="center"/>
                    <w:rPr>
                      <w:color w:val="auto"/>
                      <w:szCs w:val="21"/>
                      <w:u w:val="single"/>
                    </w:rPr>
                  </w:pPr>
                  <w:r>
                    <w:rPr>
                      <w:color w:val="auto"/>
                      <w:szCs w:val="21"/>
                      <w:u w:val="single"/>
                    </w:rPr>
                    <w:t>溶解氧</w:t>
                  </w:r>
                </w:p>
              </w:tc>
              <w:tc>
                <w:tcPr>
                  <w:tcW w:w="944" w:type="pct"/>
                  <w:tcBorders>
                    <w:tl2br w:val="nil"/>
                    <w:tr2bl w:val="nil"/>
                  </w:tcBorders>
                  <w:vAlign w:val="center"/>
                </w:tcPr>
                <w:p w14:paraId="6055965D">
                  <w:pPr>
                    <w:jc w:val="center"/>
                    <w:rPr>
                      <w:color w:val="auto"/>
                      <w:szCs w:val="21"/>
                      <w:u w:val="single"/>
                    </w:rPr>
                  </w:pPr>
                  <w:r>
                    <w:rPr>
                      <w:rFonts w:hint="eastAsia"/>
                      <w:color w:val="auto"/>
                      <w:szCs w:val="21"/>
                      <w:u w:val="single"/>
                    </w:rPr>
                    <w:t>7.22</w:t>
                  </w:r>
                </w:p>
              </w:tc>
              <w:tc>
                <w:tcPr>
                  <w:tcW w:w="889" w:type="pct"/>
                  <w:tcBorders>
                    <w:tl2br w:val="nil"/>
                    <w:tr2bl w:val="nil"/>
                  </w:tcBorders>
                  <w:vAlign w:val="center"/>
                </w:tcPr>
                <w:p w14:paraId="4E766332">
                  <w:pPr>
                    <w:jc w:val="center"/>
                    <w:rPr>
                      <w:color w:val="auto"/>
                      <w:szCs w:val="21"/>
                      <w:u w:val="single"/>
                    </w:rPr>
                  </w:pPr>
                  <w:r>
                    <w:rPr>
                      <w:rFonts w:hint="eastAsia"/>
                      <w:color w:val="auto"/>
                      <w:szCs w:val="21"/>
                      <w:u w:val="single"/>
                    </w:rPr>
                    <w:t>7.45</w:t>
                  </w:r>
                </w:p>
              </w:tc>
              <w:tc>
                <w:tcPr>
                  <w:tcW w:w="813" w:type="pct"/>
                  <w:tcBorders>
                    <w:tl2br w:val="nil"/>
                    <w:tr2bl w:val="nil"/>
                  </w:tcBorders>
                  <w:vAlign w:val="center"/>
                </w:tcPr>
                <w:p w14:paraId="2EC86735">
                  <w:pPr>
                    <w:jc w:val="center"/>
                    <w:rPr>
                      <w:color w:val="auto"/>
                      <w:szCs w:val="21"/>
                      <w:u w:val="single"/>
                    </w:rPr>
                  </w:pPr>
                  <w:r>
                    <w:rPr>
                      <w:color w:val="auto"/>
                      <w:szCs w:val="21"/>
                      <w:u w:val="single"/>
                    </w:rPr>
                    <w:t>≥5</w:t>
                  </w:r>
                </w:p>
              </w:tc>
              <w:tc>
                <w:tcPr>
                  <w:tcW w:w="725" w:type="pct"/>
                  <w:tcBorders>
                    <w:tl2br w:val="nil"/>
                    <w:tr2bl w:val="nil"/>
                  </w:tcBorders>
                  <w:vAlign w:val="center"/>
                </w:tcPr>
                <w:p w14:paraId="592C2143">
                  <w:pPr>
                    <w:jc w:val="center"/>
                    <w:rPr>
                      <w:color w:val="auto"/>
                      <w:szCs w:val="21"/>
                      <w:u w:val="single"/>
                    </w:rPr>
                  </w:pPr>
                  <w:r>
                    <w:rPr>
                      <w:color w:val="auto"/>
                      <w:szCs w:val="21"/>
                      <w:u w:val="single"/>
                    </w:rPr>
                    <w:t>是</w:t>
                  </w:r>
                </w:p>
              </w:tc>
            </w:tr>
            <w:tr w14:paraId="11F37D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10EBC01E">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3F35F1B3">
                  <w:pPr>
                    <w:jc w:val="center"/>
                    <w:rPr>
                      <w:color w:val="auto"/>
                      <w:szCs w:val="21"/>
                      <w:u w:val="single"/>
                    </w:rPr>
                  </w:pPr>
                  <w:r>
                    <w:rPr>
                      <w:color w:val="auto"/>
                      <w:szCs w:val="21"/>
                      <w:u w:val="single"/>
                    </w:rPr>
                    <w:t>CODcr</w:t>
                  </w:r>
                </w:p>
              </w:tc>
              <w:tc>
                <w:tcPr>
                  <w:tcW w:w="944" w:type="pct"/>
                  <w:tcBorders>
                    <w:tl2br w:val="nil"/>
                    <w:tr2bl w:val="nil"/>
                  </w:tcBorders>
                  <w:vAlign w:val="center"/>
                </w:tcPr>
                <w:p w14:paraId="13863FB7">
                  <w:pPr>
                    <w:widowControl/>
                    <w:jc w:val="center"/>
                    <w:rPr>
                      <w:color w:val="auto"/>
                      <w:szCs w:val="21"/>
                      <w:u w:val="single"/>
                    </w:rPr>
                  </w:pPr>
                  <w:r>
                    <w:rPr>
                      <w:rFonts w:hint="eastAsia"/>
                      <w:color w:val="auto"/>
                      <w:szCs w:val="21"/>
                      <w:u w:val="single"/>
                    </w:rPr>
                    <w:t>13</w:t>
                  </w:r>
                </w:p>
              </w:tc>
              <w:tc>
                <w:tcPr>
                  <w:tcW w:w="889" w:type="pct"/>
                  <w:tcBorders>
                    <w:tl2br w:val="nil"/>
                    <w:tr2bl w:val="nil"/>
                  </w:tcBorders>
                  <w:vAlign w:val="center"/>
                </w:tcPr>
                <w:p w14:paraId="2047013C">
                  <w:pPr>
                    <w:widowControl/>
                    <w:jc w:val="center"/>
                    <w:rPr>
                      <w:color w:val="auto"/>
                      <w:szCs w:val="21"/>
                      <w:u w:val="single"/>
                    </w:rPr>
                  </w:pPr>
                  <w:r>
                    <w:rPr>
                      <w:rFonts w:hint="eastAsia"/>
                      <w:color w:val="auto"/>
                      <w:szCs w:val="21"/>
                      <w:u w:val="single"/>
                    </w:rPr>
                    <w:t>12</w:t>
                  </w:r>
                </w:p>
              </w:tc>
              <w:tc>
                <w:tcPr>
                  <w:tcW w:w="813" w:type="pct"/>
                  <w:tcBorders>
                    <w:tl2br w:val="nil"/>
                    <w:tr2bl w:val="nil"/>
                  </w:tcBorders>
                  <w:vAlign w:val="center"/>
                </w:tcPr>
                <w:p w14:paraId="5F0725A6">
                  <w:pPr>
                    <w:widowControl/>
                    <w:jc w:val="center"/>
                    <w:rPr>
                      <w:color w:val="auto"/>
                      <w:szCs w:val="21"/>
                      <w:u w:val="single"/>
                    </w:rPr>
                  </w:pPr>
                  <w:r>
                    <w:rPr>
                      <w:color w:val="auto"/>
                      <w:szCs w:val="21"/>
                      <w:u w:val="single"/>
                    </w:rPr>
                    <w:t>20</w:t>
                  </w:r>
                </w:p>
              </w:tc>
              <w:tc>
                <w:tcPr>
                  <w:tcW w:w="725" w:type="pct"/>
                  <w:tcBorders>
                    <w:tl2br w:val="nil"/>
                    <w:tr2bl w:val="nil"/>
                  </w:tcBorders>
                  <w:vAlign w:val="center"/>
                </w:tcPr>
                <w:p w14:paraId="303C3CC1">
                  <w:pPr>
                    <w:jc w:val="center"/>
                    <w:rPr>
                      <w:color w:val="auto"/>
                      <w:szCs w:val="21"/>
                      <w:u w:val="single"/>
                    </w:rPr>
                  </w:pPr>
                  <w:r>
                    <w:rPr>
                      <w:color w:val="auto"/>
                      <w:szCs w:val="21"/>
                      <w:u w:val="single"/>
                    </w:rPr>
                    <w:t>是</w:t>
                  </w:r>
                </w:p>
              </w:tc>
            </w:tr>
            <w:tr w14:paraId="606D11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452AF23B">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1B9B9AFA">
                  <w:pPr>
                    <w:jc w:val="center"/>
                    <w:rPr>
                      <w:color w:val="auto"/>
                      <w:szCs w:val="21"/>
                      <w:u w:val="single"/>
                    </w:rPr>
                  </w:pPr>
                  <w:r>
                    <w:rPr>
                      <w:color w:val="auto"/>
                      <w:szCs w:val="21"/>
                      <w:u w:val="single"/>
                    </w:rPr>
                    <w:t>BOD</w:t>
                  </w:r>
                  <w:r>
                    <w:rPr>
                      <w:color w:val="auto"/>
                      <w:szCs w:val="21"/>
                      <w:u w:val="single"/>
                      <w:vertAlign w:val="subscript"/>
                    </w:rPr>
                    <w:t>5</w:t>
                  </w:r>
                </w:p>
              </w:tc>
              <w:tc>
                <w:tcPr>
                  <w:tcW w:w="944" w:type="pct"/>
                  <w:tcBorders>
                    <w:tl2br w:val="nil"/>
                    <w:tr2bl w:val="nil"/>
                  </w:tcBorders>
                  <w:vAlign w:val="center"/>
                </w:tcPr>
                <w:p w14:paraId="3B951E9F">
                  <w:pPr>
                    <w:widowControl/>
                    <w:jc w:val="center"/>
                    <w:rPr>
                      <w:color w:val="auto"/>
                      <w:szCs w:val="21"/>
                      <w:u w:val="single"/>
                    </w:rPr>
                  </w:pPr>
                  <w:r>
                    <w:rPr>
                      <w:rFonts w:hint="eastAsia"/>
                      <w:color w:val="auto"/>
                      <w:szCs w:val="21"/>
                      <w:u w:val="single"/>
                    </w:rPr>
                    <w:t>2.6</w:t>
                  </w:r>
                </w:p>
              </w:tc>
              <w:tc>
                <w:tcPr>
                  <w:tcW w:w="889" w:type="pct"/>
                  <w:tcBorders>
                    <w:tl2br w:val="nil"/>
                    <w:tr2bl w:val="nil"/>
                  </w:tcBorders>
                  <w:vAlign w:val="center"/>
                </w:tcPr>
                <w:p w14:paraId="62C47D45">
                  <w:pPr>
                    <w:widowControl/>
                    <w:jc w:val="center"/>
                    <w:rPr>
                      <w:color w:val="auto"/>
                      <w:szCs w:val="21"/>
                      <w:u w:val="single"/>
                    </w:rPr>
                  </w:pPr>
                  <w:r>
                    <w:rPr>
                      <w:rFonts w:hint="eastAsia"/>
                      <w:color w:val="auto"/>
                      <w:szCs w:val="21"/>
                      <w:u w:val="single"/>
                    </w:rPr>
                    <w:t>2.4</w:t>
                  </w:r>
                </w:p>
              </w:tc>
              <w:tc>
                <w:tcPr>
                  <w:tcW w:w="813" w:type="pct"/>
                  <w:tcBorders>
                    <w:tl2br w:val="nil"/>
                    <w:tr2bl w:val="nil"/>
                  </w:tcBorders>
                  <w:vAlign w:val="center"/>
                </w:tcPr>
                <w:p w14:paraId="2706B328">
                  <w:pPr>
                    <w:widowControl/>
                    <w:jc w:val="center"/>
                    <w:rPr>
                      <w:color w:val="auto"/>
                      <w:szCs w:val="21"/>
                      <w:u w:val="single"/>
                    </w:rPr>
                  </w:pPr>
                  <w:r>
                    <w:rPr>
                      <w:color w:val="auto"/>
                      <w:szCs w:val="21"/>
                      <w:u w:val="single"/>
                    </w:rPr>
                    <w:t>4</w:t>
                  </w:r>
                </w:p>
              </w:tc>
              <w:tc>
                <w:tcPr>
                  <w:tcW w:w="725" w:type="pct"/>
                  <w:tcBorders>
                    <w:tl2br w:val="nil"/>
                    <w:tr2bl w:val="nil"/>
                  </w:tcBorders>
                  <w:vAlign w:val="center"/>
                </w:tcPr>
                <w:p w14:paraId="4713DF5F">
                  <w:pPr>
                    <w:jc w:val="center"/>
                    <w:rPr>
                      <w:color w:val="auto"/>
                      <w:szCs w:val="21"/>
                      <w:u w:val="single"/>
                    </w:rPr>
                  </w:pPr>
                  <w:r>
                    <w:rPr>
                      <w:color w:val="auto"/>
                      <w:szCs w:val="21"/>
                      <w:u w:val="single"/>
                    </w:rPr>
                    <w:t>是</w:t>
                  </w:r>
                </w:p>
              </w:tc>
            </w:tr>
            <w:tr w14:paraId="0F0967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53391176">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4F5FD074">
                  <w:pPr>
                    <w:jc w:val="center"/>
                    <w:rPr>
                      <w:color w:val="auto"/>
                      <w:szCs w:val="21"/>
                      <w:u w:val="single"/>
                    </w:rPr>
                  </w:pPr>
                  <w:r>
                    <w:rPr>
                      <w:color w:val="auto"/>
                      <w:szCs w:val="21"/>
                      <w:u w:val="single"/>
                    </w:rPr>
                    <w:t>氨氮</w:t>
                  </w:r>
                </w:p>
              </w:tc>
              <w:tc>
                <w:tcPr>
                  <w:tcW w:w="944" w:type="pct"/>
                  <w:tcBorders>
                    <w:tl2br w:val="nil"/>
                    <w:tr2bl w:val="nil"/>
                  </w:tcBorders>
                  <w:vAlign w:val="center"/>
                </w:tcPr>
                <w:p w14:paraId="29CCE442">
                  <w:pPr>
                    <w:widowControl/>
                    <w:jc w:val="center"/>
                    <w:rPr>
                      <w:color w:val="auto"/>
                      <w:szCs w:val="21"/>
                      <w:u w:val="single"/>
                    </w:rPr>
                  </w:pPr>
                  <w:r>
                    <w:rPr>
                      <w:rFonts w:hint="eastAsia"/>
                      <w:color w:val="auto"/>
                      <w:szCs w:val="21"/>
                      <w:u w:val="single"/>
                    </w:rPr>
                    <w:t>0.176</w:t>
                  </w:r>
                </w:p>
              </w:tc>
              <w:tc>
                <w:tcPr>
                  <w:tcW w:w="889" w:type="pct"/>
                  <w:tcBorders>
                    <w:tl2br w:val="nil"/>
                    <w:tr2bl w:val="nil"/>
                  </w:tcBorders>
                  <w:vAlign w:val="center"/>
                </w:tcPr>
                <w:p w14:paraId="345D83F4">
                  <w:pPr>
                    <w:widowControl/>
                    <w:jc w:val="center"/>
                    <w:rPr>
                      <w:color w:val="auto"/>
                      <w:szCs w:val="21"/>
                      <w:u w:val="single"/>
                    </w:rPr>
                  </w:pPr>
                  <w:r>
                    <w:rPr>
                      <w:rFonts w:hint="eastAsia"/>
                      <w:color w:val="auto"/>
                      <w:szCs w:val="21"/>
                      <w:u w:val="single"/>
                    </w:rPr>
                    <w:t>0.184</w:t>
                  </w:r>
                </w:p>
              </w:tc>
              <w:tc>
                <w:tcPr>
                  <w:tcW w:w="813" w:type="pct"/>
                  <w:tcBorders>
                    <w:tl2br w:val="nil"/>
                    <w:tr2bl w:val="nil"/>
                  </w:tcBorders>
                  <w:vAlign w:val="center"/>
                </w:tcPr>
                <w:p w14:paraId="029C0887">
                  <w:pPr>
                    <w:widowControl/>
                    <w:jc w:val="center"/>
                    <w:rPr>
                      <w:color w:val="auto"/>
                      <w:szCs w:val="21"/>
                      <w:u w:val="single"/>
                    </w:rPr>
                  </w:pPr>
                  <w:r>
                    <w:rPr>
                      <w:color w:val="auto"/>
                      <w:szCs w:val="21"/>
                      <w:u w:val="single"/>
                    </w:rPr>
                    <w:t>1.0</w:t>
                  </w:r>
                </w:p>
              </w:tc>
              <w:tc>
                <w:tcPr>
                  <w:tcW w:w="725" w:type="pct"/>
                  <w:tcBorders>
                    <w:tl2br w:val="nil"/>
                    <w:tr2bl w:val="nil"/>
                  </w:tcBorders>
                  <w:vAlign w:val="center"/>
                </w:tcPr>
                <w:p w14:paraId="36FFD133">
                  <w:pPr>
                    <w:jc w:val="center"/>
                    <w:rPr>
                      <w:color w:val="auto"/>
                      <w:szCs w:val="21"/>
                      <w:u w:val="single"/>
                    </w:rPr>
                  </w:pPr>
                  <w:r>
                    <w:rPr>
                      <w:color w:val="auto"/>
                      <w:szCs w:val="21"/>
                      <w:u w:val="single"/>
                    </w:rPr>
                    <w:t>是</w:t>
                  </w:r>
                </w:p>
              </w:tc>
            </w:tr>
            <w:tr w14:paraId="6C98EA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76C7E510">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6DAB8E19">
                  <w:pPr>
                    <w:jc w:val="center"/>
                    <w:rPr>
                      <w:color w:val="auto"/>
                      <w:szCs w:val="21"/>
                      <w:u w:val="single"/>
                    </w:rPr>
                  </w:pPr>
                  <w:r>
                    <w:rPr>
                      <w:color w:val="auto"/>
                      <w:szCs w:val="21"/>
                      <w:u w:val="single"/>
                    </w:rPr>
                    <w:t>总磷</w:t>
                  </w:r>
                </w:p>
              </w:tc>
              <w:tc>
                <w:tcPr>
                  <w:tcW w:w="944" w:type="pct"/>
                  <w:tcBorders>
                    <w:tl2br w:val="nil"/>
                    <w:tr2bl w:val="nil"/>
                  </w:tcBorders>
                  <w:vAlign w:val="center"/>
                </w:tcPr>
                <w:p w14:paraId="69773583">
                  <w:pPr>
                    <w:jc w:val="center"/>
                    <w:rPr>
                      <w:color w:val="auto"/>
                      <w:szCs w:val="21"/>
                      <w:u w:val="single"/>
                    </w:rPr>
                  </w:pPr>
                  <w:r>
                    <w:rPr>
                      <w:rFonts w:hint="eastAsia"/>
                      <w:color w:val="auto"/>
                      <w:szCs w:val="21"/>
                      <w:u w:val="single"/>
                    </w:rPr>
                    <w:t>0.03</w:t>
                  </w:r>
                </w:p>
              </w:tc>
              <w:tc>
                <w:tcPr>
                  <w:tcW w:w="889" w:type="pct"/>
                  <w:tcBorders>
                    <w:tl2br w:val="nil"/>
                    <w:tr2bl w:val="nil"/>
                  </w:tcBorders>
                  <w:vAlign w:val="center"/>
                </w:tcPr>
                <w:p w14:paraId="1D4CDA1A">
                  <w:pPr>
                    <w:jc w:val="center"/>
                    <w:rPr>
                      <w:color w:val="auto"/>
                      <w:szCs w:val="21"/>
                      <w:u w:val="single"/>
                    </w:rPr>
                  </w:pPr>
                  <w:r>
                    <w:rPr>
                      <w:rFonts w:hint="eastAsia"/>
                      <w:color w:val="auto"/>
                      <w:szCs w:val="21"/>
                      <w:u w:val="single"/>
                    </w:rPr>
                    <w:t>0.04</w:t>
                  </w:r>
                </w:p>
              </w:tc>
              <w:tc>
                <w:tcPr>
                  <w:tcW w:w="813" w:type="pct"/>
                  <w:tcBorders>
                    <w:tl2br w:val="nil"/>
                    <w:tr2bl w:val="nil"/>
                  </w:tcBorders>
                  <w:vAlign w:val="center"/>
                </w:tcPr>
                <w:p w14:paraId="2857E66C">
                  <w:pPr>
                    <w:jc w:val="center"/>
                    <w:rPr>
                      <w:color w:val="auto"/>
                      <w:szCs w:val="21"/>
                      <w:u w:val="single"/>
                    </w:rPr>
                  </w:pPr>
                  <w:r>
                    <w:rPr>
                      <w:color w:val="auto"/>
                      <w:szCs w:val="21"/>
                      <w:u w:val="single"/>
                    </w:rPr>
                    <w:t>0.2</w:t>
                  </w:r>
                </w:p>
              </w:tc>
              <w:tc>
                <w:tcPr>
                  <w:tcW w:w="725" w:type="pct"/>
                  <w:tcBorders>
                    <w:tl2br w:val="nil"/>
                    <w:tr2bl w:val="nil"/>
                  </w:tcBorders>
                  <w:vAlign w:val="center"/>
                </w:tcPr>
                <w:p w14:paraId="4F2F81F1">
                  <w:pPr>
                    <w:jc w:val="center"/>
                    <w:rPr>
                      <w:color w:val="auto"/>
                      <w:szCs w:val="21"/>
                      <w:u w:val="single"/>
                    </w:rPr>
                  </w:pPr>
                  <w:r>
                    <w:rPr>
                      <w:color w:val="auto"/>
                      <w:szCs w:val="21"/>
                      <w:u w:val="single"/>
                    </w:rPr>
                    <w:t>是</w:t>
                  </w:r>
                </w:p>
              </w:tc>
            </w:tr>
            <w:tr w14:paraId="271CE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41578CA0">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56BAADDD">
                  <w:pPr>
                    <w:jc w:val="center"/>
                    <w:rPr>
                      <w:color w:val="auto"/>
                      <w:szCs w:val="21"/>
                      <w:u w:val="single"/>
                    </w:rPr>
                  </w:pPr>
                  <w:r>
                    <w:rPr>
                      <w:color w:val="auto"/>
                      <w:szCs w:val="21"/>
                      <w:u w:val="single"/>
                    </w:rPr>
                    <w:t>总氮</w:t>
                  </w:r>
                </w:p>
              </w:tc>
              <w:tc>
                <w:tcPr>
                  <w:tcW w:w="944" w:type="pct"/>
                  <w:tcBorders>
                    <w:tl2br w:val="nil"/>
                    <w:tr2bl w:val="nil"/>
                  </w:tcBorders>
                  <w:vAlign w:val="center"/>
                </w:tcPr>
                <w:p w14:paraId="52ACEC06">
                  <w:pPr>
                    <w:jc w:val="center"/>
                    <w:rPr>
                      <w:color w:val="auto"/>
                      <w:szCs w:val="21"/>
                      <w:u w:val="single"/>
                    </w:rPr>
                  </w:pPr>
                  <w:r>
                    <w:rPr>
                      <w:rFonts w:hint="eastAsia"/>
                      <w:color w:val="auto"/>
                      <w:szCs w:val="21"/>
                      <w:u w:val="single"/>
                    </w:rPr>
                    <w:t>0.60</w:t>
                  </w:r>
                </w:p>
              </w:tc>
              <w:tc>
                <w:tcPr>
                  <w:tcW w:w="889" w:type="pct"/>
                  <w:tcBorders>
                    <w:tl2br w:val="nil"/>
                    <w:tr2bl w:val="nil"/>
                  </w:tcBorders>
                  <w:vAlign w:val="center"/>
                </w:tcPr>
                <w:p w14:paraId="4EE77BDE">
                  <w:pPr>
                    <w:jc w:val="center"/>
                    <w:rPr>
                      <w:color w:val="auto"/>
                      <w:szCs w:val="21"/>
                      <w:u w:val="single"/>
                    </w:rPr>
                  </w:pPr>
                  <w:r>
                    <w:rPr>
                      <w:rFonts w:hint="eastAsia"/>
                      <w:color w:val="auto"/>
                      <w:szCs w:val="21"/>
                      <w:u w:val="single"/>
                    </w:rPr>
                    <w:t>0.55</w:t>
                  </w:r>
                </w:p>
              </w:tc>
              <w:tc>
                <w:tcPr>
                  <w:tcW w:w="813" w:type="pct"/>
                  <w:tcBorders>
                    <w:tl2br w:val="nil"/>
                    <w:tr2bl w:val="nil"/>
                  </w:tcBorders>
                  <w:vAlign w:val="center"/>
                </w:tcPr>
                <w:p w14:paraId="2187DDC0">
                  <w:pPr>
                    <w:jc w:val="center"/>
                    <w:rPr>
                      <w:color w:val="auto"/>
                      <w:szCs w:val="21"/>
                      <w:u w:val="single"/>
                    </w:rPr>
                  </w:pPr>
                  <w:r>
                    <w:rPr>
                      <w:color w:val="auto"/>
                      <w:szCs w:val="21"/>
                      <w:u w:val="single"/>
                    </w:rPr>
                    <w:t>1.0</w:t>
                  </w:r>
                </w:p>
              </w:tc>
              <w:tc>
                <w:tcPr>
                  <w:tcW w:w="725" w:type="pct"/>
                  <w:tcBorders>
                    <w:tl2br w:val="nil"/>
                    <w:tr2bl w:val="nil"/>
                  </w:tcBorders>
                  <w:vAlign w:val="center"/>
                </w:tcPr>
                <w:p w14:paraId="7452CA04">
                  <w:pPr>
                    <w:jc w:val="center"/>
                    <w:rPr>
                      <w:color w:val="auto"/>
                      <w:szCs w:val="21"/>
                      <w:u w:val="single"/>
                    </w:rPr>
                  </w:pPr>
                  <w:r>
                    <w:rPr>
                      <w:color w:val="auto"/>
                      <w:szCs w:val="21"/>
                      <w:u w:val="single"/>
                    </w:rPr>
                    <w:t>是</w:t>
                  </w:r>
                </w:p>
              </w:tc>
            </w:tr>
            <w:tr w14:paraId="5208CD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746" w:type="pct"/>
                  <w:vMerge w:val="continue"/>
                  <w:tcBorders>
                    <w:tl2br w:val="nil"/>
                    <w:tr2bl w:val="nil"/>
                  </w:tcBorders>
                  <w:vAlign w:val="center"/>
                </w:tcPr>
                <w:p w14:paraId="1C14E332">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685CAB8F">
                  <w:pPr>
                    <w:jc w:val="center"/>
                    <w:rPr>
                      <w:color w:val="auto"/>
                      <w:szCs w:val="21"/>
                      <w:u w:val="single"/>
                    </w:rPr>
                  </w:pPr>
                  <w:r>
                    <w:rPr>
                      <w:color w:val="auto"/>
                      <w:szCs w:val="21"/>
                      <w:u w:val="single"/>
                    </w:rPr>
                    <w:t>高锰酸盐指数</w:t>
                  </w:r>
                </w:p>
              </w:tc>
              <w:tc>
                <w:tcPr>
                  <w:tcW w:w="944" w:type="pct"/>
                  <w:tcBorders>
                    <w:tl2br w:val="nil"/>
                    <w:tr2bl w:val="nil"/>
                  </w:tcBorders>
                  <w:vAlign w:val="center"/>
                </w:tcPr>
                <w:p w14:paraId="462E8835">
                  <w:pPr>
                    <w:widowControl/>
                    <w:jc w:val="center"/>
                    <w:rPr>
                      <w:color w:val="auto"/>
                      <w:szCs w:val="21"/>
                      <w:u w:val="single"/>
                    </w:rPr>
                  </w:pPr>
                  <w:r>
                    <w:rPr>
                      <w:rFonts w:hint="eastAsia"/>
                      <w:color w:val="auto"/>
                      <w:szCs w:val="21"/>
                      <w:u w:val="single"/>
                    </w:rPr>
                    <w:t>1.4</w:t>
                  </w:r>
                </w:p>
              </w:tc>
              <w:tc>
                <w:tcPr>
                  <w:tcW w:w="889" w:type="pct"/>
                  <w:tcBorders>
                    <w:tl2br w:val="nil"/>
                    <w:tr2bl w:val="nil"/>
                  </w:tcBorders>
                  <w:vAlign w:val="center"/>
                </w:tcPr>
                <w:p w14:paraId="022C2B61">
                  <w:pPr>
                    <w:widowControl/>
                    <w:jc w:val="center"/>
                    <w:rPr>
                      <w:color w:val="auto"/>
                      <w:szCs w:val="21"/>
                      <w:u w:val="single"/>
                    </w:rPr>
                  </w:pPr>
                  <w:r>
                    <w:rPr>
                      <w:rFonts w:hint="eastAsia"/>
                      <w:color w:val="auto"/>
                      <w:szCs w:val="21"/>
                      <w:u w:val="single"/>
                    </w:rPr>
                    <w:t>1.0</w:t>
                  </w:r>
                </w:p>
              </w:tc>
              <w:tc>
                <w:tcPr>
                  <w:tcW w:w="813" w:type="pct"/>
                  <w:tcBorders>
                    <w:tl2br w:val="nil"/>
                    <w:tr2bl w:val="nil"/>
                  </w:tcBorders>
                  <w:vAlign w:val="center"/>
                </w:tcPr>
                <w:p w14:paraId="7388DEB5">
                  <w:pPr>
                    <w:widowControl/>
                    <w:jc w:val="center"/>
                    <w:rPr>
                      <w:color w:val="auto"/>
                      <w:szCs w:val="21"/>
                      <w:u w:val="single"/>
                    </w:rPr>
                  </w:pPr>
                  <w:r>
                    <w:rPr>
                      <w:color w:val="auto"/>
                      <w:szCs w:val="21"/>
                      <w:u w:val="single"/>
                    </w:rPr>
                    <w:t>6</w:t>
                  </w:r>
                </w:p>
              </w:tc>
              <w:tc>
                <w:tcPr>
                  <w:tcW w:w="725" w:type="pct"/>
                  <w:tcBorders>
                    <w:tl2br w:val="nil"/>
                    <w:tr2bl w:val="nil"/>
                  </w:tcBorders>
                  <w:vAlign w:val="center"/>
                </w:tcPr>
                <w:p w14:paraId="64D4C7FB">
                  <w:pPr>
                    <w:jc w:val="center"/>
                    <w:rPr>
                      <w:color w:val="auto"/>
                      <w:szCs w:val="21"/>
                      <w:u w:val="single"/>
                    </w:rPr>
                  </w:pPr>
                  <w:r>
                    <w:rPr>
                      <w:color w:val="auto"/>
                      <w:szCs w:val="21"/>
                      <w:u w:val="single"/>
                    </w:rPr>
                    <w:t>是</w:t>
                  </w:r>
                </w:p>
              </w:tc>
            </w:tr>
            <w:tr w14:paraId="3CB744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36B75E74">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33AF5D2F">
                  <w:pPr>
                    <w:jc w:val="center"/>
                    <w:rPr>
                      <w:color w:val="auto"/>
                      <w:szCs w:val="21"/>
                      <w:u w:val="single"/>
                    </w:rPr>
                  </w:pPr>
                  <w:r>
                    <w:rPr>
                      <w:color w:val="auto"/>
                      <w:szCs w:val="21"/>
                      <w:u w:val="single"/>
                    </w:rPr>
                    <w:t>悬浮物</w:t>
                  </w:r>
                </w:p>
              </w:tc>
              <w:tc>
                <w:tcPr>
                  <w:tcW w:w="944" w:type="pct"/>
                  <w:tcBorders>
                    <w:tl2br w:val="nil"/>
                    <w:tr2bl w:val="nil"/>
                  </w:tcBorders>
                  <w:vAlign w:val="center"/>
                </w:tcPr>
                <w:p w14:paraId="6996B421">
                  <w:pPr>
                    <w:widowControl/>
                    <w:jc w:val="center"/>
                    <w:rPr>
                      <w:color w:val="auto"/>
                      <w:szCs w:val="21"/>
                      <w:u w:val="single"/>
                    </w:rPr>
                  </w:pPr>
                  <w:r>
                    <w:rPr>
                      <w:rFonts w:hint="eastAsia"/>
                      <w:color w:val="auto"/>
                      <w:szCs w:val="21"/>
                      <w:u w:val="single"/>
                    </w:rPr>
                    <w:t>21</w:t>
                  </w:r>
                </w:p>
              </w:tc>
              <w:tc>
                <w:tcPr>
                  <w:tcW w:w="889" w:type="pct"/>
                  <w:tcBorders>
                    <w:tl2br w:val="nil"/>
                    <w:tr2bl w:val="nil"/>
                  </w:tcBorders>
                  <w:vAlign w:val="center"/>
                </w:tcPr>
                <w:p w14:paraId="558950F2">
                  <w:pPr>
                    <w:widowControl/>
                    <w:jc w:val="center"/>
                    <w:rPr>
                      <w:color w:val="auto"/>
                      <w:szCs w:val="21"/>
                      <w:u w:val="single"/>
                    </w:rPr>
                  </w:pPr>
                  <w:r>
                    <w:rPr>
                      <w:rFonts w:hint="eastAsia"/>
                      <w:color w:val="auto"/>
                      <w:szCs w:val="21"/>
                      <w:u w:val="single"/>
                    </w:rPr>
                    <w:t>26</w:t>
                  </w:r>
                </w:p>
              </w:tc>
              <w:tc>
                <w:tcPr>
                  <w:tcW w:w="813" w:type="pct"/>
                  <w:tcBorders>
                    <w:tl2br w:val="nil"/>
                    <w:tr2bl w:val="nil"/>
                  </w:tcBorders>
                  <w:vAlign w:val="center"/>
                </w:tcPr>
                <w:p w14:paraId="0FF33087">
                  <w:pPr>
                    <w:jc w:val="center"/>
                    <w:rPr>
                      <w:color w:val="auto"/>
                      <w:szCs w:val="21"/>
                      <w:u w:val="single"/>
                    </w:rPr>
                  </w:pPr>
                  <w:r>
                    <w:rPr>
                      <w:color w:val="auto"/>
                      <w:szCs w:val="21"/>
                      <w:u w:val="single"/>
                    </w:rPr>
                    <w:t>/</w:t>
                  </w:r>
                </w:p>
              </w:tc>
              <w:tc>
                <w:tcPr>
                  <w:tcW w:w="725" w:type="pct"/>
                  <w:tcBorders>
                    <w:tl2br w:val="nil"/>
                    <w:tr2bl w:val="nil"/>
                  </w:tcBorders>
                  <w:vAlign w:val="center"/>
                </w:tcPr>
                <w:p w14:paraId="7F9971FF">
                  <w:pPr>
                    <w:jc w:val="center"/>
                    <w:rPr>
                      <w:color w:val="auto"/>
                      <w:szCs w:val="21"/>
                      <w:u w:val="single"/>
                    </w:rPr>
                  </w:pPr>
                  <w:r>
                    <w:rPr>
                      <w:color w:val="auto"/>
                      <w:szCs w:val="21"/>
                      <w:u w:val="single"/>
                    </w:rPr>
                    <w:t>是</w:t>
                  </w:r>
                </w:p>
              </w:tc>
            </w:tr>
            <w:tr w14:paraId="40FF51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46" w:type="pct"/>
                  <w:vMerge w:val="continue"/>
                  <w:tcBorders>
                    <w:tl2br w:val="nil"/>
                    <w:tr2bl w:val="nil"/>
                  </w:tcBorders>
                  <w:vAlign w:val="center"/>
                </w:tcPr>
                <w:p w14:paraId="5DC68005">
                  <w:pPr>
                    <w:pStyle w:val="9"/>
                    <w:spacing w:before="0" w:after="0" w:line="240" w:lineRule="auto"/>
                    <w:ind w:right="0"/>
                    <w:jc w:val="center"/>
                    <w:rPr>
                      <w:color w:val="auto"/>
                      <w:kern w:val="2"/>
                      <w:sz w:val="21"/>
                      <w:szCs w:val="21"/>
                      <w:u w:val="single"/>
                    </w:rPr>
                  </w:pPr>
                </w:p>
              </w:tc>
              <w:tc>
                <w:tcPr>
                  <w:tcW w:w="880" w:type="pct"/>
                  <w:tcBorders>
                    <w:tl2br w:val="nil"/>
                    <w:tr2bl w:val="nil"/>
                  </w:tcBorders>
                  <w:vAlign w:val="center"/>
                </w:tcPr>
                <w:p w14:paraId="232A30A9">
                  <w:pPr>
                    <w:jc w:val="center"/>
                    <w:rPr>
                      <w:color w:val="auto"/>
                      <w:szCs w:val="21"/>
                      <w:u w:val="single"/>
                    </w:rPr>
                  </w:pPr>
                  <w:r>
                    <w:rPr>
                      <w:rFonts w:hint="eastAsia"/>
                      <w:color w:val="auto"/>
                      <w:szCs w:val="21"/>
                      <w:u w:val="single"/>
                    </w:rPr>
                    <w:t>总</w:t>
                  </w:r>
                  <w:r>
                    <w:rPr>
                      <w:color w:val="auto"/>
                      <w:szCs w:val="21"/>
                      <w:u w:val="single"/>
                    </w:rPr>
                    <w:t>大肠菌群</w:t>
                  </w:r>
                </w:p>
              </w:tc>
              <w:tc>
                <w:tcPr>
                  <w:tcW w:w="944" w:type="pct"/>
                  <w:tcBorders>
                    <w:tl2br w:val="nil"/>
                    <w:tr2bl w:val="nil"/>
                  </w:tcBorders>
                  <w:vAlign w:val="center"/>
                </w:tcPr>
                <w:p w14:paraId="24998C01">
                  <w:pPr>
                    <w:widowControl/>
                    <w:jc w:val="center"/>
                    <w:rPr>
                      <w:color w:val="auto"/>
                      <w:szCs w:val="21"/>
                      <w:u w:val="single"/>
                    </w:rPr>
                  </w:pPr>
                  <w:r>
                    <w:rPr>
                      <w:rFonts w:hint="eastAsia"/>
                      <w:color w:val="auto"/>
                      <w:szCs w:val="21"/>
                      <w:u w:val="single"/>
                    </w:rPr>
                    <w:t>3.3</w:t>
                  </w:r>
                  <w:r>
                    <w:rPr>
                      <w:rFonts w:ascii="Arial" w:hAnsi="Arial" w:cs="Arial"/>
                      <w:color w:val="auto"/>
                      <w:szCs w:val="21"/>
                      <w:u w:val="single"/>
                    </w:rPr>
                    <w:t>×</w:t>
                  </w:r>
                  <w:r>
                    <w:rPr>
                      <w:rFonts w:hint="eastAsia"/>
                      <w:color w:val="auto"/>
                      <w:szCs w:val="21"/>
                      <w:u w:val="single"/>
                    </w:rPr>
                    <w:t>10</w:t>
                  </w:r>
                  <w:r>
                    <w:rPr>
                      <w:rFonts w:hint="eastAsia"/>
                      <w:color w:val="auto"/>
                      <w:szCs w:val="21"/>
                      <w:u w:val="single"/>
                      <w:vertAlign w:val="superscript"/>
                    </w:rPr>
                    <w:t>2</w:t>
                  </w:r>
                </w:p>
              </w:tc>
              <w:tc>
                <w:tcPr>
                  <w:tcW w:w="889" w:type="pct"/>
                  <w:tcBorders>
                    <w:tl2br w:val="nil"/>
                    <w:tr2bl w:val="nil"/>
                  </w:tcBorders>
                  <w:vAlign w:val="center"/>
                </w:tcPr>
                <w:p w14:paraId="319CB637">
                  <w:pPr>
                    <w:widowControl/>
                    <w:jc w:val="center"/>
                    <w:rPr>
                      <w:color w:val="auto"/>
                      <w:szCs w:val="21"/>
                      <w:u w:val="single"/>
                    </w:rPr>
                  </w:pPr>
                  <w:r>
                    <w:rPr>
                      <w:rFonts w:hint="eastAsia"/>
                      <w:color w:val="auto"/>
                      <w:szCs w:val="21"/>
                      <w:u w:val="single"/>
                    </w:rPr>
                    <w:t>2.6</w:t>
                  </w:r>
                  <w:r>
                    <w:rPr>
                      <w:rFonts w:ascii="Arial" w:hAnsi="Arial" w:cs="Arial"/>
                      <w:color w:val="auto"/>
                      <w:szCs w:val="21"/>
                      <w:u w:val="single"/>
                    </w:rPr>
                    <w:t>×</w:t>
                  </w:r>
                  <w:r>
                    <w:rPr>
                      <w:rFonts w:hint="eastAsia"/>
                      <w:color w:val="auto"/>
                      <w:szCs w:val="21"/>
                      <w:u w:val="single"/>
                    </w:rPr>
                    <w:t>10</w:t>
                  </w:r>
                  <w:r>
                    <w:rPr>
                      <w:rFonts w:hint="eastAsia"/>
                      <w:color w:val="auto"/>
                      <w:szCs w:val="21"/>
                      <w:u w:val="single"/>
                      <w:vertAlign w:val="superscript"/>
                    </w:rPr>
                    <w:t>2</w:t>
                  </w:r>
                </w:p>
              </w:tc>
              <w:tc>
                <w:tcPr>
                  <w:tcW w:w="813" w:type="pct"/>
                  <w:tcBorders>
                    <w:tl2br w:val="nil"/>
                    <w:tr2bl w:val="nil"/>
                  </w:tcBorders>
                  <w:vAlign w:val="center"/>
                </w:tcPr>
                <w:p w14:paraId="64072A21">
                  <w:pPr>
                    <w:widowControl/>
                    <w:jc w:val="center"/>
                    <w:rPr>
                      <w:color w:val="auto"/>
                      <w:szCs w:val="21"/>
                      <w:u w:val="single"/>
                    </w:rPr>
                  </w:pPr>
                  <w:r>
                    <w:rPr>
                      <w:rFonts w:hint="eastAsia"/>
                      <w:color w:val="auto"/>
                      <w:szCs w:val="21"/>
                      <w:u w:val="single"/>
                    </w:rPr>
                    <w:t>/</w:t>
                  </w:r>
                </w:p>
              </w:tc>
              <w:tc>
                <w:tcPr>
                  <w:tcW w:w="725" w:type="pct"/>
                  <w:tcBorders>
                    <w:tl2br w:val="nil"/>
                    <w:tr2bl w:val="nil"/>
                  </w:tcBorders>
                  <w:vAlign w:val="center"/>
                </w:tcPr>
                <w:p w14:paraId="01E81F24">
                  <w:pPr>
                    <w:jc w:val="center"/>
                    <w:rPr>
                      <w:color w:val="auto"/>
                      <w:szCs w:val="21"/>
                      <w:u w:val="single"/>
                    </w:rPr>
                  </w:pPr>
                  <w:r>
                    <w:rPr>
                      <w:color w:val="auto"/>
                      <w:szCs w:val="21"/>
                      <w:u w:val="single"/>
                    </w:rPr>
                    <w:t>是</w:t>
                  </w:r>
                </w:p>
              </w:tc>
            </w:tr>
          </w:tbl>
          <w:p w14:paraId="1DF27913">
            <w:pPr>
              <w:widowControl/>
              <w:snapToGrid w:val="0"/>
              <w:spacing w:line="360" w:lineRule="auto"/>
              <w:ind w:firstLine="480" w:firstLineChars="200"/>
              <w:rPr>
                <w:rFonts w:hint="eastAsia" w:ascii="宋体" w:hAnsi="宋体" w:cs="宋体"/>
                <w:b/>
                <w:bCs/>
                <w:color w:val="auto"/>
                <w:sz w:val="24"/>
                <w:u w:val="single"/>
              </w:rPr>
            </w:pPr>
            <w:r>
              <w:rPr>
                <w:color w:val="auto"/>
                <w:kern w:val="0"/>
                <w:sz w:val="24"/>
                <w:szCs w:val="20"/>
                <w:u w:val="single"/>
              </w:rPr>
              <w:t>根据</w:t>
            </w:r>
            <w:r>
              <w:rPr>
                <w:rFonts w:hint="eastAsia"/>
                <w:color w:val="auto"/>
                <w:kern w:val="0"/>
                <w:sz w:val="24"/>
                <w:szCs w:val="20"/>
                <w:u w:val="single"/>
              </w:rPr>
              <w:t>上表</w:t>
            </w:r>
            <w:r>
              <w:rPr>
                <w:color w:val="auto"/>
                <w:kern w:val="0"/>
                <w:sz w:val="24"/>
                <w:szCs w:val="20"/>
                <w:u w:val="single"/>
              </w:rPr>
              <w:t>可知，</w:t>
            </w:r>
            <w:r>
              <w:rPr>
                <w:rFonts w:hint="eastAsia"/>
                <w:color w:val="auto"/>
                <w:kern w:val="0"/>
                <w:sz w:val="24"/>
                <w:szCs w:val="20"/>
                <w:u w:val="single"/>
              </w:rPr>
              <w:t>项目区域内鱼塘</w:t>
            </w:r>
            <w:r>
              <w:rPr>
                <w:color w:val="auto"/>
                <w:kern w:val="0"/>
                <w:sz w:val="24"/>
                <w:szCs w:val="20"/>
                <w:u w:val="single"/>
              </w:rPr>
              <w:t>地表水各项</w:t>
            </w:r>
            <w:r>
              <w:rPr>
                <w:rFonts w:hint="eastAsia"/>
                <w:color w:val="auto"/>
                <w:kern w:val="0"/>
                <w:sz w:val="24"/>
                <w:szCs w:val="20"/>
                <w:u w:val="single"/>
              </w:rPr>
              <w:t>监测</w:t>
            </w:r>
            <w:r>
              <w:rPr>
                <w:color w:val="auto"/>
                <w:kern w:val="0"/>
                <w:sz w:val="24"/>
                <w:szCs w:val="20"/>
                <w:u w:val="single"/>
              </w:rPr>
              <w:t>因子均能达到</w:t>
            </w:r>
            <w:r>
              <w:rPr>
                <w:color w:val="auto"/>
                <w:kern w:val="0"/>
                <w:sz w:val="24"/>
                <w:szCs w:val="18"/>
                <w:u w:val="single"/>
              </w:rPr>
              <w:t>《地表水环境质量标准》（GB3838-2002）Ⅲ类标准</w:t>
            </w:r>
            <w:r>
              <w:rPr>
                <w:rFonts w:hint="eastAsia"/>
                <w:color w:val="auto"/>
                <w:kern w:val="0"/>
                <w:sz w:val="24"/>
                <w:szCs w:val="20"/>
                <w:u w:val="single"/>
              </w:rPr>
              <w:t>。</w:t>
            </w:r>
          </w:p>
          <w:p w14:paraId="7A1B9694">
            <w:pPr>
              <w:widowControl/>
              <w:adjustRightInd w:val="0"/>
              <w:spacing w:line="360" w:lineRule="auto"/>
              <w:rPr>
                <w:rFonts w:hint="eastAsia" w:ascii="宋体" w:hAnsi="宋体" w:cs="宋体"/>
                <w:b/>
                <w:bCs/>
                <w:color w:val="auto"/>
                <w:sz w:val="24"/>
                <w:u w:val="single"/>
              </w:rPr>
            </w:pPr>
            <w:r>
              <w:rPr>
                <w:rFonts w:hint="eastAsia" w:ascii="宋体" w:hAnsi="宋体" w:cs="宋体"/>
                <w:b/>
                <w:bCs/>
                <w:color w:val="auto"/>
                <w:sz w:val="24"/>
                <w:u w:val="single"/>
              </w:rPr>
              <w:t>4、</w:t>
            </w:r>
            <w:r>
              <w:rPr>
                <w:rFonts w:ascii="宋体" w:hAnsi="宋体" w:cs="宋体"/>
                <w:b/>
                <w:bCs/>
                <w:color w:val="auto"/>
                <w:sz w:val="24"/>
                <w:u w:val="single"/>
              </w:rPr>
              <w:t>声环境质量现状</w:t>
            </w:r>
          </w:p>
          <w:p w14:paraId="0F6CB350">
            <w:pPr>
              <w:pStyle w:val="9"/>
              <w:spacing w:before="0" w:after="0" w:line="360" w:lineRule="auto"/>
              <w:ind w:firstLine="480" w:firstLineChars="200"/>
              <w:jc w:val="left"/>
              <w:rPr>
                <w:color w:val="auto"/>
                <w:sz w:val="24"/>
                <w:szCs w:val="21"/>
                <w:u w:val="single"/>
              </w:rPr>
            </w:pPr>
            <w:r>
              <w:rPr>
                <w:color w:val="auto"/>
                <w:sz w:val="24"/>
                <w:szCs w:val="21"/>
                <w:u w:val="single"/>
              </w:rPr>
              <w:t>根据《建设项目环境影响报告表》内容、格式及编制技术指南常见问题解答“厂界外周边50米范围内存在声环境保护目标的建设项目，应监测声环境质量现状。根据调查，项目</w:t>
            </w:r>
            <w:r>
              <w:rPr>
                <w:rFonts w:hint="eastAsia"/>
                <w:color w:val="auto"/>
                <w:sz w:val="24"/>
                <w:szCs w:val="21"/>
                <w:u w:val="single"/>
                <w:lang w:val="en-US" w:eastAsia="zh-CN"/>
              </w:rPr>
              <w:t>西北侧</w:t>
            </w:r>
            <w:r>
              <w:rPr>
                <w:color w:val="auto"/>
                <w:sz w:val="24"/>
                <w:szCs w:val="21"/>
                <w:u w:val="single"/>
              </w:rPr>
              <w:t>50m范围内存在居民点，本次环评委托湖南谱实检测技术有限公司于2024年10月8日～2024年10月10日对敏感点进行声环境监测，监测结果如下：</w:t>
            </w:r>
          </w:p>
          <w:p w14:paraId="5827CE2A">
            <w:pPr>
              <w:jc w:val="center"/>
              <w:rPr>
                <w:b/>
                <w:bCs/>
                <w:color w:val="auto"/>
                <w:szCs w:val="21"/>
                <w:u w:val="single"/>
              </w:rPr>
            </w:pPr>
            <w:r>
              <w:rPr>
                <w:b/>
                <w:bCs/>
                <w:color w:val="auto"/>
                <w:szCs w:val="21"/>
                <w:u w:val="single"/>
              </w:rPr>
              <w:t>表3-</w:t>
            </w:r>
            <w:r>
              <w:rPr>
                <w:rFonts w:hint="eastAsia"/>
                <w:b/>
                <w:bCs/>
                <w:color w:val="auto"/>
                <w:szCs w:val="21"/>
                <w:u w:val="single"/>
                <w:lang w:val="en-US" w:eastAsia="zh-CN"/>
              </w:rPr>
              <w:t>8</w:t>
            </w:r>
            <w:r>
              <w:rPr>
                <w:b/>
                <w:bCs/>
                <w:color w:val="auto"/>
                <w:szCs w:val="21"/>
                <w:u w:val="single"/>
              </w:rPr>
              <w:t xml:space="preserve">   声环境质量现状监测和评价结果</w:t>
            </w:r>
          </w:p>
          <w:tbl>
            <w:tblPr>
              <w:tblStyle w:val="27"/>
              <w:tblW w:w="78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526"/>
              <w:gridCol w:w="943"/>
              <w:gridCol w:w="982"/>
              <w:gridCol w:w="704"/>
              <w:gridCol w:w="666"/>
              <w:gridCol w:w="1055"/>
            </w:tblGrid>
            <w:tr w14:paraId="1200C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45" w:type="dxa"/>
                  <w:vMerge w:val="restart"/>
                  <w:noWrap/>
                  <w:vAlign w:val="center"/>
                </w:tcPr>
                <w:p w14:paraId="0A1D13C0">
                  <w:pPr>
                    <w:pStyle w:val="58"/>
                    <w:adjustRightInd/>
                    <w:snapToGrid/>
                    <w:spacing w:before="0" w:after="0" w:line="240" w:lineRule="auto"/>
                    <w:ind w:right="0"/>
                    <w:rPr>
                      <w:b/>
                      <w:bCs/>
                      <w:color w:val="auto"/>
                      <w:szCs w:val="21"/>
                      <w:u w:val="single"/>
                    </w:rPr>
                  </w:pPr>
                  <w:r>
                    <w:rPr>
                      <w:b/>
                      <w:bCs/>
                      <w:color w:val="auto"/>
                      <w:szCs w:val="21"/>
                      <w:u w:val="single"/>
                    </w:rPr>
                    <w:t>监测点位</w:t>
                  </w:r>
                </w:p>
              </w:tc>
              <w:tc>
                <w:tcPr>
                  <w:tcW w:w="1526" w:type="dxa"/>
                  <w:vMerge w:val="restart"/>
                  <w:noWrap/>
                  <w:vAlign w:val="center"/>
                </w:tcPr>
                <w:p w14:paraId="188B7535">
                  <w:pPr>
                    <w:pStyle w:val="58"/>
                    <w:adjustRightInd/>
                    <w:snapToGrid/>
                    <w:spacing w:before="0" w:after="0" w:line="240" w:lineRule="auto"/>
                    <w:ind w:right="0"/>
                    <w:rPr>
                      <w:b/>
                      <w:bCs/>
                      <w:color w:val="auto"/>
                      <w:szCs w:val="21"/>
                      <w:u w:val="single"/>
                    </w:rPr>
                  </w:pPr>
                  <w:r>
                    <w:rPr>
                      <w:b/>
                      <w:bCs/>
                      <w:color w:val="auto"/>
                      <w:szCs w:val="21"/>
                      <w:u w:val="single"/>
                    </w:rPr>
                    <w:t>监测时间</w:t>
                  </w:r>
                </w:p>
              </w:tc>
              <w:tc>
                <w:tcPr>
                  <w:tcW w:w="1925" w:type="dxa"/>
                  <w:gridSpan w:val="2"/>
                  <w:noWrap/>
                  <w:vAlign w:val="center"/>
                </w:tcPr>
                <w:p w14:paraId="391C3E88">
                  <w:pPr>
                    <w:pStyle w:val="58"/>
                    <w:adjustRightInd/>
                    <w:snapToGrid/>
                    <w:spacing w:before="0" w:after="0" w:line="240" w:lineRule="auto"/>
                    <w:ind w:right="0"/>
                    <w:rPr>
                      <w:b/>
                      <w:bCs/>
                      <w:color w:val="auto"/>
                      <w:szCs w:val="21"/>
                      <w:u w:val="single"/>
                    </w:rPr>
                  </w:pPr>
                  <w:r>
                    <w:rPr>
                      <w:b/>
                      <w:bCs/>
                      <w:color w:val="auto"/>
                      <w:szCs w:val="21"/>
                      <w:u w:val="single"/>
                    </w:rPr>
                    <w:t>监测点结果</w:t>
                  </w:r>
                </w:p>
              </w:tc>
              <w:tc>
                <w:tcPr>
                  <w:tcW w:w="1370" w:type="dxa"/>
                  <w:gridSpan w:val="2"/>
                  <w:noWrap/>
                  <w:vAlign w:val="center"/>
                </w:tcPr>
                <w:p w14:paraId="0B97BDCD">
                  <w:pPr>
                    <w:pStyle w:val="58"/>
                    <w:adjustRightInd/>
                    <w:snapToGrid/>
                    <w:spacing w:before="0" w:after="0" w:line="240" w:lineRule="auto"/>
                    <w:ind w:right="0"/>
                    <w:rPr>
                      <w:b/>
                      <w:bCs/>
                      <w:color w:val="auto"/>
                      <w:szCs w:val="21"/>
                      <w:u w:val="single"/>
                    </w:rPr>
                  </w:pPr>
                  <w:r>
                    <w:rPr>
                      <w:b/>
                      <w:bCs/>
                      <w:color w:val="auto"/>
                      <w:szCs w:val="21"/>
                      <w:u w:val="single"/>
                    </w:rPr>
                    <w:t>标准值</w:t>
                  </w:r>
                </w:p>
              </w:tc>
              <w:tc>
                <w:tcPr>
                  <w:tcW w:w="1055" w:type="dxa"/>
                  <w:noWrap/>
                  <w:vAlign w:val="center"/>
                </w:tcPr>
                <w:p w14:paraId="57592582">
                  <w:pPr>
                    <w:pStyle w:val="58"/>
                    <w:adjustRightInd/>
                    <w:snapToGrid/>
                    <w:spacing w:before="0" w:after="0" w:line="240" w:lineRule="auto"/>
                    <w:ind w:right="0"/>
                    <w:rPr>
                      <w:b/>
                      <w:bCs/>
                      <w:color w:val="auto"/>
                      <w:szCs w:val="21"/>
                      <w:u w:val="single"/>
                    </w:rPr>
                  </w:pPr>
                  <w:r>
                    <w:rPr>
                      <w:b/>
                      <w:bCs/>
                      <w:color w:val="auto"/>
                      <w:szCs w:val="21"/>
                      <w:u w:val="single"/>
                    </w:rPr>
                    <w:t>评价结果</w:t>
                  </w:r>
                </w:p>
              </w:tc>
            </w:tr>
            <w:tr w14:paraId="657E5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45" w:type="dxa"/>
                  <w:vMerge w:val="continue"/>
                  <w:noWrap/>
                  <w:vAlign w:val="center"/>
                </w:tcPr>
                <w:p w14:paraId="4253D081">
                  <w:pPr>
                    <w:pStyle w:val="58"/>
                    <w:adjustRightInd/>
                    <w:snapToGrid/>
                    <w:spacing w:before="0" w:after="0" w:line="240" w:lineRule="auto"/>
                    <w:ind w:right="0"/>
                    <w:rPr>
                      <w:b/>
                      <w:bCs/>
                      <w:color w:val="auto"/>
                      <w:szCs w:val="21"/>
                      <w:u w:val="single"/>
                    </w:rPr>
                  </w:pPr>
                </w:p>
              </w:tc>
              <w:tc>
                <w:tcPr>
                  <w:tcW w:w="1526" w:type="dxa"/>
                  <w:vMerge w:val="continue"/>
                  <w:noWrap/>
                  <w:vAlign w:val="center"/>
                </w:tcPr>
                <w:p w14:paraId="2472B929">
                  <w:pPr>
                    <w:pStyle w:val="58"/>
                    <w:adjustRightInd/>
                    <w:snapToGrid/>
                    <w:spacing w:before="0" w:after="0" w:line="240" w:lineRule="auto"/>
                    <w:ind w:right="0"/>
                    <w:rPr>
                      <w:b/>
                      <w:bCs/>
                      <w:color w:val="auto"/>
                      <w:szCs w:val="21"/>
                      <w:u w:val="single"/>
                    </w:rPr>
                  </w:pPr>
                </w:p>
              </w:tc>
              <w:tc>
                <w:tcPr>
                  <w:tcW w:w="943" w:type="dxa"/>
                  <w:noWrap/>
                  <w:vAlign w:val="center"/>
                </w:tcPr>
                <w:p w14:paraId="60361AA2">
                  <w:pPr>
                    <w:pStyle w:val="58"/>
                    <w:adjustRightInd/>
                    <w:snapToGrid/>
                    <w:spacing w:before="0" w:after="0" w:line="240" w:lineRule="auto"/>
                    <w:ind w:right="0"/>
                    <w:rPr>
                      <w:b/>
                      <w:bCs/>
                      <w:color w:val="auto"/>
                      <w:szCs w:val="21"/>
                      <w:u w:val="single"/>
                    </w:rPr>
                  </w:pPr>
                  <w:r>
                    <w:rPr>
                      <w:b/>
                      <w:bCs/>
                      <w:color w:val="auto"/>
                      <w:szCs w:val="21"/>
                      <w:u w:val="single"/>
                    </w:rPr>
                    <w:t>昼间</w:t>
                  </w:r>
                </w:p>
              </w:tc>
              <w:tc>
                <w:tcPr>
                  <w:tcW w:w="982" w:type="dxa"/>
                  <w:noWrap/>
                  <w:vAlign w:val="center"/>
                </w:tcPr>
                <w:p w14:paraId="16A8904C">
                  <w:pPr>
                    <w:pStyle w:val="58"/>
                    <w:adjustRightInd/>
                    <w:snapToGrid/>
                    <w:spacing w:before="0" w:after="0" w:line="240" w:lineRule="auto"/>
                    <w:ind w:right="0"/>
                    <w:rPr>
                      <w:b/>
                      <w:bCs/>
                      <w:color w:val="auto"/>
                      <w:szCs w:val="21"/>
                      <w:u w:val="single"/>
                    </w:rPr>
                  </w:pPr>
                  <w:r>
                    <w:rPr>
                      <w:b/>
                      <w:bCs/>
                      <w:color w:val="auto"/>
                      <w:szCs w:val="21"/>
                      <w:u w:val="single"/>
                    </w:rPr>
                    <w:t>夜间</w:t>
                  </w:r>
                </w:p>
              </w:tc>
              <w:tc>
                <w:tcPr>
                  <w:tcW w:w="704" w:type="dxa"/>
                  <w:noWrap/>
                  <w:vAlign w:val="center"/>
                </w:tcPr>
                <w:p w14:paraId="5BB4661C">
                  <w:pPr>
                    <w:pStyle w:val="58"/>
                    <w:adjustRightInd/>
                    <w:snapToGrid/>
                    <w:spacing w:before="0" w:after="0" w:line="240" w:lineRule="auto"/>
                    <w:ind w:right="0"/>
                    <w:rPr>
                      <w:b/>
                      <w:bCs/>
                      <w:color w:val="auto"/>
                      <w:szCs w:val="21"/>
                      <w:u w:val="single"/>
                    </w:rPr>
                  </w:pPr>
                  <w:r>
                    <w:rPr>
                      <w:b/>
                      <w:bCs/>
                      <w:color w:val="auto"/>
                      <w:szCs w:val="21"/>
                      <w:u w:val="single"/>
                    </w:rPr>
                    <w:t>昼间</w:t>
                  </w:r>
                </w:p>
              </w:tc>
              <w:tc>
                <w:tcPr>
                  <w:tcW w:w="666" w:type="dxa"/>
                  <w:noWrap/>
                  <w:vAlign w:val="center"/>
                </w:tcPr>
                <w:p w14:paraId="32BE2A59">
                  <w:pPr>
                    <w:pStyle w:val="58"/>
                    <w:adjustRightInd/>
                    <w:snapToGrid/>
                    <w:spacing w:before="0" w:after="0" w:line="240" w:lineRule="auto"/>
                    <w:ind w:right="0"/>
                    <w:rPr>
                      <w:b/>
                      <w:bCs/>
                      <w:color w:val="auto"/>
                      <w:szCs w:val="21"/>
                      <w:u w:val="single"/>
                    </w:rPr>
                  </w:pPr>
                  <w:r>
                    <w:rPr>
                      <w:b/>
                      <w:bCs/>
                      <w:color w:val="auto"/>
                      <w:szCs w:val="21"/>
                      <w:u w:val="single"/>
                    </w:rPr>
                    <w:t>夜间</w:t>
                  </w:r>
                </w:p>
              </w:tc>
              <w:tc>
                <w:tcPr>
                  <w:tcW w:w="1055" w:type="dxa"/>
                  <w:vMerge w:val="restart"/>
                  <w:noWrap/>
                  <w:vAlign w:val="center"/>
                </w:tcPr>
                <w:p w14:paraId="446B5A92">
                  <w:pPr>
                    <w:pStyle w:val="58"/>
                    <w:adjustRightInd/>
                    <w:snapToGrid/>
                    <w:spacing w:before="0" w:after="0" w:line="240" w:lineRule="auto"/>
                    <w:ind w:right="0"/>
                    <w:rPr>
                      <w:color w:val="auto"/>
                      <w:szCs w:val="21"/>
                      <w:u w:val="single"/>
                    </w:rPr>
                  </w:pPr>
                  <w:r>
                    <w:rPr>
                      <w:color w:val="auto"/>
                      <w:szCs w:val="21"/>
                      <w:u w:val="single"/>
                    </w:rPr>
                    <w:t>达标</w:t>
                  </w:r>
                </w:p>
              </w:tc>
            </w:tr>
            <w:tr w14:paraId="17CE9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45" w:type="dxa"/>
                  <w:vMerge w:val="restart"/>
                  <w:noWrap/>
                  <w:vAlign w:val="center"/>
                </w:tcPr>
                <w:p w14:paraId="3BAB61DD">
                  <w:pPr>
                    <w:widowControl/>
                    <w:jc w:val="center"/>
                    <w:textAlignment w:val="center"/>
                    <w:rPr>
                      <w:color w:val="auto"/>
                      <w:szCs w:val="21"/>
                      <w:u w:val="single"/>
                    </w:rPr>
                  </w:pPr>
                  <w:r>
                    <w:rPr>
                      <w:color w:val="auto"/>
                      <w:kern w:val="0"/>
                      <w:szCs w:val="21"/>
                      <w:u w:val="single"/>
                      <w:lang w:bidi="ar"/>
                    </w:rPr>
                    <w:t>N1方台湖五组居民点</w:t>
                  </w:r>
                </w:p>
              </w:tc>
              <w:tc>
                <w:tcPr>
                  <w:tcW w:w="1526" w:type="dxa"/>
                  <w:noWrap/>
                  <w:vAlign w:val="center"/>
                </w:tcPr>
                <w:p w14:paraId="38D62697">
                  <w:pPr>
                    <w:pStyle w:val="58"/>
                    <w:adjustRightInd/>
                    <w:snapToGrid/>
                    <w:spacing w:before="0" w:after="0" w:line="240" w:lineRule="auto"/>
                    <w:ind w:right="0"/>
                    <w:rPr>
                      <w:color w:val="auto"/>
                      <w:szCs w:val="21"/>
                      <w:u w:val="single"/>
                    </w:rPr>
                  </w:pPr>
                  <w:r>
                    <w:rPr>
                      <w:color w:val="auto"/>
                      <w:szCs w:val="21"/>
                      <w:u w:val="single"/>
                    </w:rPr>
                    <w:t>2024.10.8</w:t>
                  </w:r>
                </w:p>
              </w:tc>
              <w:tc>
                <w:tcPr>
                  <w:tcW w:w="943" w:type="dxa"/>
                  <w:noWrap/>
                  <w:vAlign w:val="center"/>
                </w:tcPr>
                <w:p w14:paraId="0A933764">
                  <w:pPr>
                    <w:pStyle w:val="58"/>
                    <w:adjustRightInd/>
                    <w:snapToGrid/>
                    <w:spacing w:before="0" w:after="0" w:line="240" w:lineRule="auto"/>
                    <w:ind w:right="0"/>
                    <w:rPr>
                      <w:color w:val="auto"/>
                      <w:szCs w:val="21"/>
                      <w:u w:val="single"/>
                    </w:rPr>
                  </w:pPr>
                  <w:r>
                    <w:rPr>
                      <w:color w:val="auto"/>
                      <w:szCs w:val="21"/>
                      <w:u w:val="single"/>
                    </w:rPr>
                    <w:t>52</w:t>
                  </w:r>
                </w:p>
              </w:tc>
              <w:tc>
                <w:tcPr>
                  <w:tcW w:w="982" w:type="dxa"/>
                  <w:noWrap/>
                  <w:vAlign w:val="center"/>
                </w:tcPr>
                <w:p w14:paraId="4CC0A436">
                  <w:pPr>
                    <w:pStyle w:val="58"/>
                    <w:adjustRightInd/>
                    <w:snapToGrid/>
                    <w:spacing w:before="0" w:after="0" w:line="240" w:lineRule="auto"/>
                    <w:ind w:right="0"/>
                    <w:rPr>
                      <w:color w:val="auto"/>
                      <w:szCs w:val="21"/>
                      <w:u w:val="single"/>
                    </w:rPr>
                  </w:pPr>
                  <w:r>
                    <w:rPr>
                      <w:color w:val="auto"/>
                      <w:szCs w:val="21"/>
                      <w:u w:val="single"/>
                    </w:rPr>
                    <w:t>44</w:t>
                  </w:r>
                </w:p>
              </w:tc>
              <w:tc>
                <w:tcPr>
                  <w:tcW w:w="704" w:type="dxa"/>
                  <w:vMerge w:val="restart"/>
                  <w:noWrap/>
                  <w:vAlign w:val="center"/>
                </w:tcPr>
                <w:p w14:paraId="15687DE4">
                  <w:pPr>
                    <w:pStyle w:val="58"/>
                    <w:adjustRightInd/>
                    <w:snapToGrid/>
                    <w:spacing w:before="0" w:after="0" w:line="240" w:lineRule="auto"/>
                    <w:ind w:right="0"/>
                    <w:rPr>
                      <w:color w:val="auto"/>
                      <w:szCs w:val="21"/>
                      <w:u w:val="single"/>
                    </w:rPr>
                  </w:pPr>
                  <w:r>
                    <w:rPr>
                      <w:color w:val="auto"/>
                      <w:szCs w:val="21"/>
                      <w:u w:val="single"/>
                    </w:rPr>
                    <w:t>55</w:t>
                  </w:r>
                </w:p>
              </w:tc>
              <w:tc>
                <w:tcPr>
                  <w:tcW w:w="666" w:type="dxa"/>
                  <w:vMerge w:val="restart"/>
                  <w:noWrap/>
                  <w:vAlign w:val="center"/>
                </w:tcPr>
                <w:p w14:paraId="64B2583C">
                  <w:pPr>
                    <w:pStyle w:val="58"/>
                    <w:adjustRightInd/>
                    <w:snapToGrid/>
                    <w:spacing w:before="0" w:after="0" w:line="240" w:lineRule="auto"/>
                    <w:ind w:right="0"/>
                    <w:rPr>
                      <w:color w:val="auto"/>
                      <w:szCs w:val="21"/>
                      <w:u w:val="single"/>
                    </w:rPr>
                  </w:pPr>
                  <w:r>
                    <w:rPr>
                      <w:color w:val="auto"/>
                      <w:szCs w:val="21"/>
                      <w:u w:val="single"/>
                    </w:rPr>
                    <w:t>45</w:t>
                  </w:r>
                </w:p>
              </w:tc>
              <w:tc>
                <w:tcPr>
                  <w:tcW w:w="1055" w:type="dxa"/>
                  <w:vMerge w:val="continue"/>
                  <w:noWrap/>
                  <w:vAlign w:val="center"/>
                </w:tcPr>
                <w:p w14:paraId="28EFEFC8">
                  <w:pPr>
                    <w:pStyle w:val="58"/>
                    <w:adjustRightInd/>
                    <w:snapToGrid/>
                    <w:spacing w:before="0" w:after="0" w:line="240" w:lineRule="auto"/>
                    <w:ind w:right="0"/>
                    <w:rPr>
                      <w:color w:val="auto"/>
                      <w:szCs w:val="21"/>
                      <w:u w:val="single"/>
                    </w:rPr>
                  </w:pPr>
                </w:p>
              </w:tc>
            </w:tr>
            <w:tr w14:paraId="5F822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1945" w:type="dxa"/>
                  <w:vMerge w:val="continue"/>
                  <w:noWrap/>
                  <w:vAlign w:val="center"/>
                </w:tcPr>
                <w:p w14:paraId="6C065DF2">
                  <w:pPr>
                    <w:widowControl/>
                    <w:jc w:val="center"/>
                    <w:textAlignment w:val="center"/>
                    <w:rPr>
                      <w:color w:val="auto"/>
                      <w:kern w:val="0"/>
                      <w:szCs w:val="21"/>
                      <w:u w:val="single"/>
                      <w:lang w:bidi="ar"/>
                    </w:rPr>
                  </w:pPr>
                </w:p>
              </w:tc>
              <w:tc>
                <w:tcPr>
                  <w:tcW w:w="1526" w:type="dxa"/>
                  <w:noWrap/>
                  <w:vAlign w:val="center"/>
                </w:tcPr>
                <w:p w14:paraId="4B4F08C5">
                  <w:pPr>
                    <w:pStyle w:val="58"/>
                    <w:adjustRightInd/>
                    <w:snapToGrid/>
                    <w:spacing w:before="0" w:after="0" w:line="240" w:lineRule="auto"/>
                    <w:ind w:right="0"/>
                    <w:rPr>
                      <w:color w:val="auto"/>
                      <w:szCs w:val="21"/>
                      <w:u w:val="single"/>
                    </w:rPr>
                  </w:pPr>
                  <w:r>
                    <w:rPr>
                      <w:color w:val="auto"/>
                      <w:szCs w:val="21"/>
                      <w:u w:val="single"/>
                    </w:rPr>
                    <w:t>2024.10.9</w:t>
                  </w:r>
                </w:p>
              </w:tc>
              <w:tc>
                <w:tcPr>
                  <w:tcW w:w="943" w:type="dxa"/>
                  <w:noWrap/>
                  <w:vAlign w:val="center"/>
                </w:tcPr>
                <w:p w14:paraId="32105126">
                  <w:pPr>
                    <w:pStyle w:val="58"/>
                    <w:adjustRightInd/>
                    <w:snapToGrid/>
                    <w:spacing w:before="0" w:after="0" w:line="240" w:lineRule="auto"/>
                    <w:ind w:right="0"/>
                    <w:rPr>
                      <w:color w:val="auto"/>
                      <w:szCs w:val="21"/>
                      <w:u w:val="single"/>
                    </w:rPr>
                  </w:pPr>
                  <w:r>
                    <w:rPr>
                      <w:color w:val="auto"/>
                      <w:szCs w:val="21"/>
                      <w:u w:val="single"/>
                    </w:rPr>
                    <w:t>/</w:t>
                  </w:r>
                </w:p>
              </w:tc>
              <w:tc>
                <w:tcPr>
                  <w:tcW w:w="982" w:type="dxa"/>
                  <w:noWrap/>
                  <w:vAlign w:val="center"/>
                </w:tcPr>
                <w:p w14:paraId="3705E1A4">
                  <w:pPr>
                    <w:pStyle w:val="58"/>
                    <w:adjustRightInd/>
                    <w:snapToGrid/>
                    <w:spacing w:before="0" w:after="0" w:line="240" w:lineRule="auto"/>
                    <w:ind w:right="0"/>
                    <w:rPr>
                      <w:color w:val="auto"/>
                      <w:szCs w:val="21"/>
                      <w:u w:val="single"/>
                    </w:rPr>
                  </w:pPr>
                  <w:r>
                    <w:rPr>
                      <w:color w:val="auto"/>
                      <w:szCs w:val="21"/>
                      <w:u w:val="single"/>
                    </w:rPr>
                    <w:t>43</w:t>
                  </w:r>
                </w:p>
              </w:tc>
              <w:tc>
                <w:tcPr>
                  <w:tcW w:w="704" w:type="dxa"/>
                  <w:vMerge w:val="continue"/>
                  <w:noWrap/>
                  <w:vAlign w:val="center"/>
                </w:tcPr>
                <w:p w14:paraId="77AE2B50">
                  <w:pPr>
                    <w:pStyle w:val="58"/>
                    <w:adjustRightInd/>
                    <w:snapToGrid/>
                    <w:spacing w:before="0" w:after="0" w:line="240" w:lineRule="auto"/>
                    <w:ind w:right="0"/>
                    <w:rPr>
                      <w:color w:val="auto"/>
                      <w:szCs w:val="21"/>
                      <w:u w:val="single"/>
                    </w:rPr>
                  </w:pPr>
                </w:p>
              </w:tc>
              <w:tc>
                <w:tcPr>
                  <w:tcW w:w="666" w:type="dxa"/>
                  <w:vMerge w:val="continue"/>
                  <w:noWrap/>
                  <w:vAlign w:val="center"/>
                </w:tcPr>
                <w:p w14:paraId="6FC09AFD">
                  <w:pPr>
                    <w:pStyle w:val="58"/>
                    <w:adjustRightInd/>
                    <w:snapToGrid/>
                    <w:spacing w:before="0" w:after="0" w:line="240" w:lineRule="auto"/>
                    <w:ind w:right="0"/>
                    <w:rPr>
                      <w:color w:val="auto"/>
                      <w:szCs w:val="21"/>
                      <w:u w:val="single"/>
                    </w:rPr>
                  </w:pPr>
                </w:p>
              </w:tc>
              <w:tc>
                <w:tcPr>
                  <w:tcW w:w="1055" w:type="dxa"/>
                  <w:vMerge w:val="continue"/>
                  <w:noWrap/>
                  <w:vAlign w:val="center"/>
                </w:tcPr>
                <w:p w14:paraId="4B06D0B9">
                  <w:pPr>
                    <w:pStyle w:val="58"/>
                    <w:adjustRightInd/>
                    <w:snapToGrid/>
                    <w:spacing w:before="0" w:after="0" w:line="240" w:lineRule="auto"/>
                    <w:ind w:right="0"/>
                    <w:rPr>
                      <w:color w:val="auto"/>
                      <w:szCs w:val="21"/>
                      <w:u w:val="single"/>
                    </w:rPr>
                  </w:pPr>
                </w:p>
              </w:tc>
            </w:tr>
            <w:tr w14:paraId="1918C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45" w:type="dxa"/>
                  <w:vMerge w:val="continue"/>
                  <w:noWrap/>
                  <w:vAlign w:val="center"/>
                </w:tcPr>
                <w:p w14:paraId="1F8FC923">
                  <w:pPr>
                    <w:pStyle w:val="58"/>
                    <w:adjustRightInd/>
                    <w:snapToGrid/>
                    <w:spacing w:before="0" w:after="0" w:line="240" w:lineRule="auto"/>
                    <w:ind w:right="0"/>
                    <w:rPr>
                      <w:color w:val="auto"/>
                      <w:szCs w:val="21"/>
                      <w:u w:val="single"/>
                    </w:rPr>
                  </w:pPr>
                </w:p>
              </w:tc>
              <w:tc>
                <w:tcPr>
                  <w:tcW w:w="1526" w:type="dxa"/>
                  <w:noWrap/>
                  <w:vAlign w:val="center"/>
                </w:tcPr>
                <w:p w14:paraId="6A23FB3C">
                  <w:pPr>
                    <w:pStyle w:val="58"/>
                    <w:adjustRightInd/>
                    <w:snapToGrid/>
                    <w:spacing w:before="0" w:after="0" w:line="240" w:lineRule="auto"/>
                    <w:ind w:right="0"/>
                    <w:rPr>
                      <w:color w:val="auto"/>
                      <w:szCs w:val="21"/>
                      <w:u w:val="single"/>
                    </w:rPr>
                  </w:pPr>
                  <w:r>
                    <w:rPr>
                      <w:color w:val="auto"/>
                      <w:szCs w:val="21"/>
                      <w:u w:val="single"/>
                    </w:rPr>
                    <w:t>2024.10.10</w:t>
                  </w:r>
                </w:p>
              </w:tc>
              <w:tc>
                <w:tcPr>
                  <w:tcW w:w="943" w:type="dxa"/>
                  <w:noWrap/>
                  <w:vAlign w:val="center"/>
                </w:tcPr>
                <w:p w14:paraId="016A1D7E">
                  <w:pPr>
                    <w:pStyle w:val="58"/>
                    <w:adjustRightInd/>
                    <w:snapToGrid/>
                    <w:spacing w:before="0" w:after="0" w:line="240" w:lineRule="auto"/>
                    <w:ind w:right="0"/>
                    <w:rPr>
                      <w:color w:val="auto"/>
                      <w:szCs w:val="21"/>
                      <w:u w:val="single"/>
                    </w:rPr>
                  </w:pPr>
                  <w:r>
                    <w:rPr>
                      <w:color w:val="auto"/>
                      <w:szCs w:val="21"/>
                      <w:u w:val="single"/>
                    </w:rPr>
                    <w:t>53</w:t>
                  </w:r>
                </w:p>
              </w:tc>
              <w:tc>
                <w:tcPr>
                  <w:tcW w:w="982" w:type="dxa"/>
                  <w:noWrap/>
                  <w:vAlign w:val="center"/>
                </w:tcPr>
                <w:p w14:paraId="5EFA2571">
                  <w:pPr>
                    <w:pStyle w:val="58"/>
                    <w:adjustRightInd/>
                    <w:snapToGrid/>
                    <w:spacing w:before="0" w:after="0" w:line="240" w:lineRule="auto"/>
                    <w:ind w:right="0"/>
                    <w:rPr>
                      <w:color w:val="auto"/>
                      <w:szCs w:val="21"/>
                      <w:u w:val="single"/>
                    </w:rPr>
                  </w:pPr>
                  <w:r>
                    <w:rPr>
                      <w:color w:val="auto"/>
                      <w:szCs w:val="21"/>
                      <w:u w:val="single"/>
                    </w:rPr>
                    <w:t>/</w:t>
                  </w:r>
                </w:p>
              </w:tc>
              <w:tc>
                <w:tcPr>
                  <w:tcW w:w="704" w:type="dxa"/>
                  <w:vMerge w:val="continue"/>
                  <w:noWrap/>
                  <w:vAlign w:val="center"/>
                </w:tcPr>
                <w:p w14:paraId="3D7B4282">
                  <w:pPr>
                    <w:pStyle w:val="58"/>
                    <w:adjustRightInd/>
                    <w:snapToGrid/>
                    <w:spacing w:before="0" w:after="0" w:line="240" w:lineRule="auto"/>
                    <w:ind w:right="0"/>
                    <w:rPr>
                      <w:color w:val="auto"/>
                      <w:szCs w:val="21"/>
                      <w:u w:val="single"/>
                    </w:rPr>
                  </w:pPr>
                </w:p>
              </w:tc>
              <w:tc>
                <w:tcPr>
                  <w:tcW w:w="666" w:type="dxa"/>
                  <w:vMerge w:val="continue"/>
                  <w:noWrap/>
                  <w:vAlign w:val="center"/>
                </w:tcPr>
                <w:p w14:paraId="3CB34E18">
                  <w:pPr>
                    <w:pStyle w:val="58"/>
                    <w:adjustRightInd/>
                    <w:snapToGrid/>
                    <w:spacing w:before="0" w:after="0" w:line="240" w:lineRule="auto"/>
                    <w:ind w:right="0"/>
                    <w:rPr>
                      <w:color w:val="auto"/>
                      <w:szCs w:val="21"/>
                      <w:u w:val="single"/>
                    </w:rPr>
                  </w:pPr>
                </w:p>
              </w:tc>
              <w:tc>
                <w:tcPr>
                  <w:tcW w:w="1055" w:type="dxa"/>
                  <w:vMerge w:val="continue"/>
                  <w:noWrap/>
                  <w:vAlign w:val="center"/>
                </w:tcPr>
                <w:p w14:paraId="45C7B287">
                  <w:pPr>
                    <w:pStyle w:val="58"/>
                    <w:adjustRightInd/>
                    <w:snapToGrid/>
                    <w:spacing w:before="0" w:after="0" w:line="240" w:lineRule="auto"/>
                    <w:ind w:right="0"/>
                    <w:rPr>
                      <w:color w:val="auto"/>
                      <w:szCs w:val="21"/>
                      <w:u w:val="single"/>
                    </w:rPr>
                  </w:pPr>
                </w:p>
              </w:tc>
            </w:tr>
          </w:tbl>
          <w:p w14:paraId="3793DE9A">
            <w:pPr>
              <w:spacing w:line="360" w:lineRule="auto"/>
              <w:ind w:firstLine="480" w:firstLineChars="200"/>
              <w:rPr>
                <w:color w:val="auto"/>
                <w:sz w:val="24"/>
                <w:u w:val="single"/>
              </w:rPr>
            </w:pPr>
            <w:r>
              <w:rPr>
                <w:color w:val="auto"/>
                <w:sz w:val="24"/>
                <w:u w:val="single"/>
              </w:rPr>
              <w:t>从上表分析可知，项目监测点位昼间和夜间声环境监测结果满足《声环境质量标准》（GB3096-2008）中1类标准要求。</w:t>
            </w:r>
          </w:p>
          <w:p w14:paraId="3ECF7B0F">
            <w:pPr>
              <w:spacing w:line="348" w:lineRule="auto"/>
              <w:ind w:right="105" w:rightChars="50"/>
              <w:rPr>
                <w:b/>
                <w:color w:val="auto"/>
                <w:sz w:val="24"/>
                <w:u w:val="single"/>
              </w:rPr>
            </w:pPr>
            <w:r>
              <w:rPr>
                <w:rFonts w:hint="eastAsia"/>
                <w:b/>
                <w:color w:val="auto"/>
                <w:sz w:val="24"/>
                <w:u w:val="single"/>
              </w:rPr>
              <w:t>5、</w:t>
            </w:r>
            <w:r>
              <w:rPr>
                <w:b/>
                <w:color w:val="auto"/>
                <w:sz w:val="24"/>
                <w:u w:val="single"/>
              </w:rPr>
              <w:t>土壤</w:t>
            </w:r>
            <w:r>
              <w:rPr>
                <w:rFonts w:hint="eastAsia"/>
                <w:b/>
                <w:bCs/>
                <w:color w:val="auto"/>
                <w:sz w:val="24"/>
                <w:u w:val="single"/>
              </w:rPr>
              <w:t>环境现状调查</w:t>
            </w:r>
          </w:p>
          <w:p w14:paraId="38B0C25F">
            <w:pPr>
              <w:spacing w:line="360" w:lineRule="auto"/>
              <w:ind w:firstLine="480" w:firstLineChars="200"/>
              <w:rPr>
                <w:color w:val="auto"/>
                <w:sz w:val="24"/>
                <w:u w:val="single"/>
              </w:rPr>
            </w:pPr>
            <w:r>
              <w:rPr>
                <w:rFonts w:hint="eastAsia"/>
                <w:color w:val="auto"/>
                <w:sz w:val="24"/>
                <w:u w:val="single"/>
              </w:rPr>
              <w:t>为了解项目周边水体底泥现状，</w:t>
            </w:r>
            <w:r>
              <w:rPr>
                <w:color w:val="auto"/>
                <w:sz w:val="24"/>
                <w:u w:val="single"/>
              </w:rPr>
              <w:t>本评价引用《洞庭湖流域采桑湖片区水环境综合治理项目》2024年6月19日日对采桑湖</w:t>
            </w:r>
            <w:r>
              <w:rPr>
                <w:rFonts w:hint="eastAsia"/>
                <w:color w:val="auto"/>
                <w:sz w:val="24"/>
                <w:u w:val="single"/>
              </w:rPr>
              <w:t>底泥</w:t>
            </w:r>
            <w:r>
              <w:rPr>
                <w:color w:val="auto"/>
                <w:sz w:val="24"/>
                <w:u w:val="single"/>
              </w:rPr>
              <w:t>的监测数据，监测单位为：湖南昌旭环保科技有限公司，该项目监测点位于本项目北侧</w:t>
            </w:r>
            <w:r>
              <w:rPr>
                <w:rFonts w:hint="eastAsia"/>
                <w:color w:val="auto"/>
                <w:sz w:val="24"/>
                <w:u w:val="single"/>
              </w:rPr>
              <w:t>1.9km</w:t>
            </w:r>
            <w:r>
              <w:rPr>
                <w:color w:val="auto"/>
                <w:sz w:val="24"/>
                <w:u w:val="single"/>
              </w:rPr>
              <w:t>左右。监测情况及结果如下所示：</w:t>
            </w:r>
          </w:p>
          <w:p w14:paraId="701D7AC5">
            <w:pPr>
              <w:adjustRightInd w:val="0"/>
              <w:snapToGrid w:val="0"/>
              <w:spacing w:before="24" w:beforeLines="10" w:after="24" w:afterLines="10" w:line="259" w:lineRule="auto"/>
              <w:jc w:val="center"/>
              <w:rPr>
                <w:b/>
                <w:bCs/>
                <w:color w:val="auto"/>
                <w:kern w:val="0"/>
                <w:sz w:val="21"/>
                <w:szCs w:val="21"/>
                <w:u w:val="single"/>
              </w:rPr>
            </w:pPr>
            <w:r>
              <w:rPr>
                <w:rFonts w:hint="eastAsia"/>
                <w:b/>
                <w:bCs/>
                <w:color w:val="auto"/>
                <w:kern w:val="0"/>
                <w:sz w:val="21"/>
                <w:szCs w:val="21"/>
                <w:u w:val="single"/>
              </w:rPr>
              <w:t>表3-</w:t>
            </w:r>
            <w:r>
              <w:rPr>
                <w:rFonts w:hint="eastAsia"/>
                <w:b/>
                <w:bCs/>
                <w:color w:val="auto"/>
                <w:kern w:val="0"/>
                <w:sz w:val="21"/>
                <w:szCs w:val="21"/>
                <w:u w:val="single"/>
                <w:lang w:val="en-US" w:eastAsia="zh-CN"/>
              </w:rPr>
              <w:t>9</w:t>
            </w:r>
            <w:r>
              <w:rPr>
                <w:rFonts w:hint="eastAsia"/>
                <w:b/>
                <w:bCs/>
                <w:color w:val="auto"/>
                <w:kern w:val="0"/>
                <w:sz w:val="21"/>
                <w:szCs w:val="21"/>
                <w:u w:val="single"/>
              </w:rPr>
              <w:t xml:space="preserve">  底泥检测结果   单位：mg/kg</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523"/>
              <w:gridCol w:w="2446"/>
              <w:gridCol w:w="2756"/>
            </w:tblGrid>
            <w:tr w14:paraId="1D65E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9" w:type="pct"/>
                  <w:vMerge w:val="restart"/>
                  <w:tcBorders>
                    <w:tl2br w:val="nil"/>
                    <w:tr2bl w:val="nil"/>
                  </w:tcBorders>
                  <w:vAlign w:val="center"/>
                </w:tcPr>
                <w:p w14:paraId="35FBC39D">
                  <w:pPr>
                    <w:adjustRightInd w:val="0"/>
                    <w:snapToGrid w:val="0"/>
                    <w:spacing w:before="24" w:beforeLines="10" w:after="24" w:afterLines="10" w:line="259" w:lineRule="auto"/>
                    <w:jc w:val="center"/>
                    <w:rPr>
                      <w:b/>
                      <w:bCs/>
                      <w:color w:val="auto"/>
                      <w:kern w:val="0"/>
                      <w:szCs w:val="21"/>
                      <w:u w:val="single"/>
                    </w:rPr>
                  </w:pPr>
                  <w:r>
                    <w:rPr>
                      <w:rFonts w:hint="eastAsia"/>
                      <w:b/>
                      <w:bCs/>
                      <w:color w:val="auto"/>
                      <w:kern w:val="0"/>
                      <w:szCs w:val="21"/>
                      <w:u w:val="single"/>
                    </w:rPr>
                    <w:t>采样日期</w:t>
                  </w:r>
                </w:p>
              </w:tc>
              <w:tc>
                <w:tcPr>
                  <w:tcW w:w="974" w:type="pct"/>
                  <w:vMerge w:val="restart"/>
                  <w:tcBorders>
                    <w:tl2br w:val="nil"/>
                    <w:tr2bl w:val="nil"/>
                  </w:tcBorders>
                  <w:vAlign w:val="center"/>
                </w:tcPr>
                <w:p w14:paraId="168C352E">
                  <w:pPr>
                    <w:adjustRightInd w:val="0"/>
                    <w:snapToGrid w:val="0"/>
                    <w:spacing w:before="24" w:beforeLines="10" w:after="24" w:afterLines="10" w:line="259" w:lineRule="auto"/>
                    <w:jc w:val="center"/>
                    <w:rPr>
                      <w:b/>
                      <w:bCs/>
                      <w:color w:val="auto"/>
                      <w:kern w:val="0"/>
                      <w:szCs w:val="21"/>
                      <w:u w:val="single"/>
                    </w:rPr>
                  </w:pPr>
                  <w:r>
                    <w:rPr>
                      <w:rFonts w:hint="eastAsia"/>
                      <w:b/>
                      <w:bCs/>
                      <w:color w:val="auto"/>
                      <w:kern w:val="0"/>
                      <w:szCs w:val="21"/>
                      <w:u w:val="single"/>
                    </w:rPr>
                    <w:t>检测项目</w:t>
                  </w:r>
                </w:p>
              </w:tc>
              <w:tc>
                <w:tcPr>
                  <w:tcW w:w="3326" w:type="pct"/>
                  <w:gridSpan w:val="2"/>
                  <w:tcBorders>
                    <w:tl2br w:val="nil"/>
                    <w:tr2bl w:val="nil"/>
                  </w:tcBorders>
                  <w:vAlign w:val="center"/>
                </w:tcPr>
                <w:p w14:paraId="1BE0E2B5">
                  <w:pPr>
                    <w:adjustRightInd w:val="0"/>
                    <w:snapToGrid w:val="0"/>
                    <w:spacing w:before="24" w:beforeLines="10" w:after="24" w:afterLines="10" w:line="259" w:lineRule="auto"/>
                    <w:jc w:val="center"/>
                    <w:rPr>
                      <w:b/>
                      <w:bCs/>
                      <w:color w:val="auto"/>
                      <w:kern w:val="0"/>
                      <w:szCs w:val="21"/>
                      <w:u w:val="single"/>
                    </w:rPr>
                  </w:pPr>
                  <w:r>
                    <w:rPr>
                      <w:rFonts w:hint="eastAsia"/>
                      <w:b/>
                      <w:bCs/>
                      <w:color w:val="auto"/>
                      <w:kern w:val="0"/>
                      <w:szCs w:val="21"/>
                      <w:u w:val="single"/>
                    </w:rPr>
                    <w:t>检测点位及检</w:t>
                  </w:r>
                  <w:r>
                    <w:rPr>
                      <w:b/>
                      <w:bCs/>
                      <w:color w:val="auto"/>
                      <w:kern w:val="0"/>
                      <w:szCs w:val="21"/>
                      <w:u w:val="single"/>
                    </w:rPr>
                    <w:t>测结果（</w:t>
                  </w:r>
                  <w:r>
                    <w:rPr>
                      <w:rFonts w:hint="eastAsia"/>
                      <w:b/>
                      <w:bCs/>
                      <w:color w:val="auto"/>
                      <w:kern w:val="0"/>
                      <w:szCs w:val="21"/>
                      <w:u w:val="single"/>
                    </w:rPr>
                    <w:t>单位：</w:t>
                  </w:r>
                  <w:r>
                    <w:rPr>
                      <w:b/>
                      <w:bCs/>
                      <w:color w:val="auto"/>
                      <w:kern w:val="0"/>
                      <w:szCs w:val="21"/>
                      <w:u w:val="single"/>
                    </w:rPr>
                    <w:t>mg/kg，pH无量纲）</w:t>
                  </w:r>
                </w:p>
              </w:tc>
            </w:tr>
            <w:tr w14:paraId="3A805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9" w:type="pct"/>
                  <w:vMerge w:val="continue"/>
                  <w:tcBorders>
                    <w:tl2br w:val="nil"/>
                    <w:tr2bl w:val="nil"/>
                  </w:tcBorders>
                  <w:vAlign w:val="center"/>
                </w:tcPr>
                <w:p w14:paraId="69760BAC">
                  <w:pPr>
                    <w:adjustRightInd w:val="0"/>
                    <w:snapToGrid w:val="0"/>
                    <w:spacing w:before="24" w:beforeLines="10" w:after="24" w:afterLines="10" w:line="259" w:lineRule="auto"/>
                    <w:jc w:val="center"/>
                    <w:rPr>
                      <w:b/>
                      <w:bCs/>
                      <w:color w:val="auto"/>
                      <w:kern w:val="0"/>
                      <w:szCs w:val="21"/>
                      <w:u w:val="single"/>
                    </w:rPr>
                  </w:pPr>
                </w:p>
              </w:tc>
              <w:tc>
                <w:tcPr>
                  <w:tcW w:w="974" w:type="pct"/>
                  <w:vMerge w:val="continue"/>
                  <w:tcBorders>
                    <w:tl2br w:val="nil"/>
                    <w:tr2bl w:val="nil"/>
                  </w:tcBorders>
                  <w:vAlign w:val="center"/>
                </w:tcPr>
                <w:p w14:paraId="70AAC349">
                  <w:pPr>
                    <w:adjustRightInd w:val="0"/>
                    <w:snapToGrid w:val="0"/>
                    <w:spacing w:before="24" w:beforeLines="10" w:after="24" w:afterLines="10" w:line="259" w:lineRule="auto"/>
                    <w:jc w:val="center"/>
                    <w:rPr>
                      <w:b/>
                      <w:bCs/>
                      <w:color w:val="auto"/>
                      <w:kern w:val="0"/>
                      <w:szCs w:val="21"/>
                      <w:u w:val="single"/>
                    </w:rPr>
                  </w:pPr>
                </w:p>
              </w:tc>
              <w:tc>
                <w:tcPr>
                  <w:tcW w:w="1564" w:type="pct"/>
                  <w:tcBorders>
                    <w:tl2br w:val="nil"/>
                    <w:tr2bl w:val="nil"/>
                  </w:tcBorders>
                  <w:vAlign w:val="center"/>
                </w:tcPr>
                <w:p w14:paraId="6212C6BF">
                  <w:pPr>
                    <w:adjustRightInd w:val="0"/>
                    <w:snapToGrid w:val="0"/>
                    <w:spacing w:before="24" w:beforeLines="10" w:after="24" w:afterLines="10" w:line="259" w:lineRule="auto"/>
                    <w:jc w:val="center"/>
                    <w:rPr>
                      <w:b/>
                      <w:bCs/>
                      <w:color w:val="auto"/>
                      <w:kern w:val="0"/>
                      <w:szCs w:val="21"/>
                      <w:u w:val="single"/>
                    </w:rPr>
                  </w:pPr>
                  <w:r>
                    <w:rPr>
                      <w:rFonts w:hint="eastAsia"/>
                      <w:b/>
                      <w:bCs/>
                      <w:color w:val="auto"/>
                      <w:kern w:val="0"/>
                      <w:szCs w:val="21"/>
                      <w:u w:val="single"/>
                    </w:rPr>
                    <w:t>T1：采桑湖</w:t>
                  </w:r>
                </w:p>
              </w:tc>
              <w:tc>
                <w:tcPr>
                  <w:tcW w:w="1762" w:type="pct"/>
                  <w:tcBorders>
                    <w:tl2br w:val="nil"/>
                    <w:tr2bl w:val="nil"/>
                  </w:tcBorders>
                  <w:vAlign w:val="center"/>
                </w:tcPr>
                <w:p w14:paraId="055F77B7">
                  <w:pPr>
                    <w:adjustRightInd w:val="0"/>
                    <w:snapToGrid w:val="0"/>
                    <w:spacing w:before="24" w:beforeLines="10" w:after="24" w:afterLines="10" w:line="259" w:lineRule="auto"/>
                    <w:jc w:val="center"/>
                    <w:rPr>
                      <w:b/>
                      <w:bCs/>
                      <w:color w:val="auto"/>
                      <w:kern w:val="0"/>
                      <w:szCs w:val="21"/>
                      <w:u w:val="single"/>
                    </w:rPr>
                  </w:pPr>
                  <w:r>
                    <w:rPr>
                      <w:rFonts w:hint="eastAsia"/>
                      <w:b/>
                      <w:bCs/>
                      <w:color w:val="auto"/>
                      <w:kern w:val="0"/>
                      <w:szCs w:val="21"/>
                      <w:u w:val="single"/>
                    </w:rPr>
                    <w:t>标准限值</w:t>
                  </w:r>
                </w:p>
              </w:tc>
            </w:tr>
            <w:tr w14:paraId="54FA5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restart"/>
                  <w:tcBorders>
                    <w:tl2br w:val="nil"/>
                    <w:tr2bl w:val="nil"/>
                  </w:tcBorders>
                  <w:vAlign w:val="center"/>
                </w:tcPr>
                <w:p w14:paraId="67BB6B5B">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6</w:t>
                  </w:r>
                  <w:r>
                    <w:rPr>
                      <w:color w:val="auto"/>
                      <w:kern w:val="0"/>
                      <w:szCs w:val="21"/>
                      <w:u w:val="single"/>
                    </w:rPr>
                    <w:t>月</w:t>
                  </w:r>
                  <w:r>
                    <w:rPr>
                      <w:rFonts w:hint="eastAsia"/>
                      <w:color w:val="auto"/>
                      <w:kern w:val="0"/>
                      <w:szCs w:val="21"/>
                      <w:u w:val="single"/>
                    </w:rPr>
                    <w:t>19</w:t>
                  </w:r>
                  <w:r>
                    <w:rPr>
                      <w:color w:val="auto"/>
                      <w:kern w:val="0"/>
                      <w:szCs w:val="21"/>
                      <w:u w:val="single"/>
                    </w:rPr>
                    <w:t>日</w:t>
                  </w:r>
                </w:p>
              </w:tc>
              <w:tc>
                <w:tcPr>
                  <w:tcW w:w="974" w:type="pct"/>
                  <w:tcBorders>
                    <w:tl2br w:val="nil"/>
                    <w:tr2bl w:val="nil"/>
                  </w:tcBorders>
                  <w:vAlign w:val="center"/>
                </w:tcPr>
                <w:p w14:paraId="1C127C58">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pH</w:t>
                  </w:r>
                </w:p>
              </w:tc>
              <w:tc>
                <w:tcPr>
                  <w:tcW w:w="1564" w:type="pct"/>
                  <w:tcBorders>
                    <w:tl2br w:val="nil"/>
                    <w:tr2bl w:val="nil"/>
                  </w:tcBorders>
                  <w:vAlign w:val="center"/>
                </w:tcPr>
                <w:p w14:paraId="0C39003B">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6.31</w:t>
                  </w:r>
                </w:p>
              </w:tc>
              <w:tc>
                <w:tcPr>
                  <w:tcW w:w="1762" w:type="pct"/>
                  <w:tcBorders>
                    <w:tl2br w:val="nil"/>
                    <w:tr2bl w:val="nil"/>
                  </w:tcBorders>
                  <w:vAlign w:val="center"/>
                </w:tcPr>
                <w:p w14:paraId="01CA9D1F">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5.5＜pH≤6.5</w:t>
                  </w:r>
                </w:p>
              </w:tc>
            </w:tr>
            <w:tr w14:paraId="09BB7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4172640">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2723326E">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砷</w:t>
                  </w:r>
                </w:p>
              </w:tc>
              <w:tc>
                <w:tcPr>
                  <w:tcW w:w="1564" w:type="pct"/>
                  <w:tcBorders>
                    <w:tl2br w:val="nil"/>
                    <w:tr2bl w:val="nil"/>
                  </w:tcBorders>
                  <w:vAlign w:val="center"/>
                </w:tcPr>
                <w:p w14:paraId="0C525CE3">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28.0</w:t>
                  </w:r>
                </w:p>
              </w:tc>
              <w:tc>
                <w:tcPr>
                  <w:tcW w:w="1762" w:type="pct"/>
                  <w:tcBorders>
                    <w:tl2br w:val="nil"/>
                    <w:tr2bl w:val="nil"/>
                  </w:tcBorders>
                  <w:vAlign w:val="center"/>
                </w:tcPr>
                <w:p w14:paraId="4EC22969">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40</w:t>
                  </w:r>
                </w:p>
              </w:tc>
            </w:tr>
            <w:tr w14:paraId="59628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78AEE41D">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6872161B">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镉</w:t>
                  </w:r>
                </w:p>
              </w:tc>
              <w:tc>
                <w:tcPr>
                  <w:tcW w:w="1564" w:type="pct"/>
                  <w:tcBorders>
                    <w:tl2br w:val="nil"/>
                    <w:tr2bl w:val="nil"/>
                  </w:tcBorders>
                  <w:vAlign w:val="center"/>
                </w:tcPr>
                <w:p w14:paraId="7BC70776">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0.50</w:t>
                  </w:r>
                </w:p>
              </w:tc>
              <w:tc>
                <w:tcPr>
                  <w:tcW w:w="1762" w:type="pct"/>
                  <w:tcBorders>
                    <w:tl2br w:val="nil"/>
                    <w:tr2bl w:val="nil"/>
                  </w:tcBorders>
                  <w:vAlign w:val="center"/>
                </w:tcPr>
                <w:p w14:paraId="1D762B29">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0.3</w:t>
                  </w:r>
                </w:p>
              </w:tc>
            </w:tr>
            <w:tr w14:paraId="71C5F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35391EC4">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6B5E1599">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铜</w:t>
                  </w:r>
                </w:p>
              </w:tc>
              <w:tc>
                <w:tcPr>
                  <w:tcW w:w="1564" w:type="pct"/>
                  <w:tcBorders>
                    <w:tl2br w:val="nil"/>
                    <w:tr2bl w:val="nil"/>
                  </w:tcBorders>
                  <w:vAlign w:val="center"/>
                </w:tcPr>
                <w:p w14:paraId="136F8AF7">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28</w:t>
                  </w:r>
                </w:p>
              </w:tc>
              <w:tc>
                <w:tcPr>
                  <w:tcW w:w="1762" w:type="pct"/>
                  <w:tcBorders>
                    <w:tl2br w:val="nil"/>
                    <w:tr2bl w:val="nil"/>
                  </w:tcBorders>
                  <w:vAlign w:val="center"/>
                </w:tcPr>
                <w:p w14:paraId="3932ED4A">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50</w:t>
                  </w:r>
                </w:p>
              </w:tc>
            </w:tr>
            <w:tr w14:paraId="03D3C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99" w:type="pct"/>
                  <w:vMerge w:val="continue"/>
                  <w:tcBorders>
                    <w:tl2br w:val="nil"/>
                    <w:tr2bl w:val="nil"/>
                  </w:tcBorders>
                  <w:vAlign w:val="center"/>
                </w:tcPr>
                <w:p w14:paraId="525F132F">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246FD80E">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铅</w:t>
                  </w:r>
                </w:p>
              </w:tc>
              <w:tc>
                <w:tcPr>
                  <w:tcW w:w="1564" w:type="pct"/>
                  <w:tcBorders>
                    <w:tl2br w:val="nil"/>
                    <w:tr2bl w:val="nil"/>
                  </w:tcBorders>
                  <w:vAlign w:val="center"/>
                </w:tcPr>
                <w:p w14:paraId="71C04CBA">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37</w:t>
                  </w:r>
                </w:p>
              </w:tc>
              <w:tc>
                <w:tcPr>
                  <w:tcW w:w="1762" w:type="pct"/>
                  <w:tcBorders>
                    <w:tl2br w:val="nil"/>
                    <w:tr2bl w:val="nil"/>
                  </w:tcBorders>
                  <w:vAlign w:val="center"/>
                </w:tcPr>
                <w:p w14:paraId="794C6BE2">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90</w:t>
                  </w:r>
                </w:p>
              </w:tc>
            </w:tr>
            <w:tr w14:paraId="7D21A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6EB01875">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74A7353D">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汞</w:t>
                  </w:r>
                </w:p>
              </w:tc>
              <w:tc>
                <w:tcPr>
                  <w:tcW w:w="1564" w:type="pct"/>
                  <w:tcBorders>
                    <w:tl2br w:val="nil"/>
                    <w:tr2bl w:val="nil"/>
                  </w:tcBorders>
                  <w:vAlign w:val="center"/>
                </w:tcPr>
                <w:p w14:paraId="4DB2655D">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0.366</w:t>
                  </w:r>
                </w:p>
              </w:tc>
              <w:tc>
                <w:tcPr>
                  <w:tcW w:w="1762" w:type="pct"/>
                  <w:tcBorders>
                    <w:tl2br w:val="nil"/>
                    <w:tr2bl w:val="nil"/>
                  </w:tcBorders>
                  <w:vAlign w:val="center"/>
                </w:tcPr>
                <w:p w14:paraId="4FE77288">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1.8</w:t>
                  </w:r>
                </w:p>
              </w:tc>
            </w:tr>
            <w:tr w14:paraId="58BB4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0FC7484F">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6B2DCAE6">
                  <w:pPr>
                    <w:adjustRightInd w:val="0"/>
                    <w:snapToGrid w:val="0"/>
                    <w:spacing w:before="24" w:beforeLines="10" w:after="24" w:afterLines="10" w:line="259" w:lineRule="auto"/>
                    <w:jc w:val="center"/>
                    <w:rPr>
                      <w:color w:val="auto"/>
                      <w:kern w:val="0"/>
                      <w:szCs w:val="21"/>
                      <w:u w:val="single"/>
                    </w:rPr>
                  </w:pPr>
                  <w:r>
                    <w:rPr>
                      <w:color w:val="auto"/>
                      <w:kern w:val="0"/>
                      <w:szCs w:val="21"/>
                      <w:u w:val="single"/>
                    </w:rPr>
                    <w:t>镍</w:t>
                  </w:r>
                </w:p>
              </w:tc>
              <w:tc>
                <w:tcPr>
                  <w:tcW w:w="1564" w:type="pct"/>
                  <w:tcBorders>
                    <w:tl2br w:val="nil"/>
                    <w:tr2bl w:val="nil"/>
                  </w:tcBorders>
                  <w:vAlign w:val="center"/>
                </w:tcPr>
                <w:p w14:paraId="56CDCF57">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40</w:t>
                  </w:r>
                </w:p>
              </w:tc>
              <w:tc>
                <w:tcPr>
                  <w:tcW w:w="1762" w:type="pct"/>
                  <w:tcBorders>
                    <w:tl2br w:val="nil"/>
                    <w:tr2bl w:val="nil"/>
                  </w:tcBorders>
                  <w:vAlign w:val="center"/>
                </w:tcPr>
                <w:p w14:paraId="30982B20">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70</w:t>
                  </w:r>
                </w:p>
              </w:tc>
            </w:tr>
            <w:tr w14:paraId="30830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2C88035">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00EB33CB">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锌</w:t>
                  </w:r>
                </w:p>
              </w:tc>
              <w:tc>
                <w:tcPr>
                  <w:tcW w:w="1564" w:type="pct"/>
                  <w:tcBorders>
                    <w:tl2br w:val="nil"/>
                    <w:tr2bl w:val="nil"/>
                  </w:tcBorders>
                  <w:vAlign w:val="center"/>
                </w:tcPr>
                <w:p w14:paraId="5A2EB19C">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109</w:t>
                  </w:r>
                </w:p>
              </w:tc>
              <w:tc>
                <w:tcPr>
                  <w:tcW w:w="1762" w:type="pct"/>
                  <w:tcBorders>
                    <w:tl2br w:val="nil"/>
                    <w:tr2bl w:val="nil"/>
                  </w:tcBorders>
                  <w:vAlign w:val="center"/>
                </w:tcPr>
                <w:p w14:paraId="4C6096B9">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200</w:t>
                  </w:r>
                </w:p>
              </w:tc>
            </w:tr>
            <w:tr w14:paraId="38FC1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Merge w:val="continue"/>
                  <w:tcBorders>
                    <w:tl2br w:val="nil"/>
                    <w:tr2bl w:val="nil"/>
                  </w:tcBorders>
                  <w:vAlign w:val="center"/>
                </w:tcPr>
                <w:p w14:paraId="2EF56DC0">
                  <w:pPr>
                    <w:adjustRightInd w:val="0"/>
                    <w:snapToGrid w:val="0"/>
                    <w:spacing w:before="24" w:beforeLines="10" w:after="24" w:afterLines="10" w:line="259" w:lineRule="auto"/>
                    <w:jc w:val="center"/>
                    <w:rPr>
                      <w:color w:val="auto"/>
                      <w:kern w:val="0"/>
                      <w:szCs w:val="21"/>
                      <w:u w:val="single"/>
                    </w:rPr>
                  </w:pPr>
                </w:p>
              </w:tc>
              <w:tc>
                <w:tcPr>
                  <w:tcW w:w="974" w:type="pct"/>
                  <w:tcBorders>
                    <w:tl2br w:val="nil"/>
                    <w:tr2bl w:val="nil"/>
                  </w:tcBorders>
                  <w:vAlign w:val="center"/>
                </w:tcPr>
                <w:p w14:paraId="18801B98">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总铬</w:t>
                  </w:r>
                </w:p>
              </w:tc>
              <w:tc>
                <w:tcPr>
                  <w:tcW w:w="1564" w:type="pct"/>
                  <w:tcBorders>
                    <w:tl2br w:val="nil"/>
                    <w:tr2bl w:val="nil"/>
                  </w:tcBorders>
                  <w:vAlign w:val="center"/>
                </w:tcPr>
                <w:p w14:paraId="05AF5C95">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31</w:t>
                  </w:r>
                </w:p>
              </w:tc>
              <w:tc>
                <w:tcPr>
                  <w:tcW w:w="1762" w:type="pct"/>
                  <w:tcBorders>
                    <w:tl2br w:val="nil"/>
                    <w:tr2bl w:val="nil"/>
                  </w:tcBorders>
                  <w:vAlign w:val="center"/>
                </w:tcPr>
                <w:p w14:paraId="337F62BF">
                  <w:pPr>
                    <w:adjustRightInd w:val="0"/>
                    <w:snapToGrid w:val="0"/>
                    <w:spacing w:before="24" w:beforeLines="10" w:after="24" w:afterLines="10" w:line="259" w:lineRule="auto"/>
                    <w:jc w:val="center"/>
                    <w:rPr>
                      <w:color w:val="auto"/>
                      <w:kern w:val="0"/>
                      <w:szCs w:val="21"/>
                      <w:u w:val="single"/>
                    </w:rPr>
                  </w:pPr>
                  <w:r>
                    <w:rPr>
                      <w:rFonts w:hint="eastAsia"/>
                      <w:color w:val="auto"/>
                      <w:kern w:val="0"/>
                      <w:szCs w:val="21"/>
                      <w:u w:val="single"/>
                    </w:rPr>
                    <w:t>150</w:t>
                  </w:r>
                </w:p>
              </w:tc>
            </w:tr>
            <w:tr w14:paraId="6867C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tcBorders>
                    <w:tl2br w:val="nil"/>
                    <w:tr2bl w:val="nil"/>
                  </w:tcBorders>
                  <w:vAlign w:val="center"/>
                </w:tcPr>
                <w:p w14:paraId="3901AF2D">
                  <w:pPr>
                    <w:adjustRightInd w:val="0"/>
                    <w:snapToGrid w:val="0"/>
                    <w:spacing w:before="24" w:beforeLines="10" w:after="24" w:afterLines="10"/>
                    <w:jc w:val="center"/>
                    <w:rPr>
                      <w:color w:val="auto"/>
                      <w:kern w:val="0"/>
                      <w:szCs w:val="21"/>
                      <w:u w:val="single"/>
                    </w:rPr>
                  </w:pPr>
                  <w:r>
                    <w:rPr>
                      <w:rFonts w:hint="eastAsia"/>
                      <w:color w:val="auto"/>
                      <w:kern w:val="0"/>
                      <w:szCs w:val="21"/>
                      <w:u w:val="single"/>
                    </w:rPr>
                    <w:t>备注</w:t>
                  </w:r>
                </w:p>
              </w:tc>
              <w:tc>
                <w:tcPr>
                  <w:tcW w:w="4300" w:type="pct"/>
                  <w:gridSpan w:val="3"/>
                  <w:tcBorders>
                    <w:tl2br w:val="nil"/>
                    <w:tr2bl w:val="nil"/>
                  </w:tcBorders>
                  <w:vAlign w:val="center"/>
                </w:tcPr>
                <w:p w14:paraId="10AA1802">
                  <w:pPr>
                    <w:adjustRightInd w:val="0"/>
                    <w:snapToGrid w:val="0"/>
                    <w:spacing w:before="24" w:beforeLines="10" w:after="24" w:afterLines="10"/>
                    <w:jc w:val="center"/>
                    <w:rPr>
                      <w:color w:val="auto"/>
                      <w:kern w:val="0"/>
                      <w:szCs w:val="21"/>
                      <w:u w:val="single"/>
                    </w:rPr>
                  </w:pPr>
                  <w:r>
                    <w:rPr>
                      <w:rFonts w:hint="eastAsia"/>
                      <w:color w:val="auto"/>
                      <w:kern w:val="0"/>
                      <w:szCs w:val="21"/>
                      <w:u w:val="single"/>
                    </w:rPr>
                    <w:t>参照《土壤环境质量 农用地土壤污染风险管控标准（试行）》(GB 15618-2018) 表1中 其他类 筛选值</w:t>
                  </w:r>
                </w:p>
              </w:tc>
            </w:tr>
          </w:tbl>
          <w:p w14:paraId="6FB9018D">
            <w:pPr>
              <w:widowControl/>
              <w:spacing w:line="360" w:lineRule="auto"/>
              <w:ind w:firstLine="480" w:firstLineChars="200"/>
              <w:jc w:val="left"/>
              <w:rPr>
                <w:color w:val="auto"/>
                <w:sz w:val="24"/>
                <w:u w:val="single"/>
              </w:rPr>
            </w:pPr>
            <w:r>
              <w:rPr>
                <w:rFonts w:hint="eastAsia"/>
                <w:color w:val="auto"/>
                <w:sz w:val="24"/>
                <w:u w:val="single"/>
              </w:rPr>
              <w:t>根据监测结果，本项目周边水体底泥各监测因子可满足《土壤质量标准 农用地土壤污染风险管控标准》（GB 15618-2018）表1中其他类筛选值标准，证明项目治理河段水环境质量较好，没有底泥污染。</w:t>
            </w:r>
          </w:p>
          <w:p w14:paraId="277D5FA2">
            <w:pPr>
              <w:pStyle w:val="9"/>
              <w:spacing w:before="0" w:after="0" w:line="360" w:lineRule="auto"/>
              <w:ind w:firstLine="482" w:firstLineChars="200"/>
              <w:jc w:val="left"/>
              <w:rPr>
                <w:rFonts w:hint="eastAsia" w:ascii="宋体" w:hAnsi="宋体" w:cs="宋体"/>
                <w:b/>
                <w:bCs/>
                <w:color w:val="auto"/>
                <w:kern w:val="2"/>
                <w:sz w:val="24"/>
                <w:szCs w:val="24"/>
              </w:rPr>
            </w:pPr>
            <w:r>
              <w:rPr>
                <w:rFonts w:hint="eastAsia" w:ascii="宋体" w:hAnsi="宋体" w:cs="宋体"/>
                <w:b/>
                <w:bCs/>
                <w:color w:val="auto"/>
                <w:kern w:val="2"/>
                <w:sz w:val="24"/>
                <w:szCs w:val="24"/>
              </w:rPr>
              <w:t>5、</w:t>
            </w:r>
            <w:r>
              <w:rPr>
                <w:rFonts w:ascii="宋体" w:hAnsi="宋体" w:cs="宋体"/>
                <w:b/>
                <w:bCs/>
                <w:color w:val="auto"/>
                <w:kern w:val="2"/>
                <w:sz w:val="24"/>
                <w:szCs w:val="24"/>
              </w:rPr>
              <w:t>地下水质量现状调查与评价</w:t>
            </w:r>
          </w:p>
          <w:p w14:paraId="0FCA826D">
            <w:pPr>
              <w:pStyle w:val="9"/>
              <w:spacing w:before="0" w:after="0" w:line="360" w:lineRule="auto"/>
              <w:ind w:right="0" w:firstLine="480" w:firstLineChars="200"/>
              <w:rPr>
                <w:rFonts w:hint="eastAsia" w:ascii="宋体" w:hAnsi="宋体" w:cs="宋体"/>
                <w:color w:val="auto"/>
                <w:szCs w:val="21"/>
              </w:rPr>
            </w:pPr>
            <w:r>
              <w:rPr>
                <w:color w:val="auto"/>
                <w:sz w:val="24"/>
                <w:szCs w:val="21"/>
              </w:rPr>
              <w:t>项目所在区域的地下水水质保护级别为《地下水质量标准》（GB/T14848-2017）中的Ⅲ类。厂界外500m内无地下水集中式饮用水水源和热水、矿泉水、温泉等特殊地下水资源，因此无需进行地下水监测。</w:t>
            </w:r>
          </w:p>
        </w:tc>
      </w:tr>
      <w:tr w14:paraId="5E991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455" w:type="dxa"/>
            <w:vAlign w:val="center"/>
          </w:tcPr>
          <w:p w14:paraId="2AB81865">
            <w:pPr>
              <w:adjustRightInd w:val="0"/>
              <w:snapToGrid w:val="0"/>
              <w:jc w:val="center"/>
              <w:rPr>
                <w:rFonts w:hint="eastAsia" w:ascii="宋体" w:hAnsi="宋体" w:cs="宋体"/>
                <w:color w:val="auto"/>
                <w:kern w:val="0"/>
                <w:szCs w:val="21"/>
              </w:rPr>
            </w:pPr>
            <w:r>
              <w:rPr>
                <w:rFonts w:hint="eastAsia" w:ascii="宋体" w:hAnsi="宋体"/>
                <w:bCs/>
                <w:color w:val="auto"/>
                <w:sz w:val="24"/>
              </w:rPr>
              <w:t>与项目有关的原有环境污染和生态破坏问题</w:t>
            </w:r>
          </w:p>
        </w:tc>
        <w:tc>
          <w:tcPr>
            <w:tcW w:w="8067" w:type="dxa"/>
            <w:vAlign w:val="center"/>
          </w:tcPr>
          <w:p w14:paraId="738C9C07">
            <w:pPr>
              <w:pStyle w:val="9"/>
              <w:spacing w:before="0" w:after="0" w:line="360" w:lineRule="auto"/>
              <w:ind w:right="0" w:firstLine="480" w:firstLineChars="200"/>
              <w:rPr>
                <w:color w:val="auto"/>
                <w:sz w:val="24"/>
                <w:szCs w:val="21"/>
              </w:rPr>
            </w:pPr>
            <w:r>
              <w:rPr>
                <w:color w:val="auto"/>
                <w:sz w:val="24"/>
                <w:szCs w:val="21"/>
              </w:rPr>
              <w:t>根据现场踏勘及村民走访，项目区500m内无工业企业，生态环境主要受农业生产与农村生活影响，污染源问题如下：</w:t>
            </w:r>
          </w:p>
          <w:p w14:paraId="744AA15D">
            <w:pPr>
              <w:pStyle w:val="9"/>
              <w:spacing w:before="0" w:after="0" w:line="360" w:lineRule="auto"/>
              <w:ind w:right="0" w:firstLine="480" w:firstLineChars="200"/>
              <w:rPr>
                <w:color w:val="auto"/>
                <w:sz w:val="24"/>
                <w:szCs w:val="21"/>
              </w:rPr>
            </w:pPr>
            <w:r>
              <w:rPr>
                <w:color w:val="auto"/>
                <w:sz w:val="24"/>
                <w:szCs w:val="21"/>
              </w:rPr>
              <w:t>（1）农业污染源​</w:t>
            </w:r>
          </w:p>
          <w:p w14:paraId="6E1D717B">
            <w:pPr>
              <w:pStyle w:val="9"/>
              <w:spacing w:before="0" w:after="0" w:line="360" w:lineRule="auto"/>
              <w:ind w:right="0" w:firstLine="480" w:firstLineChars="200"/>
              <w:rPr>
                <w:color w:val="auto"/>
                <w:sz w:val="24"/>
                <w:szCs w:val="21"/>
              </w:rPr>
            </w:pPr>
            <w:r>
              <w:rPr>
                <w:color w:val="auto"/>
                <w:sz w:val="24"/>
                <w:szCs w:val="21"/>
              </w:rPr>
              <w:t>调查区农业用地以旱田为主，主种玉米，亩均施高磷钾复合肥及尿素80~100斤，施肥以撒施为主，化肥利用率低，未吸收氮、磷易在土壤表层累积。农业污染呈非点源特征，集中于降水期：降雨时，化肥、农药残留的氮、磷化合物以固态或溶解态，随地表径流与壤中流迁移，最终汇入沟渠，影响水质并可能引发藻类过度繁殖。</w:t>
            </w:r>
          </w:p>
          <w:p w14:paraId="7A976FE5">
            <w:pPr>
              <w:pStyle w:val="9"/>
              <w:spacing w:before="0" w:after="0" w:line="360" w:lineRule="auto"/>
              <w:ind w:right="0" w:firstLine="480" w:firstLineChars="200"/>
              <w:rPr>
                <w:color w:val="auto"/>
                <w:sz w:val="24"/>
                <w:szCs w:val="21"/>
              </w:rPr>
            </w:pPr>
            <w:r>
              <w:rPr>
                <w:color w:val="auto"/>
                <w:sz w:val="24"/>
                <w:szCs w:val="21"/>
              </w:rPr>
              <w:t>（2）生活污染源​</w:t>
            </w:r>
          </w:p>
          <w:p w14:paraId="1EAC99E8">
            <w:pPr>
              <w:pStyle w:val="9"/>
              <w:spacing w:before="0" w:after="0" w:line="360" w:lineRule="auto"/>
              <w:ind w:right="0" w:firstLine="480" w:firstLineChars="200"/>
              <w:rPr>
                <w:rFonts w:hint="eastAsia" w:ascii="宋体" w:hAnsi="宋体" w:cs="宋体"/>
                <w:color w:val="auto"/>
                <w:szCs w:val="21"/>
              </w:rPr>
            </w:pPr>
            <w:r>
              <w:rPr>
                <w:color w:val="auto"/>
                <w:sz w:val="24"/>
                <w:szCs w:val="21"/>
              </w:rPr>
              <w:t>项目区500m范围内有农村居民点，当前主要问题为生活垃圾存放不规范、乱堆乱放，垃圾含废塑料、废玻璃、废纸张及牛羊等家畜粪便，此类垃圾携带大量病原微生物、寄生虫等有害物质，易腐烂发霉、</w:t>
            </w:r>
            <w:r>
              <w:rPr>
                <w:rFonts w:hint="eastAsia"/>
                <w:color w:val="auto"/>
                <w:sz w:val="24"/>
                <w:szCs w:val="21"/>
              </w:rPr>
              <w:t>滋生</w:t>
            </w:r>
            <w:r>
              <w:rPr>
                <w:color w:val="auto"/>
                <w:sz w:val="24"/>
                <w:szCs w:val="21"/>
              </w:rPr>
              <w:t>蚊蝇。​</w:t>
            </w:r>
          </w:p>
        </w:tc>
      </w:tr>
      <w:tr w14:paraId="1F655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455" w:type="dxa"/>
            <w:vAlign w:val="center"/>
          </w:tcPr>
          <w:p w14:paraId="329C285B">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生态环境保护目标</w:t>
            </w:r>
          </w:p>
        </w:tc>
        <w:tc>
          <w:tcPr>
            <w:tcW w:w="8067" w:type="dxa"/>
            <w:vAlign w:val="center"/>
          </w:tcPr>
          <w:p w14:paraId="2BC4E714">
            <w:pPr>
              <w:pStyle w:val="9"/>
              <w:spacing w:before="0" w:after="0" w:line="360" w:lineRule="auto"/>
              <w:ind w:firstLine="480" w:firstLineChars="200"/>
              <w:jc w:val="lef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本项目位于湖南省岳阳市君山区钱粮湖镇银杯社区方台村5组，调查项目周边的主要环境保护目标。</w:t>
            </w:r>
          </w:p>
          <w:p w14:paraId="3BE1B0B3">
            <w:pPr>
              <w:pStyle w:val="9"/>
              <w:spacing w:before="0" w:after="0" w:line="360" w:lineRule="auto"/>
              <w:ind w:firstLine="480" w:firstLineChars="200"/>
              <w:jc w:val="lef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本项目环境保护目标分布详情见表3-</w:t>
            </w:r>
            <w:r>
              <w:rPr>
                <w:rFonts w:hint="default" w:ascii="Times New Roman" w:hAnsi="Times New Roman" w:cs="Times New Roman"/>
                <w:color w:val="auto"/>
                <w:sz w:val="24"/>
                <w:szCs w:val="21"/>
                <w:lang w:val="en-US" w:eastAsia="zh-CN"/>
              </w:rPr>
              <w:t>10</w:t>
            </w:r>
            <w:r>
              <w:rPr>
                <w:rFonts w:hint="default" w:ascii="Times New Roman" w:hAnsi="Times New Roman" w:cs="Times New Roman"/>
                <w:color w:val="auto"/>
                <w:sz w:val="24"/>
                <w:szCs w:val="21"/>
              </w:rPr>
              <w:t>，3-</w:t>
            </w:r>
            <w:r>
              <w:rPr>
                <w:rFonts w:hint="default" w:ascii="Times New Roman" w:hAnsi="Times New Roman" w:cs="Times New Roman"/>
                <w:color w:val="auto"/>
                <w:sz w:val="24"/>
                <w:szCs w:val="21"/>
                <w:lang w:val="en-US" w:eastAsia="zh-CN"/>
              </w:rPr>
              <w:t>11</w:t>
            </w:r>
            <w:r>
              <w:rPr>
                <w:rFonts w:hint="default" w:ascii="Times New Roman" w:hAnsi="Times New Roman" w:cs="Times New Roman"/>
                <w:color w:val="auto"/>
                <w:sz w:val="24"/>
                <w:szCs w:val="21"/>
              </w:rPr>
              <w:t>和3-1</w:t>
            </w:r>
            <w:r>
              <w:rPr>
                <w:rFonts w:hint="default" w:ascii="Times New Roman" w:hAnsi="Times New Roman" w:cs="Times New Roman"/>
                <w:color w:val="auto"/>
                <w:sz w:val="24"/>
                <w:szCs w:val="21"/>
                <w:lang w:val="en-US" w:eastAsia="zh-CN"/>
              </w:rPr>
              <w:t>2</w:t>
            </w:r>
            <w:r>
              <w:rPr>
                <w:rFonts w:hint="default" w:ascii="Times New Roman" w:hAnsi="Times New Roman" w:cs="Times New Roman"/>
                <w:color w:val="auto"/>
                <w:sz w:val="24"/>
                <w:szCs w:val="21"/>
              </w:rPr>
              <w:t>。</w:t>
            </w:r>
          </w:p>
          <w:p w14:paraId="5C4492F9">
            <w:pPr>
              <w:jc w:val="center"/>
              <w:rPr>
                <w:rFonts w:hint="default" w:ascii="Times New Roman" w:hAnsi="Times New Roman" w:cs="Times New Roman"/>
                <w:color w:val="auto"/>
              </w:rPr>
            </w:pPr>
            <w:r>
              <w:rPr>
                <w:rFonts w:hint="default" w:ascii="Times New Roman" w:hAnsi="Times New Roman" w:cs="Times New Roman"/>
                <w:b/>
                <w:color w:val="auto"/>
                <w:szCs w:val="21"/>
              </w:rPr>
              <w:t>表3-</w:t>
            </w:r>
            <w:r>
              <w:rPr>
                <w:rFonts w:hint="default" w:ascii="Times New Roman" w:hAnsi="Times New Roman" w:cs="Times New Roman"/>
                <w:b/>
                <w:color w:val="auto"/>
                <w:szCs w:val="21"/>
                <w:lang w:val="en-US" w:eastAsia="zh-CN"/>
              </w:rPr>
              <w:t>10</w:t>
            </w:r>
            <w:r>
              <w:rPr>
                <w:rFonts w:hint="default" w:ascii="Times New Roman" w:hAnsi="Times New Roman" w:cs="Times New Roman"/>
                <w:b/>
                <w:color w:val="auto"/>
                <w:szCs w:val="21"/>
              </w:rPr>
              <w:t xml:space="preserve">   大气环境保护目标一览表</w:t>
            </w:r>
          </w:p>
          <w:tbl>
            <w:tblPr>
              <w:tblStyle w:val="27"/>
              <w:tblW w:w="78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61"/>
              <w:gridCol w:w="1436"/>
              <w:gridCol w:w="1324"/>
              <w:gridCol w:w="595"/>
              <w:gridCol w:w="792"/>
              <w:gridCol w:w="1017"/>
              <w:gridCol w:w="805"/>
              <w:gridCol w:w="810"/>
            </w:tblGrid>
            <w:tr w14:paraId="024625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vMerge w:val="restart"/>
                  <w:vAlign w:val="center"/>
                </w:tcPr>
                <w:p w14:paraId="4DC75364">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名称</w:t>
                  </w:r>
                </w:p>
              </w:tc>
              <w:tc>
                <w:tcPr>
                  <w:tcW w:w="2760" w:type="dxa"/>
                  <w:gridSpan w:val="2"/>
                  <w:vAlign w:val="center"/>
                </w:tcPr>
                <w:p w14:paraId="72D7039C">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坐标</w:t>
                  </w:r>
                </w:p>
              </w:tc>
              <w:tc>
                <w:tcPr>
                  <w:tcW w:w="595" w:type="dxa"/>
                  <w:vMerge w:val="restart"/>
                  <w:tcMar>
                    <w:top w:w="15" w:type="dxa"/>
                    <w:left w:w="15" w:type="dxa"/>
                    <w:bottom w:w="15" w:type="dxa"/>
                    <w:right w:w="15" w:type="dxa"/>
                  </w:tcMar>
                  <w:vAlign w:val="center"/>
                </w:tcPr>
                <w:p w14:paraId="3DB2612C">
                  <w:pPr>
                    <w:widowControl/>
                    <w:autoSpaceDE w:val="0"/>
                    <w:autoSpaceDN w:val="0"/>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保护</w:t>
                  </w:r>
                </w:p>
                <w:p w14:paraId="7F46A53B">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对象</w:t>
                  </w:r>
                </w:p>
              </w:tc>
              <w:tc>
                <w:tcPr>
                  <w:tcW w:w="792" w:type="dxa"/>
                  <w:vMerge w:val="restart"/>
                  <w:tcMar>
                    <w:top w:w="15" w:type="dxa"/>
                    <w:left w:w="15" w:type="dxa"/>
                    <w:bottom w:w="15" w:type="dxa"/>
                    <w:right w:w="15" w:type="dxa"/>
                  </w:tcMar>
                  <w:vAlign w:val="center"/>
                </w:tcPr>
                <w:p w14:paraId="543DB6E1">
                  <w:pPr>
                    <w:widowControl/>
                    <w:autoSpaceDE w:val="0"/>
                    <w:autoSpaceDN w:val="0"/>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保护</w:t>
                  </w:r>
                </w:p>
                <w:p w14:paraId="5E9DA5AF">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内容</w:t>
                  </w:r>
                </w:p>
              </w:tc>
              <w:tc>
                <w:tcPr>
                  <w:tcW w:w="1017" w:type="dxa"/>
                  <w:vMerge w:val="restart"/>
                  <w:tcMar>
                    <w:top w:w="15" w:type="dxa"/>
                    <w:left w:w="15" w:type="dxa"/>
                    <w:bottom w:w="15" w:type="dxa"/>
                    <w:right w:w="15" w:type="dxa"/>
                  </w:tcMar>
                  <w:vAlign w:val="center"/>
                </w:tcPr>
                <w:p w14:paraId="60EA2382">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环境功能区</w:t>
                  </w:r>
                </w:p>
              </w:tc>
              <w:tc>
                <w:tcPr>
                  <w:tcW w:w="805" w:type="dxa"/>
                  <w:vMerge w:val="restart"/>
                  <w:tcMar>
                    <w:top w:w="15" w:type="dxa"/>
                    <w:left w:w="15" w:type="dxa"/>
                    <w:bottom w:w="15" w:type="dxa"/>
                    <w:right w:w="15" w:type="dxa"/>
                  </w:tcMar>
                  <w:vAlign w:val="center"/>
                </w:tcPr>
                <w:p w14:paraId="11611283">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相对厂址方位</w:t>
                  </w:r>
                </w:p>
              </w:tc>
              <w:tc>
                <w:tcPr>
                  <w:tcW w:w="810" w:type="dxa"/>
                  <w:vMerge w:val="restart"/>
                  <w:tcMar>
                    <w:top w:w="15" w:type="dxa"/>
                    <w:left w:w="15" w:type="dxa"/>
                    <w:bottom w:w="15" w:type="dxa"/>
                    <w:right w:w="15" w:type="dxa"/>
                  </w:tcMar>
                  <w:vAlign w:val="center"/>
                </w:tcPr>
                <w:p w14:paraId="540FEEBA">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相对厂界距离/m</w:t>
                  </w:r>
                </w:p>
              </w:tc>
            </w:tr>
            <w:tr w14:paraId="1BC905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7" w:hRule="atLeast"/>
              </w:trPr>
              <w:tc>
                <w:tcPr>
                  <w:tcW w:w="1061" w:type="dxa"/>
                  <w:vMerge w:val="continue"/>
                  <w:vAlign w:val="center"/>
                </w:tcPr>
                <w:p w14:paraId="5825B15E">
                  <w:pPr>
                    <w:widowControl/>
                    <w:autoSpaceDE w:val="0"/>
                    <w:autoSpaceDN w:val="0"/>
                    <w:jc w:val="center"/>
                    <w:rPr>
                      <w:rFonts w:hint="default" w:ascii="Times New Roman" w:hAnsi="Times New Roman" w:cs="Times New Roman"/>
                      <w:color w:val="auto"/>
                      <w:szCs w:val="21"/>
                    </w:rPr>
                  </w:pPr>
                </w:p>
              </w:tc>
              <w:tc>
                <w:tcPr>
                  <w:tcW w:w="1436" w:type="dxa"/>
                  <w:tcMar>
                    <w:top w:w="15" w:type="dxa"/>
                    <w:left w:w="15" w:type="dxa"/>
                    <w:bottom w:w="15" w:type="dxa"/>
                    <w:right w:w="15" w:type="dxa"/>
                  </w:tcMar>
                  <w:vAlign w:val="center"/>
                </w:tcPr>
                <w:p w14:paraId="39125950">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经度</w:t>
                  </w:r>
                </w:p>
              </w:tc>
              <w:tc>
                <w:tcPr>
                  <w:tcW w:w="1324" w:type="dxa"/>
                  <w:tcMar>
                    <w:top w:w="15" w:type="dxa"/>
                    <w:left w:w="15" w:type="dxa"/>
                    <w:bottom w:w="15" w:type="dxa"/>
                    <w:right w:w="15" w:type="dxa"/>
                  </w:tcMar>
                  <w:vAlign w:val="center"/>
                </w:tcPr>
                <w:p w14:paraId="0FF92DB4">
                  <w:pPr>
                    <w:widowControl/>
                    <w:autoSpaceDE w:val="0"/>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纬度</w:t>
                  </w:r>
                </w:p>
              </w:tc>
              <w:tc>
                <w:tcPr>
                  <w:tcW w:w="595" w:type="dxa"/>
                  <w:vMerge w:val="continue"/>
                  <w:vAlign w:val="center"/>
                </w:tcPr>
                <w:p w14:paraId="655B0B7C">
                  <w:pPr>
                    <w:widowControl/>
                    <w:autoSpaceDE w:val="0"/>
                    <w:autoSpaceDN w:val="0"/>
                    <w:jc w:val="center"/>
                    <w:rPr>
                      <w:rFonts w:hint="default" w:ascii="Times New Roman" w:hAnsi="Times New Roman" w:cs="Times New Roman"/>
                      <w:color w:val="auto"/>
                      <w:szCs w:val="21"/>
                    </w:rPr>
                  </w:pPr>
                </w:p>
              </w:tc>
              <w:tc>
                <w:tcPr>
                  <w:tcW w:w="792" w:type="dxa"/>
                  <w:vMerge w:val="continue"/>
                  <w:vAlign w:val="center"/>
                </w:tcPr>
                <w:p w14:paraId="70D47D9E">
                  <w:pPr>
                    <w:widowControl/>
                    <w:autoSpaceDE w:val="0"/>
                    <w:autoSpaceDN w:val="0"/>
                    <w:jc w:val="center"/>
                    <w:rPr>
                      <w:rFonts w:hint="default" w:ascii="Times New Roman" w:hAnsi="Times New Roman" w:cs="Times New Roman"/>
                      <w:color w:val="auto"/>
                      <w:szCs w:val="21"/>
                    </w:rPr>
                  </w:pPr>
                </w:p>
              </w:tc>
              <w:tc>
                <w:tcPr>
                  <w:tcW w:w="1017" w:type="dxa"/>
                  <w:vMerge w:val="continue"/>
                  <w:vAlign w:val="center"/>
                </w:tcPr>
                <w:p w14:paraId="22E413FB">
                  <w:pPr>
                    <w:widowControl/>
                    <w:autoSpaceDE w:val="0"/>
                    <w:autoSpaceDN w:val="0"/>
                    <w:jc w:val="center"/>
                    <w:rPr>
                      <w:rFonts w:hint="default" w:ascii="Times New Roman" w:hAnsi="Times New Roman" w:cs="Times New Roman"/>
                      <w:color w:val="auto"/>
                      <w:szCs w:val="21"/>
                    </w:rPr>
                  </w:pPr>
                </w:p>
              </w:tc>
              <w:tc>
                <w:tcPr>
                  <w:tcW w:w="805" w:type="dxa"/>
                  <w:vMerge w:val="continue"/>
                  <w:vAlign w:val="center"/>
                </w:tcPr>
                <w:p w14:paraId="22DF4825">
                  <w:pPr>
                    <w:widowControl/>
                    <w:autoSpaceDE w:val="0"/>
                    <w:autoSpaceDN w:val="0"/>
                    <w:jc w:val="center"/>
                    <w:rPr>
                      <w:rFonts w:hint="default" w:ascii="Times New Roman" w:hAnsi="Times New Roman" w:cs="Times New Roman"/>
                      <w:color w:val="auto"/>
                      <w:szCs w:val="21"/>
                    </w:rPr>
                  </w:pPr>
                </w:p>
              </w:tc>
              <w:tc>
                <w:tcPr>
                  <w:tcW w:w="810" w:type="dxa"/>
                  <w:vMerge w:val="continue"/>
                  <w:vAlign w:val="center"/>
                </w:tcPr>
                <w:p w14:paraId="6ADF839D">
                  <w:pPr>
                    <w:widowControl/>
                    <w:autoSpaceDE w:val="0"/>
                    <w:autoSpaceDN w:val="0"/>
                    <w:jc w:val="center"/>
                    <w:rPr>
                      <w:rFonts w:hint="default" w:ascii="Times New Roman" w:hAnsi="Times New Roman" w:cs="Times New Roman"/>
                      <w:color w:val="auto"/>
                      <w:szCs w:val="21"/>
                    </w:rPr>
                  </w:pPr>
                </w:p>
              </w:tc>
            </w:tr>
            <w:tr w14:paraId="24EE50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tcMar>
                    <w:top w:w="15" w:type="dxa"/>
                    <w:left w:w="15" w:type="dxa"/>
                    <w:bottom w:w="15" w:type="dxa"/>
                    <w:right w:w="15" w:type="dxa"/>
                  </w:tcMar>
                  <w:vAlign w:val="center"/>
                </w:tcPr>
                <w:p w14:paraId="09E54697">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方台湖5组居民点</w:t>
                  </w:r>
                </w:p>
              </w:tc>
              <w:tc>
                <w:tcPr>
                  <w:tcW w:w="1436" w:type="dxa"/>
                  <w:tcMar>
                    <w:top w:w="15" w:type="dxa"/>
                    <w:left w:w="15" w:type="dxa"/>
                    <w:bottom w:w="15" w:type="dxa"/>
                    <w:right w:w="15" w:type="dxa"/>
                  </w:tcMar>
                  <w:vAlign w:val="center"/>
                </w:tcPr>
                <w:p w14:paraId="3BD1B3B9">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112.79715526</w:t>
                  </w:r>
                </w:p>
              </w:tc>
              <w:tc>
                <w:tcPr>
                  <w:tcW w:w="1324" w:type="dxa"/>
                  <w:tcMar>
                    <w:top w:w="15" w:type="dxa"/>
                    <w:left w:w="15" w:type="dxa"/>
                    <w:bottom w:w="15" w:type="dxa"/>
                    <w:right w:w="15" w:type="dxa"/>
                  </w:tcMar>
                  <w:vAlign w:val="center"/>
                </w:tcPr>
                <w:p w14:paraId="76E881C4">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29.49772808</w:t>
                  </w:r>
                </w:p>
              </w:tc>
              <w:tc>
                <w:tcPr>
                  <w:tcW w:w="595" w:type="dxa"/>
                  <w:vMerge w:val="restart"/>
                  <w:tcMar>
                    <w:top w:w="15" w:type="dxa"/>
                    <w:left w:w="15" w:type="dxa"/>
                    <w:bottom w:w="15" w:type="dxa"/>
                    <w:right w:w="15" w:type="dxa"/>
                  </w:tcMar>
                  <w:vAlign w:val="center"/>
                </w:tcPr>
                <w:p w14:paraId="50C739EF">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居民</w:t>
                  </w:r>
                </w:p>
              </w:tc>
              <w:tc>
                <w:tcPr>
                  <w:tcW w:w="792" w:type="dxa"/>
                  <w:tcMar>
                    <w:top w:w="15" w:type="dxa"/>
                    <w:left w:w="15" w:type="dxa"/>
                    <w:bottom w:w="15" w:type="dxa"/>
                    <w:right w:w="15" w:type="dxa"/>
                  </w:tcMar>
                  <w:vAlign w:val="center"/>
                </w:tcPr>
                <w:p w14:paraId="060657E0">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25户（约75人）</w:t>
                  </w:r>
                </w:p>
              </w:tc>
              <w:tc>
                <w:tcPr>
                  <w:tcW w:w="1017" w:type="dxa"/>
                  <w:vMerge w:val="restart"/>
                  <w:tcMar>
                    <w:top w:w="15" w:type="dxa"/>
                    <w:left w:w="15" w:type="dxa"/>
                    <w:bottom w:w="15" w:type="dxa"/>
                    <w:right w:w="15" w:type="dxa"/>
                  </w:tcMar>
                  <w:vAlign w:val="center"/>
                </w:tcPr>
                <w:p w14:paraId="3C65DBE1">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《环境空气质量标准》（GB3095－2012）中的一级标准</w:t>
                  </w:r>
                </w:p>
              </w:tc>
              <w:tc>
                <w:tcPr>
                  <w:tcW w:w="805" w:type="dxa"/>
                  <w:tcMar>
                    <w:top w:w="15" w:type="dxa"/>
                    <w:left w:w="15" w:type="dxa"/>
                    <w:bottom w:w="15" w:type="dxa"/>
                    <w:right w:w="15" w:type="dxa"/>
                  </w:tcMar>
                  <w:vAlign w:val="center"/>
                </w:tcPr>
                <w:p w14:paraId="2AB126B9">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西北面</w:t>
                  </w:r>
                </w:p>
              </w:tc>
              <w:tc>
                <w:tcPr>
                  <w:tcW w:w="810" w:type="dxa"/>
                  <w:tcMar>
                    <w:top w:w="15" w:type="dxa"/>
                    <w:left w:w="15" w:type="dxa"/>
                    <w:bottom w:w="15" w:type="dxa"/>
                    <w:right w:w="15" w:type="dxa"/>
                  </w:tcMar>
                  <w:vAlign w:val="center"/>
                </w:tcPr>
                <w:p w14:paraId="692754D5">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s="Times New Roman"/>
                      <w:color w:val="auto"/>
                      <w:szCs w:val="21"/>
                      <w:lang w:val="en-US" w:eastAsia="zh-CN"/>
                    </w:rPr>
                    <w:t>8</w:t>
                  </w:r>
                  <w:r>
                    <w:rPr>
                      <w:rFonts w:hint="default" w:ascii="Times New Roman" w:hAnsi="Times New Roman" w:cs="Times New Roman"/>
                      <w:color w:val="auto"/>
                      <w:szCs w:val="21"/>
                    </w:rPr>
                    <w:t>5-500</w:t>
                  </w:r>
                </w:p>
              </w:tc>
            </w:tr>
            <w:tr w14:paraId="6DE7BB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shd w:val="clear" w:color="auto" w:fill="auto"/>
                  <w:tcMar>
                    <w:top w:w="15" w:type="dxa"/>
                    <w:left w:w="15" w:type="dxa"/>
                    <w:bottom w:w="15" w:type="dxa"/>
                    <w:right w:w="15" w:type="dxa"/>
                  </w:tcMar>
                  <w:vAlign w:val="center"/>
                </w:tcPr>
                <w:p w14:paraId="59FE5369">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方台湖5组居民点</w:t>
                  </w:r>
                </w:p>
              </w:tc>
              <w:tc>
                <w:tcPr>
                  <w:tcW w:w="1436" w:type="dxa"/>
                  <w:shd w:val="clear" w:color="auto" w:fill="auto"/>
                  <w:tcMar>
                    <w:top w:w="15" w:type="dxa"/>
                    <w:left w:w="15" w:type="dxa"/>
                    <w:bottom w:w="15" w:type="dxa"/>
                    <w:right w:w="15" w:type="dxa"/>
                  </w:tcMar>
                  <w:vAlign w:val="center"/>
                </w:tcPr>
                <w:p w14:paraId="466A5C9E">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112.79785437</w:t>
                  </w:r>
                </w:p>
              </w:tc>
              <w:tc>
                <w:tcPr>
                  <w:tcW w:w="1324" w:type="dxa"/>
                  <w:shd w:val="clear" w:color="auto" w:fill="auto"/>
                  <w:tcMar>
                    <w:top w:w="15" w:type="dxa"/>
                    <w:left w:w="15" w:type="dxa"/>
                    <w:bottom w:w="15" w:type="dxa"/>
                    <w:right w:w="15" w:type="dxa"/>
                  </w:tcMar>
                  <w:vAlign w:val="center"/>
                </w:tcPr>
                <w:p w14:paraId="7484C509">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29.49741415</w:t>
                  </w:r>
                </w:p>
              </w:tc>
              <w:tc>
                <w:tcPr>
                  <w:tcW w:w="595" w:type="dxa"/>
                  <w:vMerge w:val="continue"/>
                  <w:shd w:val="clear" w:color="auto" w:fill="auto"/>
                  <w:tcMar>
                    <w:top w:w="15" w:type="dxa"/>
                    <w:left w:w="15" w:type="dxa"/>
                    <w:bottom w:w="15" w:type="dxa"/>
                    <w:right w:w="15" w:type="dxa"/>
                  </w:tcMar>
                  <w:vAlign w:val="center"/>
                </w:tcPr>
                <w:p w14:paraId="4F4111B1">
                  <w:pPr>
                    <w:widowControl/>
                    <w:autoSpaceDE w:val="0"/>
                    <w:autoSpaceDN w:val="0"/>
                    <w:jc w:val="center"/>
                    <w:rPr>
                      <w:rFonts w:hint="default" w:ascii="Times New Roman" w:hAnsi="Times New Roman" w:eastAsia="宋体" w:cs="Times New Roman"/>
                      <w:color w:val="auto"/>
                      <w:kern w:val="2"/>
                      <w:sz w:val="21"/>
                      <w:szCs w:val="21"/>
                      <w:lang w:val="en-US" w:eastAsia="zh-CN" w:bidi="ar-SA"/>
                    </w:rPr>
                  </w:pPr>
                </w:p>
              </w:tc>
              <w:tc>
                <w:tcPr>
                  <w:tcW w:w="792" w:type="dxa"/>
                  <w:shd w:val="clear" w:color="auto" w:fill="auto"/>
                  <w:tcMar>
                    <w:top w:w="15" w:type="dxa"/>
                    <w:left w:w="15" w:type="dxa"/>
                    <w:bottom w:w="15" w:type="dxa"/>
                    <w:right w:w="15" w:type="dxa"/>
                  </w:tcMar>
                  <w:vAlign w:val="center"/>
                </w:tcPr>
                <w:p w14:paraId="5F18722A">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2</w:t>
                  </w:r>
                  <w:r>
                    <w:rPr>
                      <w:rFonts w:hint="default" w:ascii="Times New Roman" w:hAnsi="Times New Roman" w:cs="Times New Roman"/>
                      <w:color w:val="auto"/>
                      <w:kern w:val="0"/>
                      <w:szCs w:val="21"/>
                      <w:lang w:bidi="ar"/>
                    </w:rPr>
                    <w:t>户，</w:t>
                  </w:r>
                  <w:r>
                    <w:rPr>
                      <w:rFonts w:hint="eastAsia" w:cs="Times New Roman"/>
                      <w:color w:val="auto"/>
                      <w:kern w:val="0"/>
                      <w:szCs w:val="21"/>
                      <w:lang w:val="en-US" w:eastAsia="zh-CN" w:bidi="ar"/>
                    </w:rPr>
                    <w:t>6</w:t>
                  </w:r>
                  <w:r>
                    <w:rPr>
                      <w:rFonts w:hint="default" w:ascii="Times New Roman" w:hAnsi="Times New Roman" w:cs="Times New Roman"/>
                      <w:color w:val="auto"/>
                      <w:kern w:val="0"/>
                      <w:szCs w:val="21"/>
                      <w:lang w:bidi="ar"/>
                    </w:rPr>
                    <w:t>人</w:t>
                  </w:r>
                </w:p>
              </w:tc>
              <w:tc>
                <w:tcPr>
                  <w:tcW w:w="1017" w:type="dxa"/>
                  <w:vMerge w:val="continue"/>
                  <w:shd w:val="clear" w:color="auto" w:fill="auto"/>
                  <w:tcMar>
                    <w:top w:w="15" w:type="dxa"/>
                    <w:left w:w="15" w:type="dxa"/>
                    <w:bottom w:w="15" w:type="dxa"/>
                    <w:right w:w="15" w:type="dxa"/>
                  </w:tcMar>
                  <w:vAlign w:val="center"/>
                </w:tcPr>
                <w:p w14:paraId="7F163726">
                  <w:pPr>
                    <w:widowControl/>
                    <w:autoSpaceDE w:val="0"/>
                    <w:autoSpaceDN w:val="0"/>
                    <w:jc w:val="center"/>
                    <w:rPr>
                      <w:rFonts w:hint="default" w:ascii="Times New Roman" w:hAnsi="Times New Roman" w:eastAsia="宋体" w:cs="Times New Roman"/>
                      <w:color w:val="auto"/>
                      <w:kern w:val="2"/>
                      <w:sz w:val="21"/>
                      <w:szCs w:val="21"/>
                      <w:lang w:val="en-US" w:eastAsia="zh-CN" w:bidi="ar-SA"/>
                    </w:rPr>
                  </w:pPr>
                </w:p>
              </w:tc>
              <w:tc>
                <w:tcPr>
                  <w:tcW w:w="805" w:type="dxa"/>
                  <w:shd w:val="clear" w:color="auto" w:fill="auto"/>
                  <w:tcMar>
                    <w:top w:w="15" w:type="dxa"/>
                    <w:left w:w="15" w:type="dxa"/>
                    <w:bottom w:w="15" w:type="dxa"/>
                    <w:right w:w="15" w:type="dxa"/>
                  </w:tcMar>
                  <w:vAlign w:val="center"/>
                </w:tcPr>
                <w:p w14:paraId="75AD887D">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西北</w:t>
                  </w:r>
                  <w:r>
                    <w:rPr>
                      <w:rFonts w:hint="default" w:ascii="Times New Roman" w:hAnsi="Times New Roman" w:cs="Times New Roman"/>
                      <w:color w:val="auto"/>
                      <w:kern w:val="0"/>
                      <w:szCs w:val="21"/>
                      <w:lang w:bidi="ar"/>
                    </w:rPr>
                    <w:t>面</w:t>
                  </w:r>
                </w:p>
              </w:tc>
              <w:tc>
                <w:tcPr>
                  <w:tcW w:w="810" w:type="dxa"/>
                  <w:shd w:val="clear" w:color="auto" w:fill="auto"/>
                  <w:tcMar>
                    <w:top w:w="15" w:type="dxa"/>
                    <w:left w:w="15" w:type="dxa"/>
                    <w:bottom w:w="15" w:type="dxa"/>
                    <w:right w:w="15" w:type="dxa"/>
                  </w:tcMar>
                  <w:vAlign w:val="center"/>
                </w:tcPr>
                <w:p w14:paraId="07674D27">
                  <w:pPr>
                    <w:widowControl/>
                    <w:autoSpaceDE w:val="0"/>
                    <w:autoSpaceDN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rPr>
                    <w:t>6-25</w:t>
                  </w:r>
                </w:p>
              </w:tc>
            </w:tr>
            <w:tr w14:paraId="1C56D0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vAlign w:val="center"/>
                </w:tcPr>
                <w:p w14:paraId="65842F1E">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东北部居民点</w:t>
                  </w:r>
                </w:p>
              </w:tc>
              <w:tc>
                <w:tcPr>
                  <w:tcW w:w="1436" w:type="dxa"/>
                  <w:vAlign w:val="center"/>
                </w:tcPr>
                <w:p w14:paraId="1B106FC9">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112.80200337</w:t>
                  </w:r>
                </w:p>
              </w:tc>
              <w:tc>
                <w:tcPr>
                  <w:tcW w:w="1324" w:type="dxa"/>
                  <w:vAlign w:val="center"/>
                </w:tcPr>
                <w:p w14:paraId="609D3C59">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29.49729599</w:t>
                  </w:r>
                </w:p>
              </w:tc>
              <w:tc>
                <w:tcPr>
                  <w:tcW w:w="595" w:type="dxa"/>
                  <w:vMerge w:val="continue"/>
                  <w:vAlign w:val="center"/>
                </w:tcPr>
                <w:p w14:paraId="0B21035E">
                  <w:pPr>
                    <w:widowControl/>
                    <w:autoSpaceDE w:val="0"/>
                    <w:autoSpaceDN w:val="0"/>
                    <w:jc w:val="center"/>
                    <w:rPr>
                      <w:rFonts w:hint="default" w:ascii="Times New Roman" w:hAnsi="Times New Roman" w:cs="Times New Roman"/>
                      <w:color w:val="auto"/>
                      <w:szCs w:val="21"/>
                    </w:rPr>
                  </w:pPr>
                </w:p>
              </w:tc>
              <w:tc>
                <w:tcPr>
                  <w:tcW w:w="792" w:type="dxa"/>
                  <w:vAlign w:val="center"/>
                </w:tcPr>
                <w:p w14:paraId="0C8AE93F">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10户（约30人）</w:t>
                  </w:r>
                </w:p>
              </w:tc>
              <w:tc>
                <w:tcPr>
                  <w:tcW w:w="1017" w:type="dxa"/>
                  <w:vMerge w:val="continue"/>
                  <w:vAlign w:val="center"/>
                </w:tcPr>
                <w:p w14:paraId="4822BCED">
                  <w:pPr>
                    <w:widowControl/>
                    <w:autoSpaceDE w:val="0"/>
                    <w:autoSpaceDN w:val="0"/>
                    <w:jc w:val="center"/>
                    <w:rPr>
                      <w:rFonts w:hint="default" w:ascii="Times New Roman" w:hAnsi="Times New Roman" w:cs="Times New Roman"/>
                      <w:color w:val="auto"/>
                      <w:szCs w:val="21"/>
                    </w:rPr>
                  </w:pPr>
                </w:p>
              </w:tc>
              <w:tc>
                <w:tcPr>
                  <w:tcW w:w="805" w:type="dxa"/>
                  <w:tcMar>
                    <w:top w:w="15" w:type="dxa"/>
                    <w:left w:w="15" w:type="dxa"/>
                    <w:bottom w:w="15" w:type="dxa"/>
                    <w:right w:w="15" w:type="dxa"/>
                  </w:tcMar>
                  <w:vAlign w:val="center"/>
                </w:tcPr>
                <w:p w14:paraId="77B69BEC">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东北面</w:t>
                  </w:r>
                </w:p>
              </w:tc>
              <w:tc>
                <w:tcPr>
                  <w:tcW w:w="810" w:type="dxa"/>
                  <w:tcMar>
                    <w:top w:w="15" w:type="dxa"/>
                    <w:left w:w="15" w:type="dxa"/>
                    <w:bottom w:w="15" w:type="dxa"/>
                    <w:right w:w="15" w:type="dxa"/>
                  </w:tcMar>
                  <w:vAlign w:val="center"/>
                </w:tcPr>
                <w:p w14:paraId="3388A60B">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40-3</w:t>
                  </w:r>
                  <w:r>
                    <w:rPr>
                      <w:rFonts w:hint="eastAsia" w:cs="Times New Roman"/>
                      <w:color w:val="auto"/>
                      <w:kern w:val="0"/>
                      <w:szCs w:val="21"/>
                      <w:lang w:val="en-US" w:eastAsia="zh-CN" w:bidi="ar"/>
                    </w:rPr>
                    <w:t>2</w:t>
                  </w:r>
                  <w:r>
                    <w:rPr>
                      <w:rFonts w:hint="default" w:ascii="Times New Roman" w:hAnsi="Times New Roman" w:cs="Times New Roman"/>
                      <w:color w:val="auto"/>
                      <w:kern w:val="0"/>
                      <w:szCs w:val="21"/>
                      <w:lang w:bidi="ar"/>
                    </w:rPr>
                    <w:t>0</w:t>
                  </w:r>
                </w:p>
              </w:tc>
            </w:tr>
            <w:tr w14:paraId="774E33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vAlign w:val="center"/>
                </w:tcPr>
                <w:p w14:paraId="3D55FBAA">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西部居民点</w:t>
                  </w:r>
                </w:p>
              </w:tc>
              <w:tc>
                <w:tcPr>
                  <w:tcW w:w="1436" w:type="dxa"/>
                  <w:vAlign w:val="center"/>
                </w:tcPr>
                <w:p w14:paraId="26A47FE7">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112.79669983</w:t>
                  </w:r>
                </w:p>
              </w:tc>
              <w:tc>
                <w:tcPr>
                  <w:tcW w:w="1324" w:type="dxa"/>
                  <w:vAlign w:val="center"/>
                </w:tcPr>
                <w:p w14:paraId="0FCB7DEA">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29.49718221</w:t>
                  </w:r>
                </w:p>
              </w:tc>
              <w:tc>
                <w:tcPr>
                  <w:tcW w:w="595" w:type="dxa"/>
                  <w:vMerge w:val="continue"/>
                  <w:vAlign w:val="center"/>
                </w:tcPr>
                <w:p w14:paraId="0CAA27F1">
                  <w:pPr>
                    <w:widowControl/>
                    <w:autoSpaceDE w:val="0"/>
                    <w:autoSpaceDN w:val="0"/>
                    <w:jc w:val="center"/>
                    <w:rPr>
                      <w:rFonts w:hint="default" w:ascii="Times New Roman" w:hAnsi="Times New Roman" w:cs="Times New Roman"/>
                      <w:color w:val="auto"/>
                      <w:szCs w:val="21"/>
                    </w:rPr>
                  </w:pPr>
                </w:p>
              </w:tc>
              <w:tc>
                <w:tcPr>
                  <w:tcW w:w="792" w:type="dxa"/>
                  <w:vAlign w:val="center"/>
                </w:tcPr>
                <w:p w14:paraId="76CB0949">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3户（10人）</w:t>
                  </w:r>
                </w:p>
              </w:tc>
              <w:tc>
                <w:tcPr>
                  <w:tcW w:w="1017" w:type="dxa"/>
                  <w:vMerge w:val="continue"/>
                  <w:vAlign w:val="center"/>
                </w:tcPr>
                <w:p w14:paraId="66303352">
                  <w:pPr>
                    <w:widowControl/>
                    <w:autoSpaceDE w:val="0"/>
                    <w:autoSpaceDN w:val="0"/>
                    <w:jc w:val="center"/>
                    <w:rPr>
                      <w:rFonts w:hint="default" w:ascii="Times New Roman" w:hAnsi="Times New Roman" w:cs="Times New Roman"/>
                      <w:color w:val="auto"/>
                      <w:szCs w:val="21"/>
                    </w:rPr>
                  </w:pPr>
                </w:p>
              </w:tc>
              <w:tc>
                <w:tcPr>
                  <w:tcW w:w="805" w:type="dxa"/>
                  <w:tcMar>
                    <w:top w:w="15" w:type="dxa"/>
                    <w:left w:w="15" w:type="dxa"/>
                    <w:bottom w:w="15" w:type="dxa"/>
                    <w:right w:w="15" w:type="dxa"/>
                  </w:tcMar>
                  <w:vAlign w:val="center"/>
                </w:tcPr>
                <w:p w14:paraId="622DD017">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西面</w:t>
                  </w:r>
                </w:p>
              </w:tc>
              <w:tc>
                <w:tcPr>
                  <w:tcW w:w="810" w:type="dxa"/>
                  <w:tcMar>
                    <w:top w:w="15" w:type="dxa"/>
                    <w:left w:w="15" w:type="dxa"/>
                    <w:bottom w:w="15" w:type="dxa"/>
                    <w:right w:w="15" w:type="dxa"/>
                  </w:tcMar>
                  <w:vAlign w:val="center"/>
                </w:tcPr>
                <w:p w14:paraId="1294F380">
                  <w:pPr>
                    <w:widowControl/>
                    <w:autoSpaceDE w:val="0"/>
                    <w:autoSpaceDN w:val="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bidi="ar"/>
                    </w:rPr>
                    <w:t>1</w:t>
                  </w:r>
                  <w:r>
                    <w:rPr>
                      <w:rFonts w:hint="eastAsia" w:cs="Times New Roman"/>
                      <w:color w:val="auto"/>
                      <w:kern w:val="0"/>
                      <w:szCs w:val="21"/>
                      <w:lang w:val="en-US" w:eastAsia="zh-CN" w:bidi="ar"/>
                    </w:rPr>
                    <w:t>45</w:t>
                  </w:r>
                  <w:r>
                    <w:rPr>
                      <w:rFonts w:hint="default" w:ascii="Times New Roman" w:hAnsi="Times New Roman" w:cs="Times New Roman"/>
                      <w:color w:val="auto"/>
                      <w:kern w:val="0"/>
                      <w:szCs w:val="21"/>
                      <w:lang w:bidi="ar"/>
                    </w:rPr>
                    <w:t>-</w:t>
                  </w:r>
                  <w:r>
                    <w:rPr>
                      <w:rFonts w:hint="eastAsia" w:cs="Times New Roman"/>
                      <w:color w:val="auto"/>
                      <w:kern w:val="0"/>
                      <w:szCs w:val="21"/>
                      <w:lang w:val="en-US" w:eastAsia="zh-CN" w:bidi="ar"/>
                    </w:rPr>
                    <w:t>500</w:t>
                  </w:r>
                </w:p>
              </w:tc>
            </w:tr>
            <w:tr w14:paraId="63C632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61" w:type="dxa"/>
                  <w:vAlign w:val="center"/>
                </w:tcPr>
                <w:p w14:paraId="0E1EFE22">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碾盘洲居民点</w:t>
                  </w:r>
                </w:p>
              </w:tc>
              <w:tc>
                <w:tcPr>
                  <w:tcW w:w="1436" w:type="dxa"/>
                  <w:vAlign w:val="center"/>
                </w:tcPr>
                <w:p w14:paraId="560807A3">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112.79541891</w:t>
                  </w:r>
                </w:p>
              </w:tc>
              <w:tc>
                <w:tcPr>
                  <w:tcW w:w="1324" w:type="dxa"/>
                  <w:vAlign w:val="center"/>
                </w:tcPr>
                <w:p w14:paraId="0D19D547">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29.49185887</w:t>
                  </w:r>
                </w:p>
              </w:tc>
              <w:tc>
                <w:tcPr>
                  <w:tcW w:w="595" w:type="dxa"/>
                  <w:vMerge w:val="continue"/>
                  <w:vAlign w:val="center"/>
                </w:tcPr>
                <w:p w14:paraId="3317CF33">
                  <w:pPr>
                    <w:widowControl/>
                    <w:autoSpaceDE w:val="0"/>
                    <w:autoSpaceDN w:val="0"/>
                    <w:jc w:val="center"/>
                    <w:rPr>
                      <w:rFonts w:hint="default" w:ascii="Times New Roman" w:hAnsi="Times New Roman" w:cs="Times New Roman"/>
                      <w:color w:val="auto"/>
                      <w:szCs w:val="21"/>
                    </w:rPr>
                  </w:pPr>
                </w:p>
              </w:tc>
              <w:tc>
                <w:tcPr>
                  <w:tcW w:w="792" w:type="dxa"/>
                  <w:vAlign w:val="center"/>
                </w:tcPr>
                <w:p w14:paraId="3374992A">
                  <w:pPr>
                    <w:widowControl/>
                    <w:autoSpaceDE w:val="0"/>
                    <w:autoSpaceDN w:val="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30户（约90人）</w:t>
                  </w:r>
                </w:p>
              </w:tc>
              <w:tc>
                <w:tcPr>
                  <w:tcW w:w="1017" w:type="dxa"/>
                  <w:vMerge w:val="continue"/>
                  <w:vAlign w:val="center"/>
                </w:tcPr>
                <w:p w14:paraId="1B24BE98">
                  <w:pPr>
                    <w:widowControl/>
                    <w:autoSpaceDE w:val="0"/>
                    <w:autoSpaceDN w:val="0"/>
                    <w:jc w:val="center"/>
                    <w:rPr>
                      <w:rFonts w:hint="default" w:ascii="Times New Roman" w:hAnsi="Times New Roman" w:cs="Times New Roman"/>
                      <w:color w:val="auto"/>
                      <w:szCs w:val="21"/>
                    </w:rPr>
                  </w:pPr>
                </w:p>
              </w:tc>
              <w:tc>
                <w:tcPr>
                  <w:tcW w:w="805" w:type="dxa"/>
                  <w:tcMar>
                    <w:top w:w="15" w:type="dxa"/>
                    <w:left w:w="15" w:type="dxa"/>
                    <w:bottom w:w="15" w:type="dxa"/>
                    <w:right w:w="15" w:type="dxa"/>
                  </w:tcMar>
                  <w:vAlign w:val="center"/>
                </w:tcPr>
                <w:p w14:paraId="6BB09AFE">
                  <w:pPr>
                    <w:widowControl/>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南</w:t>
                  </w:r>
                  <w:r>
                    <w:rPr>
                      <w:rFonts w:hint="default" w:ascii="Times New Roman" w:hAnsi="Times New Roman" w:cs="Times New Roman"/>
                      <w:color w:val="auto"/>
                      <w:kern w:val="0"/>
                      <w:szCs w:val="21"/>
                      <w:lang w:bidi="ar"/>
                    </w:rPr>
                    <w:t>面</w:t>
                  </w:r>
                </w:p>
              </w:tc>
              <w:tc>
                <w:tcPr>
                  <w:tcW w:w="810" w:type="dxa"/>
                  <w:tcMar>
                    <w:top w:w="15" w:type="dxa"/>
                    <w:left w:w="15" w:type="dxa"/>
                    <w:bottom w:w="15" w:type="dxa"/>
                    <w:right w:w="15" w:type="dxa"/>
                  </w:tcMar>
                  <w:vAlign w:val="center"/>
                </w:tcPr>
                <w:p w14:paraId="7136F0F1">
                  <w:pPr>
                    <w:widowControl/>
                    <w:autoSpaceDE w:val="0"/>
                    <w:autoSpaceDN w:val="0"/>
                    <w:jc w:val="center"/>
                    <w:textAlignment w:val="center"/>
                    <w:rPr>
                      <w:rFonts w:hint="default" w:ascii="Times New Roman" w:hAnsi="Times New Roman" w:cs="Times New Roman"/>
                      <w:color w:val="auto"/>
                      <w:szCs w:val="21"/>
                    </w:rPr>
                  </w:pPr>
                  <w:r>
                    <w:rPr>
                      <w:rFonts w:hint="eastAsia" w:cs="Times New Roman"/>
                      <w:color w:val="auto"/>
                      <w:szCs w:val="21"/>
                      <w:lang w:val="en-US" w:eastAsia="zh-CN"/>
                    </w:rPr>
                    <w:t>97</w:t>
                  </w:r>
                  <w:r>
                    <w:rPr>
                      <w:rFonts w:hint="default" w:ascii="Times New Roman" w:hAnsi="Times New Roman" w:cs="Times New Roman"/>
                      <w:color w:val="auto"/>
                      <w:szCs w:val="21"/>
                    </w:rPr>
                    <w:t>-500</w:t>
                  </w:r>
                </w:p>
              </w:tc>
            </w:tr>
          </w:tbl>
          <w:p w14:paraId="4585A631">
            <w:pPr>
              <w:autoSpaceDE w:val="0"/>
              <w:autoSpaceDN w:val="0"/>
              <w:jc w:val="center"/>
              <w:rPr>
                <w:rFonts w:hint="default" w:ascii="Times New Roman" w:hAnsi="Times New Roman" w:cs="Times New Roman"/>
                <w:b/>
                <w:color w:val="auto"/>
                <w:szCs w:val="21"/>
                <w:u w:val="single"/>
              </w:rPr>
            </w:pPr>
            <w:r>
              <w:rPr>
                <w:rFonts w:hint="default" w:ascii="Times New Roman" w:hAnsi="Times New Roman" w:cs="Times New Roman"/>
                <w:b/>
                <w:color w:val="auto"/>
                <w:szCs w:val="21"/>
                <w:u w:val="single"/>
              </w:rPr>
              <w:t>表3-</w:t>
            </w:r>
            <w:r>
              <w:rPr>
                <w:rFonts w:hint="default" w:ascii="Times New Roman" w:hAnsi="Times New Roman" w:cs="Times New Roman"/>
                <w:b/>
                <w:color w:val="auto"/>
                <w:szCs w:val="21"/>
                <w:u w:val="single"/>
                <w:lang w:val="en-US" w:eastAsia="zh-CN"/>
              </w:rPr>
              <w:t>11</w:t>
            </w:r>
            <w:r>
              <w:rPr>
                <w:rFonts w:hint="default" w:ascii="Times New Roman" w:hAnsi="Times New Roman" w:cs="Times New Roman"/>
                <w:b/>
                <w:color w:val="auto"/>
                <w:szCs w:val="21"/>
                <w:u w:val="single"/>
              </w:rPr>
              <w:t xml:space="preserve">   其他环境保护目标情况表</w:t>
            </w:r>
          </w:p>
          <w:tbl>
            <w:tblPr>
              <w:tblStyle w:val="27"/>
              <w:tblW w:w="78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911"/>
              <w:gridCol w:w="681"/>
              <w:gridCol w:w="853"/>
              <w:gridCol w:w="681"/>
              <w:gridCol w:w="806"/>
              <w:gridCol w:w="2637"/>
            </w:tblGrid>
            <w:tr w14:paraId="029EE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69" w:type="dxa"/>
                  <w:vAlign w:val="center"/>
                </w:tcPr>
                <w:p w14:paraId="3345924C">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环境要素</w:t>
                  </w:r>
                </w:p>
              </w:tc>
              <w:tc>
                <w:tcPr>
                  <w:tcW w:w="911" w:type="dxa"/>
                  <w:vAlign w:val="center"/>
                </w:tcPr>
                <w:p w14:paraId="0F0A480D">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保护目</w:t>
                  </w:r>
                </w:p>
                <w:p w14:paraId="187AD76B">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标名称</w:t>
                  </w:r>
                </w:p>
              </w:tc>
              <w:tc>
                <w:tcPr>
                  <w:tcW w:w="681" w:type="dxa"/>
                  <w:vAlign w:val="center"/>
                </w:tcPr>
                <w:p w14:paraId="3BA6DC4B">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相对</w:t>
                  </w:r>
                </w:p>
                <w:p w14:paraId="0B5DFA79">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方位</w:t>
                  </w:r>
                </w:p>
              </w:tc>
              <w:tc>
                <w:tcPr>
                  <w:tcW w:w="853" w:type="dxa"/>
                  <w:vAlign w:val="center"/>
                </w:tcPr>
                <w:p w14:paraId="2F5EA38A">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相对</w:t>
                  </w:r>
                </w:p>
                <w:p w14:paraId="5CB4A5B8">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距离</w:t>
                  </w:r>
                </w:p>
              </w:tc>
              <w:tc>
                <w:tcPr>
                  <w:tcW w:w="681" w:type="dxa"/>
                  <w:vAlign w:val="center"/>
                </w:tcPr>
                <w:p w14:paraId="194673B7">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规模</w:t>
                  </w:r>
                </w:p>
              </w:tc>
              <w:tc>
                <w:tcPr>
                  <w:tcW w:w="806" w:type="dxa"/>
                  <w:vAlign w:val="center"/>
                </w:tcPr>
                <w:p w14:paraId="3ED1EE3A">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功能</w:t>
                  </w:r>
                </w:p>
              </w:tc>
              <w:tc>
                <w:tcPr>
                  <w:tcW w:w="2637" w:type="dxa"/>
                  <w:vAlign w:val="center"/>
                </w:tcPr>
                <w:p w14:paraId="16ACEA22">
                  <w:pPr>
                    <w:autoSpaceDE w:val="0"/>
                    <w:autoSpaceDN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保护级别</w:t>
                  </w:r>
                </w:p>
              </w:tc>
            </w:tr>
            <w:tr w14:paraId="50848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269" w:type="dxa"/>
                  <w:vMerge w:val="restart"/>
                  <w:vAlign w:val="center"/>
                </w:tcPr>
                <w:p w14:paraId="248F8A0E">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地表水环境</w:t>
                  </w:r>
                </w:p>
              </w:tc>
              <w:tc>
                <w:tcPr>
                  <w:tcW w:w="911" w:type="dxa"/>
                  <w:vAlign w:val="center"/>
                </w:tcPr>
                <w:p w14:paraId="31B00A83">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洞庭湖</w:t>
                  </w:r>
                </w:p>
              </w:tc>
              <w:tc>
                <w:tcPr>
                  <w:tcW w:w="681" w:type="dxa"/>
                  <w:vAlign w:val="center"/>
                </w:tcPr>
                <w:p w14:paraId="499022C0">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东</w:t>
                  </w:r>
                </w:p>
              </w:tc>
              <w:tc>
                <w:tcPr>
                  <w:tcW w:w="853" w:type="dxa"/>
                  <w:vAlign w:val="center"/>
                </w:tcPr>
                <w:p w14:paraId="3991ED74">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85m</w:t>
                  </w:r>
                </w:p>
              </w:tc>
              <w:tc>
                <w:tcPr>
                  <w:tcW w:w="681" w:type="dxa"/>
                  <w:vAlign w:val="center"/>
                </w:tcPr>
                <w:p w14:paraId="2E4F3C7B">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大湖</w:t>
                  </w:r>
                </w:p>
              </w:tc>
              <w:tc>
                <w:tcPr>
                  <w:tcW w:w="806" w:type="dxa"/>
                  <w:vAlign w:val="center"/>
                </w:tcPr>
                <w:p w14:paraId="30CFFD25">
                  <w:pPr>
                    <w:widowControl/>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渔业</w:t>
                  </w:r>
                </w:p>
              </w:tc>
              <w:tc>
                <w:tcPr>
                  <w:tcW w:w="2637" w:type="dxa"/>
                  <w:vMerge w:val="restart"/>
                  <w:vAlign w:val="center"/>
                </w:tcPr>
                <w:p w14:paraId="362F52B4">
                  <w:pPr>
                    <w:widowControl/>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《地表水环境质量标准》（GB3838-2002）中的Ⅲ类标准</w:t>
                  </w:r>
                </w:p>
              </w:tc>
            </w:tr>
            <w:tr w14:paraId="7B3D0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269" w:type="dxa"/>
                  <w:vMerge w:val="continue"/>
                  <w:vAlign w:val="center"/>
                </w:tcPr>
                <w:p w14:paraId="07B692F5">
                  <w:pPr>
                    <w:autoSpaceDE w:val="0"/>
                    <w:autoSpaceDN w:val="0"/>
                    <w:jc w:val="center"/>
                    <w:rPr>
                      <w:rFonts w:hint="default" w:ascii="Times New Roman" w:hAnsi="Times New Roman" w:cs="Times New Roman"/>
                      <w:color w:val="auto"/>
                      <w:szCs w:val="21"/>
                      <w:u w:val="single"/>
                    </w:rPr>
                  </w:pPr>
                </w:p>
              </w:tc>
              <w:tc>
                <w:tcPr>
                  <w:tcW w:w="911" w:type="dxa"/>
                  <w:vAlign w:val="center"/>
                </w:tcPr>
                <w:p w14:paraId="02307EF9">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采桑湖</w:t>
                  </w:r>
                </w:p>
              </w:tc>
              <w:tc>
                <w:tcPr>
                  <w:tcW w:w="681" w:type="dxa"/>
                  <w:vAlign w:val="center"/>
                </w:tcPr>
                <w:p w14:paraId="1983D241">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北</w:t>
                  </w:r>
                </w:p>
              </w:tc>
              <w:tc>
                <w:tcPr>
                  <w:tcW w:w="853" w:type="dxa"/>
                  <w:vAlign w:val="center"/>
                </w:tcPr>
                <w:p w14:paraId="7125B924">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130m</w:t>
                  </w:r>
                </w:p>
              </w:tc>
              <w:tc>
                <w:tcPr>
                  <w:tcW w:w="681" w:type="dxa"/>
                  <w:vAlign w:val="center"/>
                </w:tcPr>
                <w:p w14:paraId="4F3C8D64">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小湖</w:t>
                  </w:r>
                </w:p>
              </w:tc>
              <w:tc>
                <w:tcPr>
                  <w:tcW w:w="806" w:type="dxa"/>
                  <w:vAlign w:val="center"/>
                </w:tcPr>
                <w:p w14:paraId="61092425">
                  <w:pPr>
                    <w:widowControl/>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渔业</w:t>
                  </w:r>
                </w:p>
              </w:tc>
              <w:tc>
                <w:tcPr>
                  <w:tcW w:w="2637" w:type="dxa"/>
                  <w:vMerge w:val="continue"/>
                  <w:vAlign w:val="center"/>
                </w:tcPr>
                <w:p w14:paraId="36BC9215">
                  <w:pPr>
                    <w:widowControl/>
                    <w:autoSpaceDE w:val="0"/>
                    <w:autoSpaceDN w:val="0"/>
                    <w:jc w:val="center"/>
                    <w:rPr>
                      <w:rFonts w:hint="default" w:ascii="Times New Roman" w:hAnsi="Times New Roman" w:cs="Times New Roman"/>
                      <w:color w:val="auto"/>
                      <w:szCs w:val="21"/>
                      <w:u w:val="single"/>
                    </w:rPr>
                  </w:pPr>
                </w:p>
              </w:tc>
            </w:tr>
            <w:tr w14:paraId="29D7F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69" w:type="dxa"/>
                  <w:vAlign w:val="center"/>
                </w:tcPr>
                <w:p w14:paraId="6F1CD836">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声环境</w:t>
                  </w:r>
                </w:p>
              </w:tc>
              <w:tc>
                <w:tcPr>
                  <w:tcW w:w="911" w:type="dxa"/>
                  <w:vAlign w:val="center"/>
                </w:tcPr>
                <w:p w14:paraId="409F8D1F">
                  <w:pPr>
                    <w:widowControl/>
                    <w:autoSpaceDE w:val="0"/>
                    <w:autoSpaceDN w:val="0"/>
                    <w:jc w:val="center"/>
                    <w:textAlignment w:val="center"/>
                    <w:rPr>
                      <w:rFonts w:hint="default" w:ascii="Times New Roman" w:hAnsi="Times New Roman" w:cs="Times New Roman"/>
                      <w:color w:val="auto"/>
                      <w:szCs w:val="21"/>
                      <w:u w:val="single"/>
                    </w:rPr>
                  </w:pPr>
                  <w:r>
                    <w:rPr>
                      <w:rFonts w:hint="default" w:ascii="Times New Roman" w:hAnsi="Times New Roman" w:cs="Times New Roman"/>
                      <w:color w:val="auto"/>
                      <w:kern w:val="0"/>
                      <w:szCs w:val="21"/>
                      <w:u w:val="single"/>
                      <w:lang w:bidi="ar"/>
                    </w:rPr>
                    <w:t>方台湖5组</w:t>
                  </w:r>
                </w:p>
              </w:tc>
              <w:tc>
                <w:tcPr>
                  <w:tcW w:w="681" w:type="dxa"/>
                  <w:vAlign w:val="center"/>
                </w:tcPr>
                <w:p w14:paraId="43F5C1B1">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西北</w:t>
                  </w:r>
                </w:p>
              </w:tc>
              <w:tc>
                <w:tcPr>
                  <w:tcW w:w="853" w:type="dxa"/>
                  <w:vAlign w:val="center"/>
                </w:tcPr>
                <w:p w14:paraId="46147E90">
                  <w:pPr>
                    <w:autoSpaceDE w:val="0"/>
                    <w:autoSpaceDN w:val="0"/>
                    <w:jc w:val="center"/>
                    <w:rPr>
                      <w:rFonts w:hint="default" w:ascii="Times New Roman" w:hAnsi="Times New Roman" w:cs="Times New Roman"/>
                      <w:color w:val="auto"/>
                      <w:szCs w:val="21"/>
                      <w:u w:val="single"/>
                    </w:rPr>
                  </w:pPr>
                  <w:r>
                    <w:rPr>
                      <w:rFonts w:hint="eastAsia" w:cs="Times New Roman"/>
                      <w:color w:val="auto"/>
                      <w:szCs w:val="21"/>
                      <w:u w:val="single"/>
                      <w:lang w:val="en-US" w:eastAsia="zh-CN"/>
                    </w:rPr>
                    <w:t>6</w:t>
                  </w:r>
                  <w:r>
                    <w:rPr>
                      <w:rFonts w:hint="default" w:ascii="Times New Roman" w:hAnsi="Times New Roman" w:cs="Times New Roman"/>
                      <w:color w:val="auto"/>
                      <w:szCs w:val="21"/>
                      <w:u w:val="single"/>
                    </w:rPr>
                    <w:t>m</w:t>
                  </w:r>
                </w:p>
              </w:tc>
              <w:tc>
                <w:tcPr>
                  <w:tcW w:w="681" w:type="dxa"/>
                  <w:vAlign w:val="center"/>
                </w:tcPr>
                <w:p w14:paraId="1B483D4C">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w:t>
                  </w:r>
                </w:p>
              </w:tc>
              <w:tc>
                <w:tcPr>
                  <w:tcW w:w="806" w:type="dxa"/>
                  <w:vAlign w:val="center"/>
                </w:tcPr>
                <w:p w14:paraId="3D643E10">
                  <w:pPr>
                    <w:widowControl/>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居住</w:t>
                  </w:r>
                </w:p>
              </w:tc>
              <w:tc>
                <w:tcPr>
                  <w:tcW w:w="2637" w:type="dxa"/>
                  <w:vAlign w:val="center"/>
                </w:tcPr>
                <w:p w14:paraId="49ADC128">
                  <w:pPr>
                    <w:widowControl/>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《声环境质量标准》（GB3096-2008）1类标准</w:t>
                  </w:r>
                </w:p>
              </w:tc>
            </w:tr>
            <w:tr w14:paraId="5E828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69" w:type="dxa"/>
                  <w:vAlign w:val="center"/>
                </w:tcPr>
                <w:p w14:paraId="236F1D72">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环境风险</w:t>
                  </w:r>
                </w:p>
              </w:tc>
              <w:tc>
                <w:tcPr>
                  <w:tcW w:w="6569" w:type="dxa"/>
                  <w:gridSpan w:val="6"/>
                  <w:vAlign w:val="center"/>
                </w:tcPr>
                <w:p w14:paraId="78C95303">
                  <w:pPr>
                    <w:autoSpaceDE w:val="0"/>
                    <w:autoSpaceDN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与大气、地表水环境保护目标一致</w:t>
                  </w:r>
                </w:p>
              </w:tc>
            </w:tr>
          </w:tbl>
          <w:p w14:paraId="50976153">
            <w:pPr>
              <w:snapToGrid w:val="0"/>
              <w:jc w:val="center"/>
              <w:rPr>
                <w:rFonts w:hint="default" w:ascii="Times New Roman" w:hAnsi="Times New Roman" w:cs="Times New Roman"/>
                <w:b/>
                <w:color w:val="auto"/>
                <w:szCs w:val="21"/>
                <w:u w:val="single"/>
              </w:rPr>
            </w:pPr>
            <w:r>
              <w:rPr>
                <w:rFonts w:hint="default" w:ascii="Times New Roman" w:hAnsi="Times New Roman" w:cs="Times New Roman"/>
                <w:b/>
                <w:color w:val="auto"/>
                <w:szCs w:val="21"/>
                <w:u w:val="single"/>
              </w:rPr>
              <w:t>表3-1</w:t>
            </w:r>
            <w:r>
              <w:rPr>
                <w:rFonts w:hint="default" w:ascii="Times New Roman" w:hAnsi="Times New Roman" w:cs="Times New Roman"/>
                <w:b/>
                <w:color w:val="auto"/>
                <w:szCs w:val="21"/>
                <w:u w:val="single"/>
                <w:lang w:val="en-US" w:eastAsia="zh-CN"/>
              </w:rPr>
              <w:t>2</w:t>
            </w:r>
            <w:r>
              <w:rPr>
                <w:rFonts w:hint="default" w:ascii="Times New Roman" w:hAnsi="Times New Roman" w:cs="Times New Roman"/>
                <w:b/>
                <w:color w:val="auto"/>
                <w:szCs w:val="21"/>
                <w:u w:val="single"/>
              </w:rPr>
              <w:t xml:space="preserve">   生态环境保护目标</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821"/>
              <w:gridCol w:w="3732"/>
            </w:tblGrid>
            <w:tr w14:paraId="02516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09" w:type="pct"/>
                  <w:tcBorders>
                    <w:tl2br w:val="nil"/>
                    <w:tr2bl w:val="nil"/>
                  </w:tcBorders>
                  <w:vAlign w:val="center"/>
                </w:tcPr>
                <w:p w14:paraId="5A7D87F7">
                  <w:pPr>
                    <w:pStyle w:val="50"/>
                    <w:spacing w:before="24" w:after="24"/>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rPr>
                    <w:t>保护对象</w:t>
                  </w:r>
                </w:p>
              </w:tc>
              <w:tc>
                <w:tcPr>
                  <w:tcW w:w="1804" w:type="pct"/>
                  <w:tcBorders>
                    <w:tl2br w:val="nil"/>
                    <w:tr2bl w:val="nil"/>
                  </w:tcBorders>
                  <w:vAlign w:val="center"/>
                </w:tcPr>
                <w:p w14:paraId="1CD5EE44">
                  <w:pPr>
                    <w:pStyle w:val="50"/>
                    <w:spacing w:before="24" w:after="24"/>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rPr>
                    <w:t>与工程的相对位置</w:t>
                  </w:r>
                </w:p>
              </w:tc>
              <w:tc>
                <w:tcPr>
                  <w:tcW w:w="2386" w:type="pct"/>
                  <w:tcBorders>
                    <w:tl2br w:val="nil"/>
                    <w:tr2bl w:val="nil"/>
                  </w:tcBorders>
                  <w:vAlign w:val="center"/>
                </w:tcPr>
                <w:p w14:paraId="562270E2">
                  <w:pPr>
                    <w:pStyle w:val="50"/>
                    <w:spacing w:before="24" w:after="24"/>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rPr>
                    <w:t>保护要求</w:t>
                  </w:r>
                </w:p>
              </w:tc>
            </w:tr>
            <w:tr w14:paraId="03228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9" w:type="pct"/>
                  <w:tcBorders>
                    <w:tl2br w:val="nil"/>
                    <w:tr2bl w:val="nil"/>
                  </w:tcBorders>
                  <w:vAlign w:val="center"/>
                </w:tcPr>
                <w:p w14:paraId="070AA5DE">
                  <w:pPr>
                    <w:pStyle w:val="50"/>
                    <w:spacing w:before="24" w:after="24" w:line="240" w:lineRule="auto"/>
                    <w:rPr>
                      <w:rFonts w:hint="default" w:ascii="Times New Roman" w:hAnsi="Times New Roman" w:cs="Times New Roman"/>
                      <w:color w:val="auto"/>
                      <w:sz w:val="21"/>
                      <w:u w:val="single"/>
                    </w:rPr>
                  </w:pPr>
                  <w:r>
                    <w:rPr>
                      <w:rFonts w:hint="default" w:ascii="Times New Roman" w:hAnsi="Times New Roman" w:cs="Times New Roman"/>
                      <w:color w:val="auto"/>
                      <w:sz w:val="21"/>
                      <w:u w:val="single"/>
                    </w:rPr>
                    <w:t>生态保护红线</w:t>
                  </w:r>
                </w:p>
              </w:tc>
              <w:tc>
                <w:tcPr>
                  <w:tcW w:w="1804" w:type="pct"/>
                  <w:tcBorders>
                    <w:tl2br w:val="nil"/>
                    <w:tr2bl w:val="nil"/>
                  </w:tcBorders>
                  <w:vAlign w:val="center"/>
                </w:tcPr>
                <w:p w14:paraId="3E89DBF1">
                  <w:pPr>
                    <w:pStyle w:val="50"/>
                    <w:spacing w:before="24" w:after="24" w:line="240" w:lineRule="auto"/>
                    <w:rPr>
                      <w:rFonts w:hint="default" w:ascii="Times New Roman" w:hAnsi="Times New Roman" w:cs="Times New Roman"/>
                      <w:color w:val="auto"/>
                      <w:sz w:val="21"/>
                      <w:u w:val="single"/>
                    </w:rPr>
                  </w:pPr>
                  <w:r>
                    <w:rPr>
                      <w:rFonts w:hint="default" w:ascii="Times New Roman" w:hAnsi="Times New Roman" w:cs="Times New Roman"/>
                      <w:color w:val="auto"/>
                      <w:sz w:val="21"/>
                      <w:u w:val="single"/>
                    </w:rPr>
                    <w:t>工程涉及湖南省生态保护红线主要为洞庭湖区生物多样性维护、洪水调蓄生态保护红线</w:t>
                  </w:r>
                </w:p>
              </w:tc>
              <w:tc>
                <w:tcPr>
                  <w:tcW w:w="2386" w:type="pct"/>
                  <w:tcBorders>
                    <w:tl2br w:val="nil"/>
                    <w:tr2bl w:val="nil"/>
                  </w:tcBorders>
                  <w:vAlign w:val="center"/>
                </w:tcPr>
                <w:p w14:paraId="49C7700D">
                  <w:pPr>
                    <w:pStyle w:val="50"/>
                    <w:spacing w:before="24" w:after="24" w:line="240" w:lineRule="auto"/>
                    <w:rPr>
                      <w:rFonts w:hint="default" w:ascii="Times New Roman" w:hAnsi="Times New Roman" w:cs="Times New Roman"/>
                      <w:color w:val="auto"/>
                      <w:sz w:val="21"/>
                      <w:u w:val="single"/>
                    </w:rPr>
                  </w:pPr>
                  <w:r>
                    <w:rPr>
                      <w:rFonts w:hint="default" w:ascii="Times New Roman" w:hAnsi="Times New Roman" w:cs="Times New Roman"/>
                      <w:color w:val="auto"/>
                      <w:sz w:val="21"/>
                      <w:u w:val="single"/>
                    </w:rPr>
                    <w:t>以湿地生物多样性保护为核心，加强区内湿地自然保护区的恢复与管理；平垸行洪、退田还湖，扩大湖泊面积，提高调蓄洪水的能力</w:t>
                  </w:r>
                </w:p>
              </w:tc>
            </w:tr>
            <w:tr w14:paraId="5E9C4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9" w:type="pct"/>
                  <w:tcBorders>
                    <w:tl2br w:val="nil"/>
                    <w:tr2bl w:val="nil"/>
                  </w:tcBorders>
                  <w:vAlign w:val="center"/>
                </w:tcPr>
                <w:p w14:paraId="5E8FC0C8">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东洞庭湖国家级自然保护区</w:t>
                  </w:r>
                </w:p>
              </w:tc>
              <w:tc>
                <w:tcPr>
                  <w:tcW w:w="1804" w:type="pct"/>
                  <w:tcBorders>
                    <w:tl2br w:val="nil"/>
                    <w:tr2bl w:val="nil"/>
                  </w:tcBorders>
                  <w:vAlign w:val="center"/>
                </w:tcPr>
                <w:p w14:paraId="4BE3AD65">
                  <w:pPr>
                    <w:widowControl/>
                    <w:adjustRightInd w:val="0"/>
                    <w:jc w:val="center"/>
                    <w:textAlignment w:val="baseline"/>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工程位于东洞庭湖国家级自然保护区实验区范围内，工程距最近的缓冲区约190m，距离大小西湖-君山后湖核心区约600m，距离红旗湖核心区边界最近约25800m，距离春风核心区边界最近约36000m；</w:t>
                  </w:r>
                </w:p>
              </w:tc>
              <w:tc>
                <w:tcPr>
                  <w:tcW w:w="2386" w:type="pct"/>
                  <w:tcBorders>
                    <w:tl2br w:val="nil"/>
                    <w:tr2bl w:val="nil"/>
                  </w:tcBorders>
                  <w:vAlign w:val="center"/>
                </w:tcPr>
                <w:p w14:paraId="787FEC61">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湿地生态系统维护。总面积157600公顷。主要保护对象为湿地生态系统和生物多样性、珍稀濒危水禽、自然与人文景观</w:t>
                  </w:r>
                </w:p>
              </w:tc>
            </w:tr>
            <w:tr w14:paraId="3C168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9" w:type="pct"/>
                  <w:tcBorders>
                    <w:tl2br w:val="nil"/>
                    <w:tr2bl w:val="nil"/>
                  </w:tcBorders>
                  <w:vAlign w:val="center"/>
                </w:tcPr>
                <w:p w14:paraId="2D34C562">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东洞庭湖鲤鲫黄颡国家级水产种质资源保护区</w:t>
                  </w:r>
                </w:p>
              </w:tc>
              <w:tc>
                <w:tcPr>
                  <w:tcW w:w="1804" w:type="pct"/>
                  <w:tcBorders>
                    <w:tl2br w:val="nil"/>
                    <w:tr2bl w:val="nil"/>
                  </w:tcBorders>
                  <w:vAlign w:val="center"/>
                </w:tcPr>
                <w:p w14:paraId="5C8514F8">
                  <w:pPr>
                    <w:widowControl/>
                    <w:adjustRightInd w:val="0"/>
                    <w:jc w:val="center"/>
                    <w:textAlignment w:val="baseline"/>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工程不涉及，工程距最近的实验区约95m，距离君山后湖核心区约14772m，距离三江口核心区边界最近约26527m，距离漂尾大小湾核心区边界最近约22896m；</w:t>
                  </w:r>
                </w:p>
              </w:tc>
              <w:tc>
                <w:tcPr>
                  <w:tcW w:w="2386" w:type="pct"/>
                  <w:tcBorders>
                    <w:tl2br w:val="nil"/>
                    <w:tr2bl w:val="nil"/>
                  </w:tcBorders>
                  <w:vAlign w:val="center"/>
                </w:tcPr>
                <w:p w14:paraId="78825C29">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位于东洞庭湖，总面积13.28万公顷，其中实验区面积11.76万公顷，核心区面积1.52万公顷，全年均为核心区特别保护期，主要保护对象为鲤、鲫、黄颡鱼、鲶。保护区内还栖息着青、草、鲢、鳙、长颌鲚、短颌鲚、银鱼、颌针鱼、鲂鱼、鳡鱼、鲴鱼、鳤鱼、铜鱼、长吻鮠、细鳞鲴、中华倒刺鲃、赤眼鳟、鳜鱼、乌鳢、黄鳝、泥鳅、青虾、长臂虾、克氏螯虾、胭脂鱼、鲥鱼、鳗鲡、白鲟、江豚、大鲵、三角帆蚌、皱纹冠蚌、背瘤丽蚌等物种。</w:t>
                  </w:r>
                </w:p>
              </w:tc>
            </w:tr>
            <w:tr w14:paraId="0A18A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9" w:type="pct"/>
                  <w:tcBorders>
                    <w:tl2br w:val="nil"/>
                    <w:tr2bl w:val="nil"/>
                  </w:tcBorders>
                  <w:vAlign w:val="center"/>
                </w:tcPr>
                <w:p w14:paraId="47CF2901">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采桑湖</w:t>
                  </w:r>
                </w:p>
              </w:tc>
              <w:tc>
                <w:tcPr>
                  <w:tcW w:w="1804" w:type="pct"/>
                  <w:tcBorders>
                    <w:tl2br w:val="nil"/>
                    <w:tr2bl w:val="nil"/>
                  </w:tcBorders>
                  <w:vAlign w:val="center"/>
                </w:tcPr>
                <w:p w14:paraId="7164F203">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项目涉及范围</w:t>
                  </w:r>
                </w:p>
              </w:tc>
              <w:tc>
                <w:tcPr>
                  <w:tcW w:w="2386" w:type="pct"/>
                  <w:tcBorders>
                    <w:tl2br w:val="nil"/>
                    <w:tr2bl w:val="nil"/>
                  </w:tcBorders>
                  <w:vAlign w:val="center"/>
                </w:tcPr>
                <w:p w14:paraId="48A55773">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据调查，采桑湖功能为农业用水区，按《地表水环境质量标准》（GB3838-2002）中的</w:t>
                  </w:r>
                  <w:r>
                    <w:rPr>
                      <w:rFonts w:hint="default" w:ascii="Times New Roman" w:hAnsi="Times New Roman" w:cs="Times New Roman"/>
                      <w:color w:val="auto"/>
                      <w:szCs w:val="21"/>
                      <w:u w:val="single"/>
                    </w:rPr>
                    <w:fldChar w:fldCharType="begin"/>
                  </w:r>
                  <w:r>
                    <w:rPr>
                      <w:rFonts w:hint="default" w:ascii="Times New Roman" w:hAnsi="Times New Roman" w:cs="Times New Roman"/>
                      <w:color w:val="auto"/>
                      <w:szCs w:val="21"/>
                      <w:u w:val="single"/>
                    </w:rPr>
                    <w:instrText xml:space="preserve"> = 3 \* ROMAN \* MERGEFORMAT </w:instrText>
                  </w:r>
                  <w:r>
                    <w:rPr>
                      <w:rFonts w:hint="default" w:ascii="Times New Roman" w:hAnsi="Times New Roman" w:cs="Times New Roman"/>
                      <w:color w:val="auto"/>
                      <w:szCs w:val="21"/>
                      <w:u w:val="single"/>
                    </w:rPr>
                    <w:fldChar w:fldCharType="separate"/>
                  </w:r>
                  <w:r>
                    <w:rPr>
                      <w:rFonts w:hint="default" w:ascii="Times New Roman" w:hAnsi="Times New Roman" w:cs="Times New Roman"/>
                      <w:color w:val="auto"/>
                      <w:szCs w:val="21"/>
                      <w:u w:val="single"/>
                    </w:rPr>
                    <w:t>III</w:t>
                  </w:r>
                  <w:r>
                    <w:rPr>
                      <w:rFonts w:hint="default" w:ascii="Times New Roman" w:hAnsi="Times New Roman" w:cs="Times New Roman"/>
                      <w:color w:val="auto"/>
                      <w:szCs w:val="21"/>
                      <w:u w:val="single"/>
                    </w:rPr>
                    <w:fldChar w:fldCharType="end"/>
                  </w:r>
                  <w:r>
                    <w:rPr>
                      <w:rFonts w:hint="default" w:ascii="Times New Roman" w:hAnsi="Times New Roman" w:cs="Times New Roman"/>
                      <w:color w:val="auto"/>
                      <w:szCs w:val="21"/>
                      <w:u w:val="single"/>
                    </w:rPr>
                    <w:t>类标准要求保护</w:t>
                  </w:r>
                </w:p>
              </w:tc>
            </w:tr>
            <w:tr w14:paraId="7A6BB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09" w:type="pct"/>
                  <w:tcBorders>
                    <w:tl2br w:val="nil"/>
                    <w:tr2bl w:val="nil"/>
                  </w:tcBorders>
                  <w:vAlign w:val="center"/>
                </w:tcPr>
                <w:p w14:paraId="6E0EC828">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动植物生态系统</w:t>
                  </w:r>
                </w:p>
              </w:tc>
              <w:tc>
                <w:tcPr>
                  <w:tcW w:w="1804" w:type="pct"/>
                  <w:tcBorders>
                    <w:tl2br w:val="nil"/>
                    <w:tr2bl w:val="nil"/>
                  </w:tcBorders>
                  <w:vAlign w:val="center"/>
                </w:tcPr>
                <w:p w14:paraId="4821A024">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项目周边200m范围</w:t>
                  </w:r>
                </w:p>
              </w:tc>
              <w:tc>
                <w:tcPr>
                  <w:tcW w:w="2386" w:type="pct"/>
                  <w:tcBorders>
                    <w:tl2br w:val="nil"/>
                    <w:tr2bl w:val="nil"/>
                  </w:tcBorders>
                  <w:vAlign w:val="center"/>
                </w:tcPr>
                <w:p w14:paraId="4D09576D">
                  <w:pPr>
                    <w:widowControl/>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不遭到占用、损失及难以预防恢复的破坏</w:t>
                  </w:r>
                </w:p>
              </w:tc>
            </w:tr>
          </w:tbl>
          <w:p w14:paraId="12173553">
            <w:pPr>
              <w:spacing w:line="360" w:lineRule="auto"/>
              <w:ind w:firstLine="420" w:firstLineChars="200"/>
              <w:rPr>
                <w:rFonts w:hint="default" w:ascii="Times New Roman" w:hAnsi="Times New Roman" w:cs="Times New Roman"/>
                <w:color w:val="auto"/>
                <w:kern w:val="0"/>
                <w:szCs w:val="21"/>
              </w:rPr>
            </w:pPr>
          </w:p>
        </w:tc>
      </w:tr>
      <w:tr w14:paraId="6E21E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55" w:type="dxa"/>
            <w:vAlign w:val="center"/>
          </w:tcPr>
          <w:p w14:paraId="0E3A1887">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评价</w:t>
            </w:r>
          </w:p>
          <w:p w14:paraId="65CBAFCF">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标准</w:t>
            </w:r>
          </w:p>
        </w:tc>
        <w:tc>
          <w:tcPr>
            <w:tcW w:w="8067" w:type="dxa"/>
            <w:vAlign w:val="center"/>
          </w:tcPr>
          <w:p w14:paraId="52247DF3">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一、环境功能区划及环境质量标准</w:t>
            </w:r>
          </w:p>
          <w:p w14:paraId="5D00C6BE">
            <w:pPr>
              <w:adjustRightInd w:val="0"/>
              <w:snapToGrid w:val="0"/>
              <w:spacing w:line="360" w:lineRule="auto"/>
              <w:ind w:left="420" w:leftChars="200"/>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w:t>
            </w:r>
          </w:p>
          <w:p w14:paraId="01D53D58">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常规因子执行《环境空气质量标准》（GB3095-2012）中的一级标准,臭气浓度、硫化氢、氨执行《环境影响评价技术导则-大气环境》（HJ2.2-2018）中附录D，表D.1标准值要求。</w:t>
            </w:r>
          </w:p>
          <w:p w14:paraId="6C9F1608">
            <w:pPr>
              <w:autoSpaceDE w:val="0"/>
              <w:autoSpaceDN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表3-1</w:t>
            </w:r>
            <w:r>
              <w:rPr>
                <w:rFonts w:hint="default" w:ascii="Times New Roman" w:hAnsi="Times New Roman" w:cs="Times New Roman"/>
                <w:b/>
                <w:color w:val="auto"/>
                <w:kern w:val="0"/>
                <w:szCs w:val="21"/>
                <w:lang w:val="en-US" w:eastAsia="zh-CN"/>
              </w:rPr>
              <w:t>3</w:t>
            </w:r>
            <w:r>
              <w:rPr>
                <w:rFonts w:hint="default" w:ascii="Times New Roman" w:hAnsi="Times New Roman" w:cs="Times New Roman"/>
                <w:b/>
                <w:color w:val="auto"/>
                <w:kern w:val="0"/>
                <w:szCs w:val="21"/>
              </w:rPr>
              <w:t xml:space="preserve">   环境空气质量标准</w:t>
            </w:r>
          </w:p>
          <w:tbl>
            <w:tblPr>
              <w:tblStyle w:val="27"/>
              <w:tblW w:w="78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51"/>
              <w:gridCol w:w="1479"/>
              <w:gridCol w:w="1482"/>
              <w:gridCol w:w="2267"/>
              <w:gridCol w:w="1461"/>
            </w:tblGrid>
            <w:tr w14:paraId="40926B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Merge w:val="restart"/>
                  <w:vAlign w:val="center"/>
                </w:tcPr>
                <w:p w14:paraId="2E1D3289">
                  <w:pPr>
                    <w:autoSpaceDE w:val="0"/>
                    <w:autoSpaceDN w:val="0"/>
                    <w:adjustRightInd w:val="0"/>
                    <w:jc w:val="center"/>
                    <w:rPr>
                      <w:rFonts w:hint="default" w:ascii="Times New Roman" w:hAnsi="Times New Roman" w:cs="Times New Roman"/>
                      <w:b/>
                      <w:bCs/>
                      <w:color w:val="auto"/>
                      <w:kern w:val="24"/>
                      <w:szCs w:val="21"/>
                    </w:rPr>
                  </w:pPr>
                  <w:r>
                    <w:rPr>
                      <w:rFonts w:hint="default" w:ascii="Times New Roman" w:hAnsi="Times New Roman" w:cs="Times New Roman"/>
                      <w:b/>
                      <w:bCs/>
                      <w:color w:val="auto"/>
                      <w:kern w:val="24"/>
                      <w:szCs w:val="21"/>
                    </w:rPr>
                    <w:t>序号</w:t>
                  </w:r>
                </w:p>
              </w:tc>
              <w:tc>
                <w:tcPr>
                  <w:tcW w:w="1479" w:type="dxa"/>
                  <w:vMerge w:val="restart"/>
                  <w:vAlign w:val="center"/>
                </w:tcPr>
                <w:p w14:paraId="31288577">
                  <w:pPr>
                    <w:autoSpaceDE w:val="0"/>
                    <w:autoSpaceDN w:val="0"/>
                    <w:adjustRightInd w:val="0"/>
                    <w:jc w:val="center"/>
                    <w:rPr>
                      <w:rFonts w:hint="default" w:ascii="Times New Roman" w:hAnsi="Times New Roman" w:cs="Times New Roman"/>
                      <w:b/>
                      <w:bCs/>
                      <w:color w:val="auto"/>
                      <w:kern w:val="24"/>
                      <w:szCs w:val="21"/>
                    </w:rPr>
                  </w:pPr>
                  <w:r>
                    <w:rPr>
                      <w:rFonts w:hint="default" w:ascii="Times New Roman" w:hAnsi="Times New Roman" w:cs="Times New Roman"/>
                      <w:b/>
                      <w:bCs/>
                      <w:color w:val="auto"/>
                      <w:kern w:val="24"/>
                      <w:szCs w:val="21"/>
                    </w:rPr>
                    <w:t>污染物名称</w:t>
                  </w:r>
                </w:p>
              </w:tc>
              <w:tc>
                <w:tcPr>
                  <w:tcW w:w="5210" w:type="dxa"/>
                  <w:gridSpan w:val="3"/>
                  <w:vAlign w:val="center"/>
                </w:tcPr>
                <w:p w14:paraId="7A94FBF2">
                  <w:pPr>
                    <w:autoSpaceDE w:val="0"/>
                    <w:autoSpaceDN w:val="0"/>
                    <w:adjustRightInd w:val="0"/>
                    <w:jc w:val="center"/>
                    <w:rPr>
                      <w:rFonts w:hint="default" w:ascii="Times New Roman" w:hAnsi="Times New Roman" w:cs="Times New Roman"/>
                      <w:b/>
                      <w:bCs/>
                      <w:color w:val="auto"/>
                      <w:kern w:val="24"/>
                      <w:szCs w:val="21"/>
                    </w:rPr>
                  </w:pPr>
                  <w:r>
                    <w:rPr>
                      <w:rFonts w:hint="default" w:ascii="Times New Roman" w:hAnsi="Times New Roman" w:cs="Times New Roman"/>
                      <w:b/>
                      <w:bCs/>
                      <w:color w:val="auto"/>
                      <w:kern w:val="24"/>
                      <w:szCs w:val="21"/>
                    </w:rPr>
                    <w:t>浓度限值</w:t>
                  </w:r>
                </w:p>
              </w:tc>
            </w:tr>
            <w:tr w14:paraId="7636D9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Merge w:val="continue"/>
                  <w:vAlign w:val="center"/>
                </w:tcPr>
                <w:p w14:paraId="4C2C2518">
                  <w:pPr>
                    <w:widowControl/>
                    <w:autoSpaceDE w:val="0"/>
                    <w:autoSpaceDN w:val="0"/>
                    <w:jc w:val="center"/>
                    <w:rPr>
                      <w:rFonts w:hint="default" w:ascii="Times New Roman" w:hAnsi="Times New Roman" w:cs="Times New Roman"/>
                      <w:b/>
                      <w:bCs/>
                      <w:color w:val="auto"/>
                      <w:kern w:val="24"/>
                      <w:szCs w:val="21"/>
                    </w:rPr>
                  </w:pPr>
                </w:p>
              </w:tc>
              <w:tc>
                <w:tcPr>
                  <w:tcW w:w="1479" w:type="dxa"/>
                  <w:vMerge w:val="continue"/>
                  <w:vAlign w:val="center"/>
                </w:tcPr>
                <w:p w14:paraId="5497F0AB">
                  <w:pPr>
                    <w:widowControl/>
                    <w:autoSpaceDE w:val="0"/>
                    <w:autoSpaceDN w:val="0"/>
                    <w:jc w:val="center"/>
                    <w:rPr>
                      <w:rFonts w:hint="default" w:ascii="Times New Roman" w:hAnsi="Times New Roman" w:cs="Times New Roman"/>
                      <w:b/>
                      <w:bCs/>
                      <w:color w:val="auto"/>
                      <w:kern w:val="24"/>
                      <w:szCs w:val="21"/>
                    </w:rPr>
                  </w:pPr>
                </w:p>
              </w:tc>
              <w:tc>
                <w:tcPr>
                  <w:tcW w:w="1482" w:type="dxa"/>
                  <w:vAlign w:val="center"/>
                </w:tcPr>
                <w:p w14:paraId="63F8BFFD">
                  <w:pPr>
                    <w:pStyle w:val="60"/>
                    <w:autoSpaceDE w:val="0"/>
                    <w:autoSpaceDN w:val="0"/>
                    <w:adjustRightInd w:val="0"/>
                    <w:jc w:val="center"/>
                    <w:rPr>
                      <w:rFonts w:hint="default" w:ascii="Times New Roman" w:hAnsi="Times New Roman" w:cs="Times New Roman"/>
                      <w:b/>
                      <w:bCs/>
                      <w:color w:val="auto"/>
                      <w:kern w:val="24"/>
                      <w:sz w:val="21"/>
                      <w:szCs w:val="21"/>
                    </w:rPr>
                  </w:pPr>
                  <w:r>
                    <w:rPr>
                      <w:rFonts w:hint="default" w:ascii="Times New Roman" w:hAnsi="Times New Roman" w:cs="Times New Roman"/>
                      <w:b/>
                      <w:bCs/>
                      <w:color w:val="auto"/>
                      <w:kern w:val="24"/>
                      <w:sz w:val="21"/>
                      <w:szCs w:val="21"/>
                    </w:rPr>
                    <w:t>1小时平均</w:t>
                  </w:r>
                </w:p>
              </w:tc>
              <w:tc>
                <w:tcPr>
                  <w:tcW w:w="2267" w:type="dxa"/>
                  <w:vAlign w:val="center"/>
                </w:tcPr>
                <w:p w14:paraId="58EA2E04">
                  <w:pPr>
                    <w:pStyle w:val="60"/>
                    <w:autoSpaceDE w:val="0"/>
                    <w:autoSpaceDN w:val="0"/>
                    <w:adjustRightInd w:val="0"/>
                    <w:jc w:val="center"/>
                    <w:rPr>
                      <w:rFonts w:hint="default" w:ascii="Times New Roman" w:hAnsi="Times New Roman" w:cs="Times New Roman"/>
                      <w:b/>
                      <w:bCs/>
                      <w:color w:val="auto"/>
                      <w:kern w:val="24"/>
                      <w:sz w:val="21"/>
                      <w:szCs w:val="21"/>
                    </w:rPr>
                  </w:pPr>
                  <w:r>
                    <w:rPr>
                      <w:rFonts w:hint="default" w:ascii="Times New Roman" w:hAnsi="Times New Roman" w:cs="Times New Roman"/>
                      <w:b/>
                      <w:bCs/>
                      <w:color w:val="auto"/>
                      <w:kern w:val="24"/>
                      <w:sz w:val="21"/>
                      <w:szCs w:val="21"/>
                    </w:rPr>
                    <w:t>日平均</w:t>
                  </w:r>
                </w:p>
              </w:tc>
              <w:tc>
                <w:tcPr>
                  <w:tcW w:w="1461" w:type="dxa"/>
                  <w:vAlign w:val="center"/>
                </w:tcPr>
                <w:p w14:paraId="2AF438E1">
                  <w:pPr>
                    <w:pStyle w:val="60"/>
                    <w:autoSpaceDE w:val="0"/>
                    <w:autoSpaceDN w:val="0"/>
                    <w:adjustRightInd w:val="0"/>
                    <w:jc w:val="center"/>
                    <w:rPr>
                      <w:rFonts w:hint="default" w:ascii="Times New Roman" w:hAnsi="Times New Roman" w:cs="Times New Roman"/>
                      <w:b/>
                      <w:bCs/>
                      <w:color w:val="auto"/>
                      <w:kern w:val="24"/>
                      <w:sz w:val="21"/>
                      <w:szCs w:val="21"/>
                    </w:rPr>
                  </w:pPr>
                  <w:r>
                    <w:rPr>
                      <w:rFonts w:hint="default" w:ascii="Times New Roman" w:hAnsi="Times New Roman" w:cs="Times New Roman"/>
                      <w:b/>
                      <w:bCs/>
                      <w:color w:val="auto"/>
                      <w:kern w:val="24"/>
                      <w:sz w:val="21"/>
                      <w:szCs w:val="21"/>
                    </w:rPr>
                    <w:t>年平均</w:t>
                  </w:r>
                </w:p>
              </w:tc>
            </w:tr>
            <w:tr w14:paraId="64930C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31306105">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w:t>
                  </w:r>
                </w:p>
              </w:tc>
              <w:tc>
                <w:tcPr>
                  <w:tcW w:w="1479" w:type="dxa"/>
                  <w:vAlign w:val="center"/>
                </w:tcPr>
                <w:p w14:paraId="2806CC51">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SO</w:t>
                  </w:r>
                  <w:r>
                    <w:rPr>
                      <w:rFonts w:hint="default" w:ascii="Times New Roman" w:hAnsi="Times New Roman" w:cs="Times New Roman"/>
                      <w:color w:val="auto"/>
                      <w:kern w:val="24"/>
                      <w:szCs w:val="21"/>
                      <w:vertAlign w:val="subscript"/>
                    </w:rPr>
                    <w:t>2</w:t>
                  </w:r>
                </w:p>
              </w:tc>
              <w:tc>
                <w:tcPr>
                  <w:tcW w:w="1482" w:type="dxa"/>
                  <w:vAlign w:val="center"/>
                </w:tcPr>
                <w:p w14:paraId="27D90E8D">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150ug/m</w:t>
                  </w:r>
                  <w:r>
                    <w:rPr>
                      <w:rFonts w:hint="default" w:ascii="Times New Roman" w:hAnsi="Times New Roman" w:cs="Times New Roman"/>
                      <w:color w:val="auto"/>
                      <w:kern w:val="24"/>
                      <w:szCs w:val="21"/>
                      <w:vertAlign w:val="superscript"/>
                    </w:rPr>
                    <w:t>3</w:t>
                  </w:r>
                </w:p>
              </w:tc>
              <w:tc>
                <w:tcPr>
                  <w:tcW w:w="2267" w:type="dxa"/>
                  <w:vAlign w:val="center"/>
                </w:tcPr>
                <w:p w14:paraId="4D1009DE">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50ug/m</w:t>
                  </w:r>
                  <w:r>
                    <w:rPr>
                      <w:rFonts w:hint="default" w:ascii="Times New Roman" w:hAnsi="Times New Roman" w:cs="Times New Roman"/>
                      <w:color w:val="auto"/>
                      <w:kern w:val="24"/>
                      <w:szCs w:val="21"/>
                      <w:vertAlign w:val="superscript"/>
                    </w:rPr>
                    <w:t>3</w:t>
                  </w:r>
                </w:p>
              </w:tc>
              <w:tc>
                <w:tcPr>
                  <w:tcW w:w="1461" w:type="dxa"/>
                  <w:vAlign w:val="center"/>
                </w:tcPr>
                <w:p w14:paraId="7B5770E5">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20ug/m</w:t>
                  </w:r>
                  <w:r>
                    <w:rPr>
                      <w:rFonts w:hint="default" w:ascii="Times New Roman" w:hAnsi="Times New Roman" w:cs="Times New Roman"/>
                      <w:color w:val="auto"/>
                      <w:kern w:val="24"/>
                      <w:szCs w:val="21"/>
                      <w:vertAlign w:val="superscript"/>
                    </w:rPr>
                    <w:t>3</w:t>
                  </w:r>
                </w:p>
              </w:tc>
            </w:tr>
            <w:tr w14:paraId="77B0D5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1151" w:type="dxa"/>
                  <w:vAlign w:val="center"/>
                </w:tcPr>
                <w:p w14:paraId="7863FD85">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w:t>
                  </w:r>
                </w:p>
              </w:tc>
              <w:tc>
                <w:tcPr>
                  <w:tcW w:w="1479" w:type="dxa"/>
                  <w:vAlign w:val="center"/>
                </w:tcPr>
                <w:p w14:paraId="2F01C935">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NO</w:t>
                  </w:r>
                  <w:r>
                    <w:rPr>
                      <w:rFonts w:hint="default" w:ascii="Times New Roman" w:hAnsi="Times New Roman" w:cs="Times New Roman"/>
                      <w:color w:val="auto"/>
                      <w:kern w:val="24"/>
                      <w:szCs w:val="21"/>
                      <w:vertAlign w:val="subscript"/>
                    </w:rPr>
                    <w:t>2</w:t>
                  </w:r>
                </w:p>
              </w:tc>
              <w:tc>
                <w:tcPr>
                  <w:tcW w:w="1482" w:type="dxa"/>
                  <w:vAlign w:val="center"/>
                </w:tcPr>
                <w:p w14:paraId="7290D3B0">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200ug/m</w:t>
                  </w:r>
                  <w:r>
                    <w:rPr>
                      <w:rFonts w:hint="default" w:ascii="Times New Roman" w:hAnsi="Times New Roman" w:cs="Times New Roman"/>
                      <w:color w:val="auto"/>
                      <w:kern w:val="24"/>
                      <w:szCs w:val="21"/>
                      <w:vertAlign w:val="superscript"/>
                    </w:rPr>
                    <w:t>3</w:t>
                  </w:r>
                </w:p>
              </w:tc>
              <w:tc>
                <w:tcPr>
                  <w:tcW w:w="2267" w:type="dxa"/>
                  <w:vAlign w:val="center"/>
                </w:tcPr>
                <w:p w14:paraId="3915F42F">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80ug/m</w:t>
                  </w:r>
                  <w:r>
                    <w:rPr>
                      <w:rFonts w:hint="default" w:ascii="Times New Roman" w:hAnsi="Times New Roman" w:cs="Times New Roman"/>
                      <w:color w:val="auto"/>
                      <w:kern w:val="24"/>
                      <w:szCs w:val="21"/>
                      <w:vertAlign w:val="superscript"/>
                    </w:rPr>
                    <w:t>3</w:t>
                  </w:r>
                </w:p>
              </w:tc>
              <w:tc>
                <w:tcPr>
                  <w:tcW w:w="1461" w:type="dxa"/>
                  <w:vAlign w:val="center"/>
                </w:tcPr>
                <w:p w14:paraId="1A45829F">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40ug/m</w:t>
                  </w:r>
                  <w:r>
                    <w:rPr>
                      <w:rFonts w:hint="default" w:ascii="Times New Roman" w:hAnsi="Times New Roman" w:cs="Times New Roman"/>
                      <w:color w:val="auto"/>
                      <w:kern w:val="24"/>
                      <w:szCs w:val="21"/>
                      <w:vertAlign w:val="superscript"/>
                    </w:rPr>
                    <w:t>3</w:t>
                  </w:r>
                </w:p>
              </w:tc>
            </w:tr>
            <w:tr w14:paraId="4B60B8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55FD0FC9">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w:t>
                  </w:r>
                </w:p>
              </w:tc>
              <w:tc>
                <w:tcPr>
                  <w:tcW w:w="1479" w:type="dxa"/>
                  <w:vAlign w:val="center"/>
                </w:tcPr>
                <w:p w14:paraId="6853673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PM</w:t>
                  </w:r>
                  <w:r>
                    <w:rPr>
                      <w:rFonts w:hint="default" w:ascii="Times New Roman" w:hAnsi="Times New Roman" w:cs="Times New Roman"/>
                      <w:color w:val="auto"/>
                      <w:kern w:val="24"/>
                      <w:szCs w:val="21"/>
                      <w:vertAlign w:val="subscript"/>
                    </w:rPr>
                    <w:t>10</w:t>
                  </w:r>
                </w:p>
              </w:tc>
              <w:tc>
                <w:tcPr>
                  <w:tcW w:w="1482" w:type="dxa"/>
                  <w:vAlign w:val="center"/>
                </w:tcPr>
                <w:p w14:paraId="62AB709C">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2267" w:type="dxa"/>
                  <w:vAlign w:val="center"/>
                </w:tcPr>
                <w:p w14:paraId="660C036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50ug/m</w:t>
                  </w:r>
                  <w:r>
                    <w:rPr>
                      <w:rFonts w:hint="default" w:ascii="Times New Roman" w:hAnsi="Times New Roman" w:cs="Times New Roman"/>
                      <w:color w:val="auto"/>
                      <w:kern w:val="24"/>
                      <w:szCs w:val="21"/>
                      <w:vertAlign w:val="superscript"/>
                    </w:rPr>
                    <w:t>3</w:t>
                  </w:r>
                </w:p>
              </w:tc>
              <w:tc>
                <w:tcPr>
                  <w:tcW w:w="1461" w:type="dxa"/>
                  <w:vAlign w:val="center"/>
                </w:tcPr>
                <w:p w14:paraId="75EACA5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40ug/m</w:t>
                  </w:r>
                  <w:r>
                    <w:rPr>
                      <w:rFonts w:hint="default" w:ascii="Times New Roman" w:hAnsi="Times New Roman" w:cs="Times New Roman"/>
                      <w:color w:val="auto"/>
                      <w:kern w:val="24"/>
                      <w:szCs w:val="21"/>
                      <w:vertAlign w:val="superscript"/>
                    </w:rPr>
                    <w:t>3</w:t>
                  </w:r>
                </w:p>
              </w:tc>
            </w:tr>
            <w:tr w14:paraId="6ED310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58902B8D">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4</w:t>
                  </w:r>
                </w:p>
              </w:tc>
              <w:tc>
                <w:tcPr>
                  <w:tcW w:w="1479" w:type="dxa"/>
                  <w:vAlign w:val="center"/>
                </w:tcPr>
                <w:p w14:paraId="2DE3A707">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PM</w:t>
                  </w:r>
                  <w:r>
                    <w:rPr>
                      <w:rFonts w:hint="default" w:ascii="Times New Roman" w:hAnsi="Times New Roman" w:cs="Times New Roman"/>
                      <w:color w:val="auto"/>
                      <w:kern w:val="24"/>
                      <w:szCs w:val="21"/>
                      <w:vertAlign w:val="subscript"/>
                    </w:rPr>
                    <w:t>2.5</w:t>
                  </w:r>
                </w:p>
              </w:tc>
              <w:tc>
                <w:tcPr>
                  <w:tcW w:w="1482" w:type="dxa"/>
                  <w:vAlign w:val="center"/>
                </w:tcPr>
                <w:p w14:paraId="118B731D">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2267" w:type="dxa"/>
                  <w:vAlign w:val="center"/>
                </w:tcPr>
                <w:p w14:paraId="2DCBE28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35ug/m</w:t>
                  </w:r>
                  <w:r>
                    <w:rPr>
                      <w:rFonts w:hint="default" w:ascii="Times New Roman" w:hAnsi="Times New Roman" w:cs="Times New Roman"/>
                      <w:color w:val="auto"/>
                      <w:kern w:val="24"/>
                      <w:szCs w:val="21"/>
                      <w:vertAlign w:val="superscript"/>
                    </w:rPr>
                    <w:t>3</w:t>
                  </w:r>
                </w:p>
              </w:tc>
              <w:tc>
                <w:tcPr>
                  <w:tcW w:w="1461" w:type="dxa"/>
                  <w:vAlign w:val="center"/>
                </w:tcPr>
                <w:p w14:paraId="01BDF0FF">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15ug/m</w:t>
                  </w:r>
                  <w:r>
                    <w:rPr>
                      <w:rFonts w:hint="default" w:ascii="Times New Roman" w:hAnsi="Times New Roman" w:cs="Times New Roman"/>
                      <w:color w:val="auto"/>
                      <w:kern w:val="24"/>
                      <w:szCs w:val="21"/>
                      <w:vertAlign w:val="superscript"/>
                    </w:rPr>
                    <w:t>3</w:t>
                  </w:r>
                </w:p>
              </w:tc>
            </w:tr>
            <w:tr w14:paraId="145017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32308CA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5</w:t>
                  </w:r>
                </w:p>
              </w:tc>
              <w:tc>
                <w:tcPr>
                  <w:tcW w:w="1479" w:type="dxa"/>
                  <w:vAlign w:val="center"/>
                </w:tcPr>
                <w:p w14:paraId="0B900589">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CO</w:t>
                  </w:r>
                </w:p>
              </w:tc>
              <w:tc>
                <w:tcPr>
                  <w:tcW w:w="1482" w:type="dxa"/>
                  <w:vAlign w:val="center"/>
                </w:tcPr>
                <w:p w14:paraId="2F3114B7">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10mg/m</w:t>
                  </w:r>
                  <w:r>
                    <w:rPr>
                      <w:rFonts w:hint="default" w:ascii="Times New Roman" w:hAnsi="Times New Roman" w:cs="Times New Roman"/>
                      <w:color w:val="auto"/>
                      <w:kern w:val="24"/>
                      <w:szCs w:val="21"/>
                      <w:vertAlign w:val="superscript"/>
                    </w:rPr>
                    <w:t>3</w:t>
                  </w:r>
                </w:p>
              </w:tc>
              <w:tc>
                <w:tcPr>
                  <w:tcW w:w="2267" w:type="dxa"/>
                  <w:vAlign w:val="center"/>
                </w:tcPr>
                <w:p w14:paraId="08F46FF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4mg/m</w:t>
                  </w:r>
                  <w:r>
                    <w:rPr>
                      <w:rFonts w:hint="default" w:ascii="Times New Roman" w:hAnsi="Times New Roman" w:cs="Times New Roman"/>
                      <w:color w:val="auto"/>
                      <w:kern w:val="24"/>
                      <w:szCs w:val="21"/>
                      <w:vertAlign w:val="superscript"/>
                    </w:rPr>
                    <w:t>3</w:t>
                  </w:r>
                </w:p>
              </w:tc>
              <w:tc>
                <w:tcPr>
                  <w:tcW w:w="1461" w:type="dxa"/>
                  <w:vAlign w:val="center"/>
                </w:tcPr>
                <w:p w14:paraId="24776AFC">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r>
            <w:tr w14:paraId="6950F9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5FABB7D4">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6</w:t>
                  </w:r>
                </w:p>
              </w:tc>
              <w:tc>
                <w:tcPr>
                  <w:tcW w:w="1479" w:type="dxa"/>
                  <w:vAlign w:val="center"/>
                </w:tcPr>
                <w:p w14:paraId="59B817C1">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臭氧</w:t>
                  </w:r>
                </w:p>
              </w:tc>
              <w:tc>
                <w:tcPr>
                  <w:tcW w:w="1482" w:type="dxa"/>
                  <w:vAlign w:val="center"/>
                </w:tcPr>
                <w:p w14:paraId="06743BDB">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100ug/m</w:t>
                  </w:r>
                  <w:r>
                    <w:rPr>
                      <w:rFonts w:hint="default" w:ascii="Times New Roman" w:hAnsi="Times New Roman" w:cs="Times New Roman"/>
                      <w:color w:val="auto"/>
                      <w:kern w:val="24"/>
                      <w:szCs w:val="21"/>
                      <w:vertAlign w:val="superscript"/>
                    </w:rPr>
                    <w:t>3</w:t>
                  </w:r>
                </w:p>
              </w:tc>
              <w:tc>
                <w:tcPr>
                  <w:tcW w:w="2267" w:type="dxa"/>
                  <w:vAlign w:val="center"/>
                </w:tcPr>
                <w:p w14:paraId="3428F3E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160ug/m</w:t>
                  </w:r>
                  <w:r>
                    <w:rPr>
                      <w:rFonts w:hint="default" w:ascii="Times New Roman" w:hAnsi="Times New Roman" w:cs="Times New Roman"/>
                      <w:color w:val="auto"/>
                      <w:kern w:val="24"/>
                      <w:szCs w:val="21"/>
                      <w:vertAlign w:val="superscript"/>
                    </w:rPr>
                    <w:t>3</w:t>
                  </w:r>
                  <w:r>
                    <w:rPr>
                      <w:rFonts w:hint="default" w:ascii="Times New Roman" w:hAnsi="Times New Roman" w:cs="Times New Roman"/>
                      <w:color w:val="auto"/>
                      <w:kern w:val="24"/>
                      <w:szCs w:val="21"/>
                    </w:rPr>
                    <w:t>（8小时）</w:t>
                  </w:r>
                </w:p>
              </w:tc>
              <w:tc>
                <w:tcPr>
                  <w:tcW w:w="1461" w:type="dxa"/>
                  <w:vAlign w:val="center"/>
                </w:tcPr>
                <w:p w14:paraId="22210F34">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r>
            <w:tr w14:paraId="0942F1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6273675E">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7</w:t>
                  </w:r>
                </w:p>
              </w:tc>
              <w:tc>
                <w:tcPr>
                  <w:tcW w:w="1479" w:type="dxa"/>
                  <w:vAlign w:val="center"/>
                </w:tcPr>
                <w:p w14:paraId="00517A50">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硫化氢</w:t>
                  </w:r>
                </w:p>
              </w:tc>
              <w:tc>
                <w:tcPr>
                  <w:tcW w:w="1482" w:type="dxa"/>
                  <w:vAlign w:val="center"/>
                </w:tcPr>
                <w:p w14:paraId="50CDF78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10ug/m</w:t>
                  </w:r>
                  <w:r>
                    <w:rPr>
                      <w:rFonts w:hint="default" w:ascii="Times New Roman" w:hAnsi="Times New Roman" w:cs="Times New Roman"/>
                      <w:color w:val="auto"/>
                      <w:kern w:val="24"/>
                      <w:szCs w:val="21"/>
                      <w:vertAlign w:val="superscript"/>
                    </w:rPr>
                    <w:t>3</w:t>
                  </w:r>
                </w:p>
              </w:tc>
              <w:tc>
                <w:tcPr>
                  <w:tcW w:w="2267" w:type="dxa"/>
                  <w:vAlign w:val="center"/>
                </w:tcPr>
                <w:p w14:paraId="089DACD2">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1461" w:type="dxa"/>
                  <w:vAlign w:val="center"/>
                </w:tcPr>
                <w:p w14:paraId="23FBADB0">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r>
            <w:tr w14:paraId="6630C9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683DA720">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8</w:t>
                  </w:r>
                </w:p>
              </w:tc>
              <w:tc>
                <w:tcPr>
                  <w:tcW w:w="1479" w:type="dxa"/>
                  <w:vAlign w:val="center"/>
                </w:tcPr>
                <w:p w14:paraId="20416273">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氨</w:t>
                  </w:r>
                </w:p>
              </w:tc>
              <w:tc>
                <w:tcPr>
                  <w:tcW w:w="1482" w:type="dxa"/>
                  <w:vAlign w:val="center"/>
                </w:tcPr>
                <w:p w14:paraId="076A97DE">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200ug/m</w:t>
                  </w:r>
                  <w:r>
                    <w:rPr>
                      <w:rFonts w:hint="default" w:ascii="Times New Roman" w:hAnsi="Times New Roman" w:cs="Times New Roman"/>
                      <w:color w:val="auto"/>
                      <w:kern w:val="24"/>
                      <w:szCs w:val="21"/>
                      <w:vertAlign w:val="superscript"/>
                    </w:rPr>
                    <w:t>3</w:t>
                  </w:r>
                </w:p>
              </w:tc>
              <w:tc>
                <w:tcPr>
                  <w:tcW w:w="2267" w:type="dxa"/>
                  <w:vAlign w:val="center"/>
                </w:tcPr>
                <w:p w14:paraId="1F50DB12">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1461" w:type="dxa"/>
                  <w:vAlign w:val="center"/>
                </w:tcPr>
                <w:p w14:paraId="7BF0F69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r>
            <w:tr w14:paraId="7D9895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78AB90CA">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9</w:t>
                  </w:r>
                </w:p>
              </w:tc>
              <w:tc>
                <w:tcPr>
                  <w:tcW w:w="1479" w:type="dxa"/>
                  <w:vAlign w:val="center"/>
                </w:tcPr>
                <w:p w14:paraId="68DE98CE">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臭气浓度</w:t>
                  </w:r>
                </w:p>
              </w:tc>
              <w:tc>
                <w:tcPr>
                  <w:tcW w:w="1482" w:type="dxa"/>
                  <w:vAlign w:val="center"/>
                </w:tcPr>
                <w:p w14:paraId="3E9907C1">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2267" w:type="dxa"/>
                  <w:vAlign w:val="center"/>
                </w:tcPr>
                <w:p w14:paraId="0FCB46B1">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1461" w:type="dxa"/>
                  <w:vAlign w:val="center"/>
                </w:tcPr>
                <w:p w14:paraId="0463A409">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r>
            <w:tr w14:paraId="16F46A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51" w:type="dxa"/>
                  <w:vAlign w:val="center"/>
                </w:tcPr>
                <w:p w14:paraId="61A9849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10</w:t>
                  </w:r>
                </w:p>
              </w:tc>
              <w:tc>
                <w:tcPr>
                  <w:tcW w:w="1479" w:type="dxa"/>
                  <w:vAlign w:val="center"/>
                </w:tcPr>
                <w:p w14:paraId="3F50506D">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TSP</w:t>
                  </w:r>
                </w:p>
              </w:tc>
              <w:tc>
                <w:tcPr>
                  <w:tcW w:w="1482" w:type="dxa"/>
                  <w:vAlign w:val="center"/>
                </w:tcPr>
                <w:p w14:paraId="072A2896">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w:t>
                  </w:r>
                </w:p>
              </w:tc>
              <w:tc>
                <w:tcPr>
                  <w:tcW w:w="2267" w:type="dxa"/>
                  <w:vAlign w:val="center"/>
                </w:tcPr>
                <w:p w14:paraId="7763C4CD">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300ug/m</w:t>
                  </w:r>
                  <w:r>
                    <w:rPr>
                      <w:rFonts w:hint="default" w:ascii="Times New Roman" w:hAnsi="Times New Roman" w:cs="Times New Roman"/>
                      <w:color w:val="auto"/>
                      <w:kern w:val="24"/>
                      <w:szCs w:val="21"/>
                      <w:vertAlign w:val="superscript"/>
                    </w:rPr>
                    <w:t>3</w:t>
                  </w:r>
                </w:p>
              </w:tc>
              <w:tc>
                <w:tcPr>
                  <w:tcW w:w="1461" w:type="dxa"/>
                  <w:vAlign w:val="center"/>
                </w:tcPr>
                <w:p w14:paraId="4981E329">
                  <w:pPr>
                    <w:autoSpaceDE w:val="0"/>
                    <w:autoSpaceDN w:val="0"/>
                    <w:adjustRightInd w:val="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200ug/m</w:t>
                  </w:r>
                  <w:r>
                    <w:rPr>
                      <w:rFonts w:hint="default" w:ascii="Times New Roman" w:hAnsi="Times New Roman" w:cs="Times New Roman"/>
                      <w:color w:val="auto"/>
                      <w:kern w:val="24"/>
                      <w:szCs w:val="21"/>
                      <w:vertAlign w:val="superscript"/>
                    </w:rPr>
                    <w:t>3</w:t>
                  </w:r>
                </w:p>
              </w:tc>
            </w:tr>
          </w:tbl>
          <w:p w14:paraId="39B79198">
            <w:pPr>
              <w:numPr>
                <w:ilvl w:val="0"/>
                <w:numId w:val="7"/>
              </w:num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地表水</w:t>
            </w:r>
          </w:p>
          <w:p w14:paraId="5259393A">
            <w:pPr>
              <w:pStyle w:val="9"/>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项目所在地地表水环境执行《地表水环境质量标准》（GB3838-2002）Ⅲ类水体要求。</w:t>
            </w:r>
          </w:p>
          <w:p w14:paraId="43F54B13">
            <w:pPr>
              <w:pStyle w:val="60"/>
              <w:autoSpaceDE w:val="0"/>
              <w:autoSpaceDN w:val="0"/>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表3-1</w:t>
            </w:r>
            <w:r>
              <w:rPr>
                <w:rFonts w:hint="default"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地表水质量评价标准</w:t>
            </w:r>
            <w:r>
              <w:rPr>
                <w:rFonts w:hint="default" w:ascii="Times New Roman" w:hAnsi="Times New Roman" w:cs="Times New Roman"/>
                <w:b/>
                <w:bCs/>
                <w:color w:val="auto"/>
                <w:sz w:val="21"/>
                <w:szCs w:val="21"/>
              </w:rPr>
              <w:t>单位</w:t>
            </w:r>
            <w:r>
              <w:rPr>
                <w:rFonts w:hint="default" w:ascii="Times New Roman" w:hAnsi="Times New Roman" w:cs="Times New Roman"/>
                <w:b/>
                <w:color w:val="auto"/>
                <w:sz w:val="21"/>
                <w:szCs w:val="21"/>
              </w:rPr>
              <w:t>：mg/L，pH除外</w:t>
            </w:r>
          </w:p>
          <w:tbl>
            <w:tblPr>
              <w:tblStyle w:val="27"/>
              <w:tblW w:w="783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21"/>
              <w:gridCol w:w="741"/>
              <w:gridCol w:w="844"/>
              <w:gridCol w:w="841"/>
              <w:gridCol w:w="741"/>
              <w:gridCol w:w="1073"/>
              <w:gridCol w:w="877"/>
              <w:gridCol w:w="804"/>
              <w:gridCol w:w="795"/>
            </w:tblGrid>
            <w:tr w14:paraId="60C051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344DEC0C">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水质指标</w:t>
                  </w:r>
                </w:p>
              </w:tc>
              <w:tc>
                <w:tcPr>
                  <w:tcW w:w="741" w:type="dxa"/>
                  <w:vAlign w:val="center"/>
                </w:tcPr>
                <w:p w14:paraId="2C656187">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pH</w:t>
                  </w:r>
                </w:p>
              </w:tc>
              <w:tc>
                <w:tcPr>
                  <w:tcW w:w="844" w:type="dxa"/>
                  <w:vAlign w:val="center"/>
                </w:tcPr>
                <w:p w14:paraId="485B315D">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COD</w:t>
                  </w:r>
                  <w:r>
                    <w:rPr>
                      <w:rStyle w:val="69"/>
                      <w:rFonts w:hint="default" w:ascii="Times New Roman" w:hAnsi="Times New Roman" w:cs="Times New Roman"/>
                      <w:color w:val="auto"/>
                      <w:lang w:bidi="ar"/>
                    </w:rPr>
                    <w:t>Cr</w:t>
                  </w:r>
                </w:p>
              </w:tc>
              <w:tc>
                <w:tcPr>
                  <w:tcW w:w="841" w:type="dxa"/>
                  <w:vAlign w:val="center"/>
                </w:tcPr>
                <w:p w14:paraId="6D8194E6">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BOD</w:t>
                  </w:r>
                  <w:r>
                    <w:rPr>
                      <w:rStyle w:val="69"/>
                      <w:rFonts w:hint="default" w:ascii="Times New Roman" w:hAnsi="Times New Roman" w:cs="Times New Roman"/>
                      <w:color w:val="auto"/>
                      <w:lang w:bidi="ar"/>
                    </w:rPr>
                    <w:t>5</w:t>
                  </w:r>
                </w:p>
              </w:tc>
              <w:tc>
                <w:tcPr>
                  <w:tcW w:w="741" w:type="dxa"/>
                  <w:vAlign w:val="center"/>
                </w:tcPr>
                <w:p w14:paraId="1F3A2CC6">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氨氮</w:t>
                  </w:r>
                </w:p>
              </w:tc>
              <w:tc>
                <w:tcPr>
                  <w:tcW w:w="1073" w:type="dxa"/>
                  <w:vAlign w:val="center"/>
                </w:tcPr>
                <w:p w14:paraId="15D46D17">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总磷</w:t>
                  </w:r>
                </w:p>
              </w:tc>
              <w:tc>
                <w:tcPr>
                  <w:tcW w:w="877" w:type="dxa"/>
                  <w:vAlign w:val="center"/>
                </w:tcPr>
                <w:p w14:paraId="1169D7EF">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总氮</w:t>
                  </w:r>
                </w:p>
              </w:tc>
              <w:tc>
                <w:tcPr>
                  <w:tcW w:w="804" w:type="dxa"/>
                  <w:vAlign w:val="center"/>
                </w:tcPr>
                <w:p w14:paraId="248DB7BB">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挥发酚</w:t>
                  </w:r>
                </w:p>
              </w:tc>
              <w:tc>
                <w:tcPr>
                  <w:tcW w:w="795" w:type="dxa"/>
                  <w:vAlign w:val="center"/>
                </w:tcPr>
                <w:p w14:paraId="6BCE347B">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高锰酸盐指数</w:t>
                  </w:r>
                </w:p>
              </w:tc>
            </w:tr>
            <w:tr w14:paraId="34E769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4D0AA248">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w:t>
                  </w:r>
                </w:p>
              </w:tc>
              <w:tc>
                <w:tcPr>
                  <w:tcW w:w="741" w:type="dxa"/>
                  <w:vAlign w:val="center"/>
                </w:tcPr>
                <w:p w14:paraId="2C0079B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w:t>
                  </w:r>
                  <w:r>
                    <w:rPr>
                      <w:rStyle w:val="70"/>
                      <w:rFonts w:hint="default" w:ascii="Times New Roman" w:hAnsi="Times New Roman" w:cs="Times New Roman"/>
                      <w:color w:val="auto"/>
                      <w:lang w:bidi="ar"/>
                    </w:rPr>
                    <w:t>～</w:t>
                  </w:r>
                  <w:r>
                    <w:rPr>
                      <w:rStyle w:val="71"/>
                      <w:rFonts w:hint="default" w:ascii="Times New Roman" w:hAnsi="Times New Roman" w:cs="Times New Roman"/>
                      <w:color w:val="auto"/>
                      <w:lang w:bidi="ar"/>
                    </w:rPr>
                    <w:t>9</w:t>
                  </w:r>
                </w:p>
              </w:tc>
              <w:tc>
                <w:tcPr>
                  <w:tcW w:w="844" w:type="dxa"/>
                  <w:vAlign w:val="center"/>
                </w:tcPr>
                <w:p w14:paraId="294A98A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≤20</w:t>
                  </w:r>
                </w:p>
              </w:tc>
              <w:tc>
                <w:tcPr>
                  <w:tcW w:w="841" w:type="dxa"/>
                  <w:vAlign w:val="center"/>
                </w:tcPr>
                <w:p w14:paraId="2DD0295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w:t>
                  </w:r>
                </w:p>
              </w:tc>
              <w:tc>
                <w:tcPr>
                  <w:tcW w:w="741" w:type="dxa"/>
                  <w:vAlign w:val="center"/>
                </w:tcPr>
                <w:p w14:paraId="25CE0E0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1073" w:type="dxa"/>
                  <w:vAlign w:val="center"/>
                </w:tcPr>
                <w:p w14:paraId="6CFCD0D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w:t>
                  </w:r>
                </w:p>
              </w:tc>
              <w:tc>
                <w:tcPr>
                  <w:tcW w:w="877" w:type="dxa"/>
                  <w:vAlign w:val="center"/>
                </w:tcPr>
                <w:p w14:paraId="39E4F86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804" w:type="dxa"/>
                  <w:vAlign w:val="center"/>
                </w:tcPr>
                <w:p w14:paraId="201ABD6C">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≤0.005</w:t>
                  </w:r>
                </w:p>
              </w:tc>
              <w:tc>
                <w:tcPr>
                  <w:tcW w:w="795" w:type="dxa"/>
                  <w:vAlign w:val="center"/>
                </w:tcPr>
                <w:p w14:paraId="3CE19394">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≤6</w:t>
                  </w:r>
                </w:p>
              </w:tc>
            </w:tr>
            <w:tr w14:paraId="6D4F99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2CBC0B4B">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水质指标</w:t>
                  </w:r>
                </w:p>
              </w:tc>
              <w:tc>
                <w:tcPr>
                  <w:tcW w:w="741" w:type="dxa"/>
                  <w:vAlign w:val="center"/>
                </w:tcPr>
                <w:p w14:paraId="450A0B72">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砷</w:t>
                  </w:r>
                </w:p>
              </w:tc>
              <w:tc>
                <w:tcPr>
                  <w:tcW w:w="844" w:type="dxa"/>
                  <w:vAlign w:val="center"/>
                </w:tcPr>
                <w:p w14:paraId="2D65EE08">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镉</w:t>
                  </w:r>
                </w:p>
              </w:tc>
              <w:tc>
                <w:tcPr>
                  <w:tcW w:w="841" w:type="dxa"/>
                  <w:vAlign w:val="center"/>
                </w:tcPr>
                <w:p w14:paraId="3A6965AC">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六价铬</w:t>
                  </w:r>
                </w:p>
              </w:tc>
              <w:tc>
                <w:tcPr>
                  <w:tcW w:w="741" w:type="dxa"/>
                  <w:vAlign w:val="center"/>
                </w:tcPr>
                <w:p w14:paraId="786E5D3C">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铅</w:t>
                  </w:r>
                </w:p>
              </w:tc>
              <w:tc>
                <w:tcPr>
                  <w:tcW w:w="1073" w:type="dxa"/>
                  <w:vAlign w:val="center"/>
                </w:tcPr>
                <w:p w14:paraId="3CFBBA43">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粪大肠</w:t>
                  </w:r>
                </w:p>
                <w:p w14:paraId="202572BC">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菌群</w:t>
                  </w:r>
                </w:p>
              </w:tc>
              <w:tc>
                <w:tcPr>
                  <w:tcW w:w="877" w:type="dxa"/>
                  <w:vAlign w:val="center"/>
                </w:tcPr>
                <w:p w14:paraId="57AF5A55">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石油类</w:t>
                  </w:r>
                </w:p>
              </w:tc>
              <w:tc>
                <w:tcPr>
                  <w:tcW w:w="804" w:type="dxa"/>
                  <w:vAlign w:val="center"/>
                </w:tcPr>
                <w:p w14:paraId="7D294604">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LAS</w:t>
                  </w:r>
                </w:p>
              </w:tc>
              <w:tc>
                <w:tcPr>
                  <w:tcW w:w="795" w:type="dxa"/>
                  <w:vAlign w:val="center"/>
                </w:tcPr>
                <w:p w14:paraId="3370112C">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硫化物</w:t>
                  </w:r>
                </w:p>
              </w:tc>
            </w:tr>
            <w:tr w14:paraId="129E7B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21BDDFA3">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w:t>
                  </w:r>
                </w:p>
              </w:tc>
              <w:tc>
                <w:tcPr>
                  <w:tcW w:w="741" w:type="dxa"/>
                  <w:vAlign w:val="center"/>
                </w:tcPr>
                <w:p w14:paraId="0C393F91">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844" w:type="dxa"/>
                  <w:vAlign w:val="center"/>
                </w:tcPr>
                <w:p w14:paraId="0B485EDE">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0.005</w:t>
                  </w:r>
                </w:p>
              </w:tc>
              <w:tc>
                <w:tcPr>
                  <w:tcW w:w="841" w:type="dxa"/>
                  <w:vAlign w:val="center"/>
                </w:tcPr>
                <w:p w14:paraId="726C1F2C">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741" w:type="dxa"/>
                  <w:vAlign w:val="center"/>
                </w:tcPr>
                <w:p w14:paraId="38F4C17D">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073" w:type="dxa"/>
                  <w:vAlign w:val="center"/>
                </w:tcPr>
                <w:p w14:paraId="20AF9E78">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877" w:type="dxa"/>
                  <w:vAlign w:val="center"/>
                </w:tcPr>
                <w:p w14:paraId="0C5F3511">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804" w:type="dxa"/>
                  <w:vAlign w:val="center"/>
                </w:tcPr>
                <w:p w14:paraId="3B838DFD">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w:t>
                  </w:r>
                </w:p>
              </w:tc>
              <w:tc>
                <w:tcPr>
                  <w:tcW w:w="795" w:type="dxa"/>
                  <w:vAlign w:val="center"/>
                </w:tcPr>
                <w:p w14:paraId="40EB015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w:t>
                  </w:r>
                </w:p>
              </w:tc>
            </w:tr>
            <w:tr w14:paraId="00B61B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64F5FAF4">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水质指标</w:t>
                  </w:r>
                </w:p>
              </w:tc>
              <w:tc>
                <w:tcPr>
                  <w:tcW w:w="741" w:type="dxa"/>
                  <w:vAlign w:val="center"/>
                </w:tcPr>
                <w:p w14:paraId="4BA947B8">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溶解氧</w:t>
                  </w:r>
                </w:p>
              </w:tc>
              <w:tc>
                <w:tcPr>
                  <w:tcW w:w="844" w:type="dxa"/>
                  <w:vAlign w:val="center"/>
                </w:tcPr>
                <w:p w14:paraId="383138F5">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铜</w:t>
                  </w:r>
                </w:p>
              </w:tc>
              <w:tc>
                <w:tcPr>
                  <w:tcW w:w="841" w:type="dxa"/>
                  <w:vAlign w:val="center"/>
                </w:tcPr>
                <w:p w14:paraId="5362E40C">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锌</w:t>
                  </w:r>
                </w:p>
              </w:tc>
              <w:tc>
                <w:tcPr>
                  <w:tcW w:w="741" w:type="dxa"/>
                  <w:vAlign w:val="center"/>
                </w:tcPr>
                <w:p w14:paraId="13D3806C">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氟化物</w:t>
                  </w:r>
                </w:p>
              </w:tc>
              <w:tc>
                <w:tcPr>
                  <w:tcW w:w="1073" w:type="dxa"/>
                  <w:vAlign w:val="center"/>
                </w:tcPr>
                <w:p w14:paraId="33F25D77">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汞</w:t>
                  </w:r>
                </w:p>
              </w:tc>
              <w:tc>
                <w:tcPr>
                  <w:tcW w:w="877" w:type="dxa"/>
                  <w:vAlign w:val="center"/>
                </w:tcPr>
                <w:p w14:paraId="73F87AD7">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硒</w:t>
                  </w:r>
                </w:p>
              </w:tc>
              <w:tc>
                <w:tcPr>
                  <w:tcW w:w="804" w:type="dxa"/>
                  <w:vAlign w:val="center"/>
                </w:tcPr>
                <w:p w14:paraId="1E8D776E">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氰化物</w:t>
                  </w:r>
                </w:p>
              </w:tc>
              <w:tc>
                <w:tcPr>
                  <w:tcW w:w="795" w:type="dxa"/>
                  <w:vAlign w:val="center"/>
                </w:tcPr>
                <w:p w14:paraId="342B6B0A">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悬浮物</w:t>
                  </w:r>
                </w:p>
              </w:tc>
            </w:tr>
            <w:tr w14:paraId="72E4A5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21" w:type="dxa"/>
                  <w:vAlign w:val="center"/>
                </w:tcPr>
                <w:p w14:paraId="65431DEF">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w:t>
                  </w:r>
                </w:p>
              </w:tc>
              <w:tc>
                <w:tcPr>
                  <w:tcW w:w="741" w:type="dxa"/>
                  <w:vAlign w:val="center"/>
                </w:tcPr>
                <w:p w14:paraId="5AE05169">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44" w:type="dxa"/>
                  <w:vAlign w:val="center"/>
                </w:tcPr>
                <w:p w14:paraId="6AA00A8D">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w:t>
                  </w:r>
                </w:p>
              </w:tc>
              <w:tc>
                <w:tcPr>
                  <w:tcW w:w="841" w:type="dxa"/>
                  <w:vAlign w:val="center"/>
                </w:tcPr>
                <w:p w14:paraId="18C1A229">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w:t>
                  </w:r>
                </w:p>
              </w:tc>
              <w:tc>
                <w:tcPr>
                  <w:tcW w:w="741" w:type="dxa"/>
                  <w:vAlign w:val="center"/>
                </w:tcPr>
                <w:p w14:paraId="5776B7B0">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w:t>
                  </w:r>
                </w:p>
              </w:tc>
              <w:tc>
                <w:tcPr>
                  <w:tcW w:w="1073" w:type="dxa"/>
                  <w:vAlign w:val="center"/>
                </w:tcPr>
                <w:p w14:paraId="0071CF01">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w:t>
                  </w:r>
                </w:p>
              </w:tc>
              <w:tc>
                <w:tcPr>
                  <w:tcW w:w="877" w:type="dxa"/>
                  <w:vAlign w:val="center"/>
                </w:tcPr>
                <w:p w14:paraId="291F1AB4">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c>
                <w:tcPr>
                  <w:tcW w:w="804" w:type="dxa"/>
                  <w:vAlign w:val="center"/>
                </w:tcPr>
                <w:p w14:paraId="29502DD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w:t>
                  </w:r>
                </w:p>
              </w:tc>
              <w:tc>
                <w:tcPr>
                  <w:tcW w:w="795" w:type="dxa"/>
                  <w:vAlign w:val="center"/>
                </w:tcPr>
                <w:p w14:paraId="03FBEDF6">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14:paraId="48AC6CB5">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3、声环境</w:t>
            </w:r>
          </w:p>
          <w:p w14:paraId="19D32CE7">
            <w:pPr>
              <w:pStyle w:val="60"/>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项目所在地执行《声环境质量标准》（GB3096-2008）1类标准，执行标准值见下表。</w:t>
            </w:r>
          </w:p>
          <w:p w14:paraId="556E68E4">
            <w:pPr>
              <w:pStyle w:val="60"/>
              <w:autoSpaceDE w:val="0"/>
              <w:autoSpaceDN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表3-1</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声环境质量标准限值</w:t>
            </w:r>
          </w:p>
          <w:tbl>
            <w:tblPr>
              <w:tblStyle w:val="27"/>
              <w:tblW w:w="78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67"/>
              <w:gridCol w:w="1952"/>
              <w:gridCol w:w="1608"/>
              <w:gridCol w:w="1513"/>
            </w:tblGrid>
            <w:tr w14:paraId="7F8FB2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767" w:type="dxa"/>
                  <w:vAlign w:val="center"/>
                </w:tcPr>
                <w:p w14:paraId="07BADDE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1952" w:type="dxa"/>
                  <w:vAlign w:val="center"/>
                </w:tcPr>
                <w:p w14:paraId="26DFB00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等效声级Leq</w:t>
                  </w:r>
                </w:p>
              </w:tc>
              <w:tc>
                <w:tcPr>
                  <w:tcW w:w="1608" w:type="dxa"/>
                  <w:vAlign w:val="center"/>
                </w:tcPr>
                <w:p w14:paraId="6E71A0F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513" w:type="dxa"/>
                  <w:vAlign w:val="center"/>
                </w:tcPr>
                <w:p w14:paraId="1839E19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r>
            <w:tr w14:paraId="0B51A7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767" w:type="dxa"/>
                  <w:vAlign w:val="center"/>
                </w:tcPr>
                <w:p w14:paraId="46B8DF89">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《声环境质量标准》1类</w:t>
                  </w:r>
                </w:p>
              </w:tc>
              <w:tc>
                <w:tcPr>
                  <w:tcW w:w="1952" w:type="dxa"/>
                  <w:vAlign w:val="center"/>
                </w:tcPr>
                <w:p w14:paraId="3D646C67">
                  <w:pPr>
                    <w:jc w:val="center"/>
                    <w:rPr>
                      <w:rFonts w:hint="default" w:ascii="Times New Roman" w:hAnsi="Times New Roman" w:cs="Times New Roman"/>
                      <w:color w:val="auto"/>
                      <w:szCs w:val="21"/>
                    </w:rPr>
                  </w:pPr>
                  <w:r>
                    <w:rPr>
                      <w:rFonts w:hint="default" w:ascii="Times New Roman" w:hAnsi="Times New Roman" w:cs="Times New Roman"/>
                      <w:color w:val="auto"/>
                      <w:szCs w:val="21"/>
                    </w:rPr>
                    <w:t>dB（A）</w:t>
                  </w:r>
                </w:p>
              </w:tc>
              <w:tc>
                <w:tcPr>
                  <w:tcW w:w="1608" w:type="dxa"/>
                  <w:vAlign w:val="center"/>
                </w:tcPr>
                <w:p w14:paraId="509F78E5">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513" w:type="dxa"/>
                  <w:vAlign w:val="center"/>
                </w:tcPr>
                <w:p w14:paraId="10EDBBFE">
                  <w:pPr>
                    <w:jc w:val="center"/>
                    <w:rPr>
                      <w:rFonts w:hint="default" w:ascii="Times New Roman" w:hAnsi="Times New Roman" w:cs="Times New Roman"/>
                      <w:color w:val="auto"/>
                      <w:szCs w:val="21"/>
                    </w:rPr>
                  </w:pPr>
                  <w:r>
                    <w:rPr>
                      <w:rFonts w:hint="default" w:ascii="Times New Roman" w:hAnsi="Times New Roman" w:cs="Times New Roman"/>
                      <w:color w:val="auto"/>
                      <w:szCs w:val="21"/>
                    </w:rPr>
                    <w:t>45</w:t>
                  </w:r>
                </w:p>
              </w:tc>
            </w:tr>
          </w:tbl>
          <w:p w14:paraId="569CB46F">
            <w:pPr>
              <w:adjustRightInd w:val="0"/>
              <w:snapToGrid w:val="0"/>
              <w:spacing w:line="360" w:lineRule="auto"/>
              <w:ind w:firstLine="482" w:firstLineChars="200"/>
              <w:rPr>
                <w:rFonts w:hint="default" w:ascii="Times New Roman" w:hAnsi="Times New Roman" w:cs="Times New Roman"/>
                <w:color w:val="auto"/>
                <w:kern w:val="0"/>
                <w:sz w:val="24"/>
                <w:u w:val="single"/>
              </w:rPr>
            </w:pPr>
            <w:r>
              <w:rPr>
                <w:rFonts w:hint="default" w:ascii="Times New Roman" w:hAnsi="Times New Roman" w:cs="Times New Roman"/>
                <w:b/>
                <w:bCs/>
                <w:color w:val="auto"/>
                <w:kern w:val="0"/>
                <w:sz w:val="24"/>
                <w:u w:val="single"/>
              </w:rPr>
              <w:t>4、底泥：</w:t>
            </w:r>
            <w:r>
              <w:rPr>
                <w:rFonts w:hint="default" w:ascii="Times New Roman" w:hAnsi="Times New Roman" w:cs="Times New Roman"/>
                <w:color w:val="auto"/>
                <w:kern w:val="0"/>
                <w:sz w:val="24"/>
                <w:u w:val="single"/>
              </w:rPr>
              <w:t>项目周边水体底泥可参考</w:t>
            </w:r>
            <w:r>
              <w:rPr>
                <w:rFonts w:hint="default" w:ascii="Times New Roman" w:hAnsi="Times New Roman" w:cs="Times New Roman"/>
                <w:bCs/>
                <w:color w:val="auto"/>
                <w:sz w:val="24"/>
                <w:u w:val="single"/>
              </w:rPr>
              <w:t>《土壤质量标准 农用地土壤污染风险管控标准》（GB 15618-2018）表1中其他类筛选值</w:t>
            </w:r>
            <w:r>
              <w:rPr>
                <w:rFonts w:hint="default" w:ascii="Times New Roman" w:hAnsi="Times New Roman" w:cs="Times New Roman"/>
                <w:color w:val="auto"/>
                <w:kern w:val="0"/>
                <w:sz w:val="24"/>
                <w:u w:val="single"/>
              </w:rPr>
              <w:t>。具体限值见下表：</w:t>
            </w:r>
          </w:p>
          <w:p w14:paraId="54C2D7B2">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表3-1</w:t>
            </w:r>
            <w:r>
              <w:rPr>
                <w:rFonts w:hint="default" w:ascii="Times New Roman" w:hAnsi="Times New Roman" w:cs="Times New Roman"/>
                <w:b/>
                <w:bCs/>
                <w:color w:val="auto"/>
                <w:kern w:val="0"/>
                <w:szCs w:val="21"/>
                <w:u w:val="single"/>
                <w:lang w:val="en-US" w:eastAsia="zh-CN"/>
              </w:rPr>
              <w:t>6</w:t>
            </w:r>
            <w:r>
              <w:rPr>
                <w:rFonts w:hint="default" w:ascii="Times New Roman" w:hAnsi="Times New Roman" w:cs="Times New Roman"/>
                <w:b/>
                <w:bCs/>
                <w:color w:val="auto"/>
                <w:kern w:val="0"/>
                <w:szCs w:val="21"/>
                <w:u w:val="single"/>
              </w:rPr>
              <w:t xml:space="preserve">  农用地土壤环境质量标准   单位mg/kg</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67"/>
              <w:gridCol w:w="989"/>
              <w:gridCol w:w="1411"/>
              <w:gridCol w:w="1354"/>
              <w:gridCol w:w="1052"/>
              <w:gridCol w:w="2248"/>
            </w:tblGrid>
            <w:tr w14:paraId="58DF26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767" w:type="dxa"/>
                  <w:vMerge w:val="restart"/>
                  <w:tcBorders>
                    <w:tl2br w:val="nil"/>
                    <w:tr2bl w:val="nil"/>
                  </w:tcBorders>
                  <w:vAlign w:val="center"/>
                </w:tcPr>
                <w:p w14:paraId="51D9AB8B">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污染物项目</w:t>
                  </w:r>
                </w:p>
              </w:tc>
              <w:tc>
                <w:tcPr>
                  <w:tcW w:w="4806" w:type="dxa"/>
                  <w:gridSpan w:val="4"/>
                  <w:tcBorders>
                    <w:tl2br w:val="nil"/>
                    <w:tr2bl w:val="nil"/>
                  </w:tcBorders>
                  <w:vAlign w:val="center"/>
                </w:tcPr>
                <w:p w14:paraId="2696D235">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筛选值</w:t>
                  </w:r>
                </w:p>
              </w:tc>
              <w:tc>
                <w:tcPr>
                  <w:tcW w:w="2248" w:type="dxa"/>
                  <w:vMerge w:val="restart"/>
                  <w:tcBorders>
                    <w:tl2br w:val="nil"/>
                    <w:tr2bl w:val="nil"/>
                  </w:tcBorders>
                  <w:vAlign w:val="center"/>
                </w:tcPr>
                <w:p w14:paraId="030B0583">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标准来源</w:t>
                  </w:r>
                </w:p>
              </w:tc>
            </w:tr>
            <w:tr w14:paraId="764ECE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767" w:type="dxa"/>
                  <w:vMerge w:val="continue"/>
                  <w:tcBorders>
                    <w:tl2br w:val="nil"/>
                    <w:tr2bl w:val="nil"/>
                  </w:tcBorders>
                  <w:vAlign w:val="center"/>
                </w:tcPr>
                <w:p w14:paraId="03CCCB77">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c>
                <w:tcPr>
                  <w:tcW w:w="989" w:type="dxa"/>
                  <w:tcBorders>
                    <w:tl2br w:val="nil"/>
                    <w:tr2bl w:val="nil"/>
                  </w:tcBorders>
                  <w:vAlign w:val="center"/>
                </w:tcPr>
                <w:p w14:paraId="62A651E5">
                  <w:pPr>
                    <w:adjustRightInd w:val="0"/>
                    <w:snapToGrid w:val="0"/>
                    <w:spacing w:before="24" w:beforeLines="10" w:after="24" w:afterLines="10"/>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PH≦5.5</w:t>
                  </w:r>
                </w:p>
              </w:tc>
              <w:tc>
                <w:tcPr>
                  <w:tcW w:w="1411" w:type="dxa"/>
                  <w:tcBorders>
                    <w:tl2br w:val="nil"/>
                    <w:tr2bl w:val="nil"/>
                  </w:tcBorders>
                  <w:vAlign w:val="center"/>
                </w:tcPr>
                <w:p w14:paraId="21A0AAD7">
                  <w:pPr>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5.5˂PH≦6.5</w:t>
                  </w:r>
                </w:p>
              </w:tc>
              <w:tc>
                <w:tcPr>
                  <w:tcW w:w="1354" w:type="dxa"/>
                  <w:tcBorders>
                    <w:right w:val="single" w:color="auto" w:sz="4" w:space="0"/>
                    <w:tl2br w:val="nil"/>
                    <w:tr2bl w:val="nil"/>
                  </w:tcBorders>
                  <w:vAlign w:val="center"/>
                </w:tcPr>
                <w:p w14:paraId="2BC6BC1E">
                  <w:pPr>
                    <w:jc w:val="center"/>
                    <w:rPr>
                      <w:rFonts w:hint="default" w:ascii="Times New Roman" w:hAnsi="Times New Roman" w:cs="Times New Roman"/>
                      <w:color w:val="auto"/>
                      <w:sz w:val="24"/>
                      <w:u w:val="single"/>
                    </w:rPr>
                  </w:pPr>
                  <w:r>
                    <w:rPr>
                      <w:rFonts w:hint="default" w:ascii="Times New Roman" w:hAnsi="Times New Roman" w:cs="Times New Roman"/>
                      <w:color w:val="auto"/>
                      <w:kern w:val="0"/>
                      <w:szCs w:val="21"/>
                      <w:u w:val="single"/>
                    </w:rPr>
                    <w:t>6.5˂PH≦7.5</w:t>
                  </w:r>
                </w:p>
              </w:tc>
              <w:tc>
                <w:tcPr>
                  <w:tcW w:w="1052" w:type="dxa"/>
                  <w:tcBorders>
                    <w:left w:val="single" w:color="auto" w:sz="4" w:space="0"/>
                    <w:tl2br w:val="nil"/>
                    <w:tr2bl w:val="nil"/>
                  </w:tcBorders>
                  <w:vAlign w:val="center"/>
                </w:tcPr>
                <w:p w14:paraId="022BA5B7">
                  <w:pPr>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PH˃7.5</w:t>
                  </w:r>
                </w:p>
              </w:tc>
              <w:tc>
                <w:tcPr>
                  <w:tcW w:w="2248" w:type="dxa"/>
                  <w:vMerge w:val="continue"/>
                  <w:tcBorders>
                    <w:tl2br w:val="nil"/>
                    <w:tr2bl w:val="nil"/>
                  </w:tcBorders>
                  <w:vAlign w:val="center"/>
                </w:tcPr>
                <w:p w14:paraId="5F8116A6">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50C16E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767" w:type="dxa"/>
                  <w:tcBorders>
                    <w:tl2br w:val="nil"/>
                    <w:tr2bl w:val="nil"/>
                  </w:tcBorders>
                  <w:vAlign w:val="center"/>
                </w:tcPr>
                <w:p w14:paraId="486244EE">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砷</w:t>
                  </w:r>
                </w:p>
              </w:tc>
              <w:tc>
                <w:tcPr>
                  <w:tcW w:w="989" w:type="dxa"/>
                  <w:tcBorders>
                    <w:tl2br w:val="nil"/>
                    <w:tr2bl w:val="nil"/>
                  </w:tcBorders>
                  <w:vAlign w:val="center"/>
                </w:tcPr>
                <w:p w14:paraId="7CFB4017">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40</w:t>
                  </w:r>
                </w:p>
              </w:tc>
              <w:tc>
                <w:tcPr>
                  <w:tcW w:w="1411" w:type="dxa"/>
                  <w:tcBorders>
                    <w:tl2br w:val="nil"/>
                    <w:tr2bl w:val="nil"/>
                  </w:tcBorders>
                  <w:vAlign w:val="center"/>
                </w:tcPr>
                <w:p w14:paraId="4DD6A632">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40</w:t>
                  </w:r>
                </w:p>
              </w:tc>
              <w:tc>
                <w:tcPr>
                  <w:tcW w:w="1354" w:type="dxa"/>
                  <w:tcBorders>
                    <w:right w:val="single" w:color="auto" w:sz="4" w:space="0"/>
                    <w:tl2br w:val="nil"/>
                    <w:tr2bl w:val="nil"/>
                  </w:tcBorders>
                  <w:vAlign w:val="center"/>
                </w:tcPr>
                <w:p w14:paraId="3EB29F1C">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30</w:t>
                  </w:r>
                </w:p>
              </w:tc>
              <w:tc>
                <w:tcPr>
                  <w:tcW w:w="1052" w:type="dxa"/>
                  <w:tcBorders>
                    <w:left w:val="single" w:color="auto" w:sz="4" w:space="0"/>
                    <w:tl2br w:val="nil"/>
                    <w:tr2bl w:val="nil"/>
                  </w:tcBorders>
                  <w:vAlign w:val="center"/>
                </w:tcPr>
                <w:p w14:paraId="658ED1EE">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25</w:t>
                  </w:r>
                </w:p>
              </w:tc>
              <w:tc>
                <w:tcPr>
                  <w:tcW w:w="2248" w:type="dxa"/>
                  <w:vMerge w:val="restart"/>
                  <w:tcBorders>
                    <w:tl2br w:val="nil"/>
                    <w:tr2bl w:val="nil"/>
                  </w:tcBorders>
                  <w:vAlign w:val="center"/>
                </w:tcPr>
                <w:p w14:paraId="331892B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《土壤质量标准 农用地土壤污染风险管控标准》（GB 15618-2018）表1中其他类筛选值</w:t>
                  </w:r>
                </w:p>
              </w:tc>
            </w:tr>
            <w:tr w14:paraId="58A05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67" w:type="dxa"/>
                  <w:tcBorders>
                    <w:tl2br w:val="nil"/>
                    <w:tr2bl w:val="nil"/>
                  </w:tcBorders>
                  <w:vAlign w:val="center"/>
                </w:tcPr>
                <w:p w14:paraId="27CAD692">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镉</w:t>
                  </w:r>
                </w:p>
              </w:tc>
              <w:tc>
                <w:tcPr>
                  <w:tcW w:w="989" w:type="dxa"/>
                  <w:tcBorders>
                    <w:tl2br w:val="nil"/>
                    <w:tr2bl w:val="nil"/>
                  </w:tcBorders>
                  <w:vAlign w:val="center"/>
                </w:tcPr>
                <w:p w14:paraId="2B96548A">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0.3</w:t>
                  </w:r>
                </w:p>
              </w:tc>
              <w:tc>
                <w:tcPr>
                  <w:tcW w:w="1411" w:type="dxa"/>
                  <w:tcBorders>
                    <w:tl2br w:val="nil"/>
                    <w:tr2bl w:val="nil"/>
                  </w:tcBorders>
                  <w:vAlign w:val="center"/>
                </w:tcPr>
                <w:p w14:paraId="41360022">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0.3</w:t>
                  </w:r>
                </w:p>
              </w:tc>
              <w:tc>
                <w:tcPr>
                  <w:tcW w:w="1354" w:type="dxa"/>
                  <w:tcBorders>
                    <w:right w:val="single" w:color="auto" w:sz="4" w:space="0"/>
                    <w:tl2br w:val="nil"/>
                    <w:tr2bl w:val="nil"/>
                  </w:tcBorders>
                  <w:vAlign w:val="center"/>
                </w:tcPr>
                <w:p w14:paraId="4FAFF590">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0.3</w:t>
                  </w:r>
                </w:p>
              </w:tc>
              <w:tc>
                <w:tcPr>
                  <w:tcW w:w="1052" w:type="dxa"/>
                  <w:tcBorders>
                    <w:left w:val="single" w:color="auto" w:sz="4" w:space="0"/>
                    <w:tl2br w:val="nil"/>
                    <w:tr2bl w:val="nil"/>
                  </w:tcBorders>
                  <w:vAlign w:val="center"/>
                </w:tcPr>
                <w:p w14:paraId="2C6C6DA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0.6</w:t>
                  </w:r>
                </w:p>
              </w:tc>
              <w:tc>
                <w:tcPr>
                  <w:tcW w:w="2248" w:type="dxa"/>
                  <w:vMerge w:val="continue"/>
                  <w:tcBorders>
                    <w:tl2br w:val="nil"/>
                    <w:tr2bl w:val="nil"/>
                  </w:tcBorders>
                  <w:vAlign w:val="center"/>
                </w:tcPr>
                <w:p w14:paraId="56B77F6D">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351733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67" w:type="dxa"/>
                  <w:tcBorders>
                    <w:tl2br w:val="nil"/>
                    <w:tr2bl w:val="nil"/>
                  </w:tcBorders>
                  <w:vAlign w:val="center"/>
                </w:tcPr>
                <w:p w14:paraId="1A509B4F">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铜</w:t>
                  </w:r>
                </w:p>
              </w:tc>
              <w:tc>
                <w:tcPr>
                  <w:tcW w:w="989" w:type="dxa"/>
                  <w:tcBorders>
                    <w:tl2br w:val="nil"/>
                    <w:tr2bl w:val="nil"/>
                  </w:tcBorders>
                  <w:vAlign w:val="center"/>
                </w:tcPr>
                <w:p w14:paraId="2162EB29">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50</w:t>
                  </w:r>
                </w:p>
              </w:tc>
              <w:tc>
                <w:tcPr>
                  <w:tcW w:w="1411" w:type="dxa"/>
                  <w:tcBorders>
                    <w:tl2br w:val="nil"/>
                    <w:tr2bl w:val="nil"/>
                  </w:tcBorders>
                  <w:vAlign w:val="center"/>
                </w:tcPr>
                <w:p w14:paraId="6AE445FB">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50</w:t>
                  </w:r>
                </w:p>
              </w:tc>
              <w:tc>
                <w:tcPr>
                  <w:tcW w:w="1354" w:type="dxa"/>
                  <w:tcBorders>
                    <w:right w:val="single" w:color="auto" w:sz="4" w:space="0"/>
                    <w:tl2br w:val="nil"/>
                    <w:tr2bl w:val="nil"/>
                  </w:tcBorders>
                  <w:vAlign w:val="center"/>
                </w:tcPr>
                <w:p w14:paraId="525D8FF7">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100</w:t>
                  </w:r>
                </w:p>
              </w:tc>
              <w:tc>
                <w:tcPr>
                  <w:tcW w:w="1052" w:type="dxa"/>
                  <w:tcBorders>
                    <w:left w:val="single" w:color="auto" w:sz="4" w:space="0"/>
                    <w:tl2br w:val="nil"/>
                    <w:tr2bl w:val="nil"/>
                  </w:tcBorders>
                  <w:vAlign w:val="center"/>
                </w:tcPr>
                <w:p w14:paraId="6A68D237">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100</w:t>
                  </w:r>
                </w:p>
              </w:tc>
              <w:tc>
                <w:tcPr>
                  <w:tcW w:w="2248" w:type="dxa"/>
                  <w:vMerge w:val="continue"/>
                  <w:tcBorders>
                    <w:tl2br w:val="nil"/>
                    <w:tr2bl w:val="nil"/>
                  </w:tcBorders>
                  <w:vAlign w:val="center"/>
                </w:tcPr>
                <w:p w14:paraId="52557FDD">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59CC79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67" w:type="dxa"/>
                  <w:tcBorders>
                    <w:tl2br w:val="nil"/>
                    <w:tr2bl w:val="nil"/>
                  </w:tcBorders>
                  <w:vAlign w:val="center"/>
                </w:tcPr>
                <w:p w14:paraId="561042E9">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铅</w:t>
                  </w:r>
                </w:p>
              </w:tc>
              <w:tc>
                <w:tcPr>
                  <w:tcW w:w="989" w:type="dxa"/>
                  <w:tcBorders>
                    <w:tl2br w:val="nil"/>
                    <w:tr2bl w:val="nil"/>
                  </w:tcBorders>
                  <w:vAlign w:val="center"/>
                </w:tcPr>
                <w:p w14:paraId="48E3D603">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70</w:t>
                  </w:r>
                </w:p>
              </w:tc>
              <w:tc>
                <w:tcPr>
                  <w:tcW w:w="1411" w:type="dxa"/>
                  <w:tcBorders>
                    <w:tl2br w:val="nil"/>
                    <w:tr2bl w:val="nil"/>
                  </w:tcBorders>
                  <w:vAlign w:val="center"/>
                </w:tcPr>
                <w:p w14:paraId="6796041C">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90</w:t>
                  </w:r>
                </w:p>
              </w:tc>
              <w:tc>
                <w:tcPr>
                  <w:tcW w:w="1354" w:type="dxa"/>
                  <w:tcBorders>
                    <w:right w:val="single" w:color="auto" w:sz="4" w:space="0"/>
                    <w:tl2br w:val="nil"/>
                    <w:tr2bl w:val="nil"/>
                  </w:tcBorders>
                  <w:vAlign w:val="center"/>
                </w:tcPr>
                <w:p w14:paraId="012889E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120</w:t>
                  </w:r>
                </w:p>
              </w:tc>
              <w:tc>
                <w:tcPr>
                  <w:tcW w:w="1052" w:type="dxa"/>
                  <w:tcBorders>
                    <w:left w:val="single" w:color="auto" w:sz="4" w:space="0"/>
                    <w:tl2br w:val="nil"/>
                    <w:tr2bl w:val="nil"/>
                  </w:tcBorders>
                  <w:vAlign w:val="center"/>
                </w:tcPr>
                <w:p w14:paraId="0B3F33B2">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170</w:t>
                  </w:r>
                </w:p>
              </w:tc>
              <w:tc>
                <w:tcPr>
                  <w:tcW w:w="2248" w:type="dxa"/>
                  <w:vMerge w:val="continue"/>
                  <w:tcBorders>
                    <w:tl2br w:val="nil"/>
                    <w:tr2bl w:val="nil"/>
                  </w:tcBorders>
                  <w:vAlign w:val="center"/>
                </w:tcPr>
                <w:p w14:paraId="12AEDFCD">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0B1DDB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67" w:type="dxa"/>
                  <w:tcBorders>
                    <w:tl2br w:val="nil"/>
                    <w:tr2bl w:val="nil"/>
                  </w:tcBorders>
                  <w:vAlign w:val="center"/>
                </w:tcPr>
                <w:p w14:paraId="146E4F02">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汞</w:t>
                  </w:r>
                </w:p>
              </w:tc>
              <w:tc>
                <w:tcPr>
                  <w:tcW w:w="989" w:type="dxa"/>
                  <w:tcBorders>
                    <w:tl2br w:val="nil"/>
                    <w:tr2bl w:val="nil"/>
                  </w:tcBorders>
                  <w:vAlign w:val="center"/>
                </w:tcPr>
                <w:p w14:paraId="66D9A9AF">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1.3</w:t>
                  </w:r>
                </w:p>
              </w:tc>
              <w:tc>
                <w:tcPr>
                  <w:tcW w:w="1411" w:type="dxa"/>
                  <w:tcBorders>
                    <w:tl2br w:val="nil"/>
                    <w:tr2bl w:val="nil"/>
                  </w:tcBorders>
                  <w:vAlign w:val="center"/>
                </w:tcPr>
                <w:p w14:paraId="474F93FD">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1.8</w:t>
                  </w:r>
                </w:p>
              </w:tc>
              <w:tc>
                <w:tcPr>
                  <w:tcW w:w="1354" w:type="dxa"/>
                  <w:tcBorders>
                    <w:right w:val="single" w:color="auto" w:sz="4" w:space="0"/>
                    <w:tl2br w:val="nil"/>
                    <w:tr2bl w:val="nil"/>
                  </w:tcBorders>
                  <w:vAlign w:val="center"/>
                </w:tcPr>
                <w:p w14:paraId="52ED1C96">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2.4</w:t>
                  </w:r>
                </w:p>
              </w:tc>
              <w:tc>
                <w:tcPr>
                  <w:tcW w:w="1052" w:type="dxa"/>
                  <w:tcBorders>
                    <w:left w:val="single" w:color="auto" w:sz="4" w:space="0"/>
                    <w:tl2br w:val="nil"/>
                    <w:tr2bl w:val="nil"/>
                  </w:tcBorders>
                  <w:vAlign w:val="center"/>
                </w:tcPr>
                <w:p w14:paraId="6D6E91DD">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3.4</w:t>
                  </w:r>
                </w:p>
              </w:tc>
              <w:tc>
                <w:tcPr>
                  <w:tcW w:w="2248" w:type="dxa"/>
                  <w:vMerge w:val="continue"/>
                  <w:tcBorders>
                    <w:tl2br w:val="nil"/>
                    <w:tr2bl w:val="nil"/>
                  </w:tcBorders>
                  <w:vAlign w:val="center"/>
                </w:tcPr>
                <w:p w14:paraId="45DEB04A">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30955D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67" w:type="dxa"/>
                  <w:tcBorders>
                    <w:tl2br w:val="nil"/>
                    <w:tr2bl w:val="nil"/>
                  </w:tcBorders>
                  <w:vAlign w:val="center"/>
                </w:tcPr>
                <w:p w14:paraId="136874B6">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镍</w:t>
                  </w:r>
                </w:p>
              </w:tc>
              <w:tc>
                <w:tcPr>
                  <w:tcW w:w="989" w:type="dxa"/>
                  <w:tcBorders>
                    <w:tl2br w:val="nil"/>
                    <w:tr2bl w:val="nil"/>
                  </w:tcBorders>
                  <w:vAlign w:val="center"/>
                </w:tcPr>
                <w:p w14:paraId="29522370">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60</w:t>
                  </w:r>
                </w:p>
              </w:tc>
              <w:tc>
                <w:tcPr>
                  <w:tcW w:w="1411" w:type="dxa"/>
                  <w:tcBorders>
                    <w:tl2br w:val="nil"/>
                    <w:tr2bl w:val="nil"/>
                  </w:tcBorders>
                  <w:vAlign w:val="center"/>
                </w:tcPr>
                <w:p w14:paraId="4F2657CD">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70</w:t>
                  </w:r>
                </w:p>
              </w:tc>
              <w:tc>
                <w:tcPr>
                  <w:tcW w:w="1354" w:type="dxa"/>
                  <w:tcBorders>
                    <w:right w:val="single" w:color="auto" w:sz="4" w:space="0"/>
                    <w:tl2br w:val="nil"/>
                    <w:tr2bl w:val="nil"/>
                  </w:tcBorders>
                  <w:vAlign w:val="center"/>
                </w:tcPr>
                <w:p w14:paraId="0D0344B1">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100</w:t>
                  </w:r>
                </w:p>
              </w:tc>
              <w:tc>
                <w:tcPr>
                  <w:tcW w:w="1052" w:type="dxa"/>
                  <w:tcBorders>
                    <w:left w:val="single" w:color="auto" w:sz="4" w:space="0"/>
                    <w:tl2br w:val="nil"/>
                    <w:tr2bl w:val="nil"/>
                  </w:tcBorders>
                  <w:vAlign w:val="center"/>
                </w:tcPr>
                <w:p w14:paraId="516EFF62">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190</w:t>
                  </w:r>
                </w:p>
              </w:tc>
              <w:tc>
                <w:tcPr>
                  <w:tcW w:w="2248" w:type="dxa"/>
                  <w:vMerge w:val="continue"/>
                  <w:tcBorders>
                    <w:tl2br w:val="nil"/>
                    <w:tr2bl w:val="nil"/>
                  </w:tcBorders>
                  <w:vAlign w:val="center"/>
                </w:tcPr>
                <w:p w14:paraId="2A483E93">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2249F9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jc w:val="center"/>
              </w:trPr>
              <w:tc>
                <w:tcPr>
                  <w:tcW w:w="767" w:type="dxa"/>
                  <w:tcBorders>
                    <w:tl2br w:val="nil"/>
                    <w:tr2bl w:val="nil"/>
                  </w:tcBorders>
                  <w:vAlign w:val="center"/>
                </w:tcPr>
                <w:p w14:paraId="6D2DF822">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锌</w:t>
                  </w:r>
                </w:p>
              </w:tc>
              <w:tc>
                <w:tcPr>
                  <w:tcW w:w="989" w:type="dxa"/>
                  <w:tcBorders>
                    <w:tl2br w:val="nil"/>
                    <w:tr2bl w:val="nil"/>
                  </w:tcBorders>
                  <w:vAlign w:val="center"/>
                </w:tcPr>
                <w:p w14:paraId="179532E1">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200</w:t>
                  </w:r>
                </w:p>
              </w:tc>
              <w:tc>
                <w:tcPr>
                  <w:tcW w:w="1411" w:type="dxa"/>
                  <w:tcBorders>
                    <w:tl2br w:val="nil"/>
                    <w:tr2bl w:val="nil"/>
                  </w:tcBorders>
                  <w:vAlign w:val="center"/>
                </w:tcPr>
                <w:p w14:paraId="51CDA566">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200</w:t>
                  </w:r>
                </w:p>
              </w:tc>
              <w:tc>
                <w:tcPr>
                  <w:tcW w:w="1354" w:type="dxa"/>
                  <w:tcBorders>
                    <w:right w:val="single" w:color="auto" w:sz="4" w:space="0"/>
                    <w:tl2br w:val="nil"/>
                    <w:tr2bl w:val="nil"/>
                  </w:tcBorders>
                  <w:vAlign w:val="center"/>
                </w:tcPr>
                <w:p w14:paraId="594F14B7">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250</w:t>
                  </w:r>
                </w:p>
              </w:tc>
              <w:tc>
                <w:tcPr>
                  <w:tcW w:w="1052" w:type="dxa"/>
                  <w:tcBorders>
                    <w:left w:val="single" w:color="auto" w:sz="4" w:space="0"/>
                    <w:tl2br w:val="nil"/>
                    <w:tr2bl w:val="nil"/>
                  </w:tcBorders>
                  <w:vAlign w:val="center"/>
                </w:tcPr>
                <w:p w14:paraId="49DAA871">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300</w:t>
                  </w:r>
                </w:p>
              </w:tc>
              <w:tc>
                <w:tcPr>
                  <w:tcW w:w="2248" w:type="dxa"/>
                  <w:vMerge w:val="continue"/>
                  <w:tcBorders>
                    <w:tl2br w:val="nil"/>
                    <w:tr2bl w:val="nil"/>
                  </w:tcBorders>
                  <w:vAlign w:val="center"/>
                </w:tcPr>
                <w:p w14:paraId="647CC97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r w14:paraId="402765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jc w:val="center"/>
              </w:trPr>
              <w:tc>
                <w:tcPr>
                  <w:tcW w:w="767" w:type="dxa"/>
                  <w:tcBorders>
                    <w:tl2br w:val="nil"/>
                    <w:tr2bl w:val="nil"/>
                  </w:tcBorders>
                  <w:vAlign w:val="center"/>
                </w:tcPr>
                <w:p w14:paraId="0AEDF0B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铬</w:t>
                  </w:r>
                </w:p>
              </w:tc>
              <w:tc>
                <w:tcPr>
                  <w:tcW w:w="989" w:type="dxa"/>
                  <w:tcBorders>
                    <w:tl2br w:val="nil"/>
                    <w:tr2bl w:val="nil"/>
                  </w:tcBorders>
                  <w:vAlign w:val="center"/>
                </w:tcPr>
                <w:p w14:paraId="65386BFA">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150</w:t>
                  </w:r>
                </w:p>
              </w:tc>
              <w:tc>
                <w:tcPr>
                  <w:tcW w:w="1411" w:type="dxa"/>
                  <w:tcBorders>
                    <w:tl2br w:val="nil"/>
                    <w:tr2bl w:val="nil"/>
                  </w:tcBorders>
                  <w:vAlign w:val="center"/>
                </w:tcPr>
                <w:p w14:paraId="40934B4F">
                  <w:pPr>
                    <w:adjustRightInd w:val="0"/>
                    <w:snapToGrid w:val="0"/>
                    <w:spacing w:before="24" w:beforeLines="10" w:after="24" w:afterLines="10" w:line="259" w:lineRule="auto"/>
                    <w:jc w:val="center"/>
                    <w:rPr>
                      <w:rFonts w:hint="default" w:ascii="Times New Roman" w:hAnsi="Times New Roman" w:cs="Times New Roman"/>
                      <w:b/>
                      <w:bCs/>
                      <w:color w:val="auto"/>
                      <w:kern w:val="0"/>
                      <w:szCs w:val="21"/>
                      <w:u w:val="single"/>
                    </w:rPr>
                  </w:pPr>
                  <w:r>
                    <w:rPr>
                      <w:rFonts w:hint="default" w:ascii="Times New Roman" w:hAnsi="Times New Roman" w:cs="Times New Roman"/>
                      <w:b/>
                      <w:bCs/>
                      <w:color w:val="auto"/>
                      <w:kern w:val="0"/>
                      <w:szCs w:val="21"/>
                      <w:u w:val="single"/>
                    </w:rPr>
                    <w:t>150</w:t>
                  </w:r>
                </w:p>
              </w:tc>
              <w:tc>
                <w:tcPr>
                  <w:tcW w:w="1354" w:type="dxa"/>
                  <w:tcBorders>
                    <w:right w:val="single" w:color="auto" w:sz="4" w:space="0"/>
                    <w:tl2br w:val="nil"/>
                    <w:tr2bl w:val="nil"/>
                  </w:tcBorders>
                  <w:vAlign w:val="center"/>
                </w:tcPr>
                <w:p w14:paraId="6DBCE858">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200</w:t>
                  </w:r>
                </w:p>
              </w:tc>
              <w:tc>
                <w:tcPr>
                  <w:tcW w:w="1052" w:type="dxa"/>
                  <w:tcBorders>
                    <w:left w:val="single" w:color="auto" w:sz="4" w:space="0"/>
                    <w:tl2br w:val="nil"/>
                    <w:tr2bl w:val="nil"/>
                  </w:tcBorders>
                  <w:vAlign w:val="center"/>
                </w:tcPr>
                <w:p w14:paraId="032A5F39">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200</w:t>
                  </w:r>
                </w:p>
              </w:tc>
              <w:tc>
                <w:tcPr>
                  <w:tcW w:w="2248" w:type="dxa"/>
                  <w:tcBorders>
                    <w:tl2br w:val="nil"/>
                    <w:tr2bl w:val="nil"/>
                  </w:tcBorders>
                  <w:vAlign w:val="center"/>
                </w:tcPr>
                <w:p w14:paraId="0B93CCE0">
                  <w:pPr>
                    <w:adjustRightInd w:val="0"/>
                    <w:snapToGrid w:val="0"/>
                    <w:spacing w:before="24" w:beforeLines="10" w:after="24" w:afterLines="10" w:line="259" w:lineRule="auto"/>
                    <w:jc w:val="center"/>
                    <w:rPr>
                      <w:rFonts w:hint="default" w:ascii="Times New Roman" w:hAnsi="Times New Roman" w:cs="Times New Roman"/>
                      <w:color w:val="auto"/>
                      <w:kern w:val="0"/>
                      <w:szCs w:val="21"/>
                      <w:u w:val="single"/>
                    </w:rPr>
                  </w:pPr>
                </w:p>
              </w:tc>
            </w:tr>
          </w:tbl>
          <w:p w14:paraId="42708BB7">
            <w:pPr>
              <w:adjustRightInd w:val="0"/>
              <w:snapToGrid w:val="0"/>
              <w:spacing w:line="360" w:lineRule="auto"/>
              <w:rPr>
                <w:rFonts w:hint="default" w:ascii="Times New Roman" w:hAnsi="Times New Roman" w:cs="Times New Roman"/>
                <w:color w:val="auto"/>
                <w:kern w:val="0"/>
                <w:sz w:val="24"/>
              </w:rPr>
            </w:pPr>
            <w:r>
              <w:rPr>
                <w:rFonts w:hint="default" w:ascii="Times New Roman" w:hAnsi="Times New Roman" w:cs="Times New Roman"/>
                <w:b/>
                <w:bCs/>
                <w:color w:val="auto"/>
                <w:kern w:val="0"/>
                <w:sz w:val="24"/>
              </w:rPr>
              <w:t>二、污染物排放标准</w:t>
            </w:r>
          </w:p>
          <w:p w14:paraId="72ACB56F">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1、废水</w:t>
            </w:r>
          </w:p>
          <w:p w14:paraId="5D965186">
            <w:pPr>
              <w:spacing w:line="360" w:lineRule="auto"/>
              <w:ind w:firstLine="480" w:firstLineChars="200"/>
              <w:rPr>
                <w:color w:val="auto"/>
                <w:sz w:val="24"/>
                <w:u w:val="single"/>
              </w:rPr>
            </w:pPr>
            <w:r>
              <w:rPr>
                <w:rFonts w:hint="default" w:ascii="Times New Roman" w:hAnsi="Times New Roman" w:cs="Times New Roman"/>
                <w:color w:val="auto"/>
                <w:sz w:val="24"/>
                <w:u w:val="single"/>
              </w:rPr>
              <w:t>施工期：施工人员均为附近居民，施工期不提供食宿，本项目不考虑生活污水排放，</w:t>
            </w:r>
            <w:r>
              <w:rPr>
                <w:rFonts w:hint="default" w:ascii="Times New Roman" w:hAnsi="Times New Roman" w:cs="Times New Roman"/>
                <w:color w:val="0000FF"/>
                <w:sz w:val="24"/>
                <w:u w:val="single"/>
              </w:rPr>
              <w:t>施工废水</w:t>
            </w:r>
            <w:r>
              <w:rPr>
                <w:rFonts w:hint="eastAsia" w:cs="Times New Roman"/>
                <w:color w:val="0000FF"/>
                <w:sz w:val="24"/>
                <w:u w:val="single"/>
                <w:lang w:val="en-US" w:eastAsia="zh-CN"/>
              </w:rPr>
              <w:t>主要为清淤淤泥储存时溢流的泥浆水，</w:t>
            </w:r>
            <w:r>
              <w:rPr>
                <w:color w:val="0000FF"/>
                <w:sz w:val="24"/>
                <w:u w:val="single"/>
              </w:rPr>
              <w:t>通过沉淀池</w:t>
            </w:r>
            <w:r>
              <w:rPr>
                <w:rFonts w:hint="eastAsia"/>
                <w:color w:val="0000FF"/>
                <w:sz w:val="24"/>
                <w:u w:val="single"/>
                <w:lang w:val="en-US" w:eastAsia="zh-CN"/>
              </w:rPr>
              <w:t>沉淀</w:t>
            </w:r>
            <w:r>
              <w:rPr>
                <w:color w:val="0000FF"/>
                <w:sz w:val="24"/>
                <w:u w:val="single"/>
              </w:rPr>
              <w:t>处理后</w:t>
            </w:r>
            <w:r>
              <w:rPr>
                <w:rFonts w:hint="eastAsia"/>
                <w:bCs/>
                <w:color w:val="0000FF"/>
                <w:sz w:val="24"/>
                <w:u w:val="single"/>
              </w:rPr>
              <w:t>回排至池塘内。</w:t>
            </w:r>
          </w:p>
          <w:p w14:paraId="6D075395">
            <w:pPr>
              <w:spacing w:line="360" w:lineRule="auto"/>
              <w:ind w:firstLine="480" w:firstLineChars="200"/>
              <w:rPr>
                <w:rFonts w:hint="default" w:ascii="Times New Roman" w:hAnsi="Times New Roman" w:cs="Times New Roman"/>
                <w:color w:val="0000FF"/>
                <w:sz w:val="24"/>
                <w:u w:val="single"/>
              </w:rPr>
            </w:pPr>
            <w:r>
              <w:rPr>
                <w:rFonts w:hint="default" w:ascii="Times New Roman" w:hAnsi="Times New Roman" w:cs="Times New Roman"/>
                <w:color w:val="0000FF"/>
                <w:sz w:val="24"/>
                <w:u w:val="single"/>
              </w:rPr>
              <w:t>运营期：人员生活污水经过化粪池处理后</w:t>
            </w:r>
            <w:r>
              <w:rPr>
                <w:rFonts w:hint="default" w:ascii="Times New Roman" w:hAnsi="Times New Roman" w:cs="Times New Roman"/>
                <w:color w:val="0000FF"/>
                <w:kern w:val="0"/>
                <w:sz w:val="24"/>
                <w:u w:val="single"/>
                <w:lang w:bidi="ar"/>
              </w:rPr>
              <w:t>用于周边农田施肥，不外排。</w:t>
            </w:r>
            <w:r>
              <w:rPr>
                <w:rFonts w:hint="default" w:ascii="Times New Roman" w:hAnsi="Times New Roman" w:cs="Times New Roman"/>
                <w:color w:val="0000FF"/>
                <w:sz w:val="24"/>
                <w:u w:val="single"/>
              </w:rPr>
              <w:t>养殖废水包括马口鱼养殖黑水和马口鱼养殖尾水、观赏鱼养殖尾水，马口鱼养殖黑水经尾水塔+人工湿地处理满足《渔业水质标准》（GB11607-89)</w:t>
            </w:r>
            <w:r>
              <w:rPr>
                <w:rFonts w:hint="default" w:ascii="Times New Roman" w:hAnsi="Times New Roman" w:cs="Times New Roman"/>
                <w:color w:val="0000FF"/>
                <w:sz w:val="24"/>
                <w:u w:val="single"/>
                <w:lang w:eastAsia="zh-CN"/>
              </w:rPr>
              <w:t>（</w:t>
            </w:r>
            <w:r>
              <w:rPr>
                <w:rFonts w:hint="default" w:ascii="Times New Roman" w:hAnsi="Times New Roman" w:cs="Times New Roman"/>
                <w:color w:val="0000FF"/>
                <w:sz w:val="24"/>
                <w:u w:val="single"/>
                <w:lang w:val="en-US" w:eastAsia="zh-CN"/>
              </w:rPr>
              <w:t>BOD：5.0</w:t>
            </w:r>
            <w:r>
              <w:rPr>
                <w:rFonts w:hint="default" w:ascii="Times New Roman" w:hAnsi="Times New Roman" w:cs="Times New Roman"/>
                <w:color w:val="0000FF"/>
                <w:sz w:val="24"/>
                <w:u w:val="single"/>
              </w:rPr>
              <w:t>mg/L，</w:t>
            </w:r>
            <w:r>
              <w:rPr>
                <w:rFonts w:hint="default" w:ascii="Times New Roman" w:hAnsi="Times New Roman" w:cs="Times New Roman"/>
                <w:color w:val="0000FF"/>
                <w:sz w:val="24"/>
                <w:u w:val="single"/>
                <w:lang w:val="en-US" w:eastAsia="zh-CN"/>
              </w:rPr>
              <w:t>总大肠菌群：</w:t>
            </w:r>
            <w:r>
              <w:rPr>
                <w:rFonts w:hint="default" w:ascii="Times New Roman" w:hAnsi="Times New Roman" w:cs="Times New Roman"/>
                <w:color w:val="0000FF"/>
                <w:sz w:val="24"/>
                <w:u w:val="single"/>
              </w:rPr>
              <w:t>5000个/L</w:t>
            </w:r>
            <w:r>
              <w:rPr>
                <w:rFonts w:hint="default" w:ascii="Times New Roman" w:hAnsi="Times New Roman" w:cs="Times New Roman"/>
                <w:color w:val="0000FF"/>
                <w:sz w:val="24"/>
                <w:u w:val="single"/>
                <w:lang w:eastAsia="zh-CN"/>
              </w:rPr>
              <w:t>）</w:t>
            </w:r>
            <w:r>
              <w:rPr>
                <w:rFonts w:hint="default" w:ascii="Times New Roman" w:hAnsi="Times New Roman" w:cs="Times New Roman"/>
                <w:color w:val="0000FF"/>
                <w:sz w:val="24"/>
                <w:u w:val="single"/>
              </w:rPr>
              <w:t>限值要求后回用到养殖水域。后续抽出的其他养殖尾水（包括观赏鱼养殖桶全部养殖水）直接进入人工湿地处理满足《渔业水质标准》（GB11607-89)</w:t>
            </w:r>
            <w:r>
              <w:rPr>
                <w:rFonts w:hint="default" w:ascii="Times New Roman" w:hAnsi="Times New Roman" w:cs="Times New Roman"/>
                <w:color w:val="0000FF"/>
                <w:sz w:val="24"/>
                <w:u w:val="single"/>
                <w:lang w:eastAsia="zh-CN"/>
              </w:rPr>
              <w:t>（</w:t>
            </w:r>
            <w:r>
              <w:rPr>
                <w:rFonts w:hint="default" w:ascii="Times New Roman" w:hAnsi="Times New Roman" w:cs="Times New Roman"/>
                <w:color w:val="0000FF"/>
                <w:sz w:val="24"/>
                <w:u w:val="single"/>
                <w:lang w:val="en-US" w:eastAsia="zh-CN"/>
              </w:rPr>
              <w:t>BOD：5.0</w:t>
            </w:r>
            <w:r>
              <w:rPr>
                <w:rFonts w:hint="default" w:ascii="Times New Roman" w:hAnsi="Times New Roman" w:cs="Times New Roman"/>
                <w:color w:val="0000FF"/>
                <w:sz w:val="24"/>
                <w:u w:val="single"/>
              </w:rPr>
              <w:t>mg/L，</w:t>
            </w:r>
            <w:r>
              <w:rPr>
                <w:rFonts w:hint="default" w:ascii="Times New Roman" w:hAnsi="Times New Roman" w:cs="Times New Roman"/>
                <w:color w:val="0000FF"/>
                <w:sz w:val="24"/>
                <w:u w:val="single"/>
                <w:lang w:val="en-US" w:eastAsia="zh-CN"/>
              </w:rPr>
              <w:t>总大肠菌群：</w:t>
            </w:r>
            <w:r>
              <w:rPr>
                <w:rFonts w:hint="default" w:ascii="Times New Roman" w:hAnsi="Times New Roman" w:cs="Times New Roman"/>
                <w:color w:val="0000FF"/>
                <w:sz w:val="24"/>
                <w:u w:val="single"/>
              </w:rPr>
              <w:t>5000个/L</w:t>
            </w:r>
            <w:r>
              <w:rPr>
                <w:rFonts w:hint="default" w:ascii="Times New Roman" w:hAnsi="Times New Roman" w:cs="Times New Roman"/>
                <w:color w:val="0000FF"/>
                <w:sz w:val="24"/>
                <w:u w:val="single"/>
                <w:lang w:eastAsia="zh-CN"/>
              </w:rPr>
              <w:t>）</w:t>
            </w:r>
            <w:r>
              <w:rPr>
                <w:rFonts w:hint="default" w:ascii="Times New Roman" w:hAnsi="Times New Roman" w:cs="Times New Roman"/>
                <w:color w:val="0000FF"/>
                <w:sz w:val="24"/>
                <w:u w:val="single"/>
              </w:rPr>
              <w:t>限值要求后回用到养殖水域。</w:t>
            </w:r>
          </w:p>
          <w:p w14:paraId="4D1E7AF5">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2、废气</w:t>
            </w:r>
          </w:p>
          <w:p w14:paraId="255FDE59">
            <w:pPr>
              <w:spacing w:line="360" w:lineRule="auto"/>
              <w:ind w:firstLine="480"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施工期废气排放执行《大气污染物综合排放标准》(GB16297-1996)表2中的一级标准</w:t>
            </w:r>
            <w:r>
              <w:rPr>
                <w:rFonts w:hint="default" w:ascii="Times New Roman" w:hAnsi="Times New Roman" w:cs="Times New Roman"/>
                <w:color w:val="0000FF"/>
                <w:sz w:val="24"/>
                <w:lang w:eastAsia="zh-CN"/>
              </w:rPr>
              <w:t>（</w:t>
            </w:r>
            <w:r>
              <w:rPr>
                <w:rFonts w:hint="default" w:ascii="Times New Roman" w:hAnsi="Times New Roman" w:cs="Times New Roman"/>
                <w:color w:val="0000FF"/>
                <w:sz w:val="24"/>
                <w:lang w:val="en-US" w:eastAsia="zh-CN"/>
              </w:rPr>
              <w:t>颗粒物1.0mg/m</w:t>
            </w:r>
            <w:r>
              <w:rPr>
                <w:rFonts w:hint="default" w:ascii="Times New Roman" w:hAnsi="Times New Roman" w:cs="Times New Roman"/>
                <w:color w:val="0000FF"/>
                <w:sz w:val="24"/>
                <w:vertAlign w:val="superscript"/>
                <w:lang w:val="en-US" w:eastAsia="zh-CN"/>
              </w:rPr>
              <w:t>3</w:t>
            </w:r>
            <w:r>
              <w:rPr>
                <w:rFonts w:hint="default" w:ascii="Times New Roman" w:hAnsi="Times New Roman" w:cs="Times New Roman"/>
                <w:color w:val="0000FF"/>
                <w:sz w:val="24"/>
                <w:lang w:eastAsia="zh-CN"/>
              </w:rPr>
              <w:t>）</w:t>
            </w:r>
            <w:r>
              <w:rPr>
                <w:rFonts w:hint="default" w:ascii="Times New Roman" w:hAnsi="Times New Roman" w:cs="Times New Roman"/>
                <w:color w:val="0000FF"/>
                <w:sz w:val="24"/>
              </w:rPr>
              <w:t>。</w:t>
            </w:r>
          </w:p>
          <w:p w14:paraId="69E1D1E6">
            <w:pPr>
              <w:adjustRightInd w:val="0"/>
              <w:snapToGrid w:val="0"/>
              <w:spacing w:line="360" w:lineRule="auto"/>
              <w:ind w:firstLine="480" w:firstLineChars="200"/>
              <w:rPr>
                <w:rFonts w:hint="default" w:ascii="Times New Roman" w:hAnsi="Times New Roman" w:cs="Times New Roman"/>
                <w:color w:val="0000FF"/>
                <w:sz w:val="24"/>
                <w:szCs w:val="24"/>
                <w:u w:val="none"/>
              </w:rPr>
            </w:pPr>
            <w:r>
              <w:rPr>
                <w:rFonts w:hint="default" w:ascii="Times New Roman" w:hAnsi="Times New Roman" w:cs="Times New Roman"/>
                <w:color w:val="0000FF"/>
                <w:sz w:val="24"/>
                <w:szCs w:val="24"/>
                <w:u w:val="none"/>
              </w:rPr>
              <w:t>运营期产生恶臭气体执行《恶臭污染物排放标准》</w:t>
            </w:r>
            <w:r>
              <w:rPr>
                <w:rFonts w:hint="default" w:ascii="Times New Roman" w:hAnsi="Times New Roman" w:eastAsia="TimesNewRomanPSMT" w:cs="Times New Roman"/>
                <w:color w:val="0000FF"/>
                <w:sz w:val="24"/>
                <w:szCs w:val="24"/>
                <w:u w:val="none"/>
              </w:rPr>
              <w:t>(GB14554-1993</w:t>
            </w:r>
            <w:r>
              <w:rPr>
                <w:rFonts w:hint="default" w:ascii="Times New Roman" w:hAnsi="Times New Roman" w:cs="Times New Roman"/>
                <w:color w:val="0000FF"/>
                <w:sz w:val="24"/>
                <w:szCs w:val="24"/>
                <w:u w:val="none"/>
              </w:rPr>
              <w:t>）标准要求</w:t>
            </w:r>
            <w:r>
              <w:rPr>
                <w:rFonts w:hint="eastAsia" w:eastAsia="宋体"/>
                <w:color w:val="0000FF"/>
                <w:sz w:val="24"/>
                <w:szCs w:val="24"/>
                <w:u w:val="none"/>
                <w:lang w:eastAsia="zh-CN"/>
              </w:rPr>
              <w:t>（</w:t>
            </w:r>
            <w:r>
              <w:rPr>
                <w:rFonts w:hint="eastAsia" w:ascii="Times New Roman" w:eastAsia="宋体"/>
                <w:color w:val="0000FF"/>
                <w:sz w:val="24"/>
                <w:szCs w:val="24"/>
                <w:u w:val="none"/>
                <w:lang w:val="en-US" w:eastAsia="zh-CN"/>
              </w:rPr>
              <w:t>臭气浓度20；硫化氢0.06mg/m</w:t>
            </w:r>
            <w:r>
              <w:rPr>
                <w:rFonts w:hint="eastAsia" w:ascii="Times New Roman" w:eastAsia="宋体"/>
                <w:color w:val="0000FF"/>
                <w:sz w:val="24"/>
                <w:szCs w:val="24"/>
                <w:u w:val="none"/>
                <w:vertAlign w:val="superscript"/>
                <w:lang w:val="en-US" w:eastAsia="zh-CN"/>
              </w:rPr>
              <w:t>3</w:t>
            </w:r>
            <w:r>
              <w:rPr>
                <w:rFonts w:hint="eastAsia" w:ascii="Times New Roman" w:eastAsia="宋体"/>
                <w:color w:val="0000FF"/>
                <w:sz w:val="24"/>
                <w:szCs w:val="24"/>
                <w:u w:val="none"/>
                <w:vertAlign w:val="baseline"/>
                <w:lang w:val="en-US" w:eastAsia="zh-CN"/>
              </w:rPr>
              <w:t>，氨1.5</w:t>
            </w:r>
            <w:r>
              <w:rPr>
                <w:rFonts w:hint="eastAsia" w:ascii="Times New Roman" w:eastAsia="宋体"/>
                <w:color w:val="0000FF"/>
                <w:sz w:val="24"/>
                <w:szCs w:val="24"/>
                <w:u w:val="none"/>
                <w:lang w:val="en-US" w:eastAsia="zh-CN"/>
              </w:rPr>
              <w:t>mg/m</w:t>
            </w:r>
            <w:r>
              <w:rPr>
                <w:rFonts w:hint="eastAsia" w:ascii="Times New Roman" w:eastAsia="宋体"/>
                <w:color w:val="0000FF"/>
                <w:sz w:val="24"/>
                <w:szCs w:val="24"/>
                <w:u w:val="none"/>
                <w:vertAlign w:val="superscript"/>
                <w:lang w:val="en-US" w:eastAsia="zh-CN"/>
              </w:rPr>
              <w:t>3</w:t>
            </w:r>
            <w:r>
              <w:rPr>
                <w:rFonts w:hint="eastAsia" w:eastAsia="宋体"/>
                <w:color w:val="0000FF"/>
                <w:sz w:val="24"/>
                <w:szCs w:val="24"/>
                <w:u w:val="none"/>
                <w:lang w:eastAsia="zh-CN"/>
              </w:rPr>
              <w:t>）</w:t>
            </w:r>
            <w:r>
              <w:rPr>
                <w:rFonts w:hint="default" w:ascii="Times New Roman" w:hAnsi="Times New Roman" w:cs="Times New Roman"/>
                <w:color w:val="0000FF"/>
                <w:sz w:val="24"/>
                <w:szCs w:val="24"/>
                <w:u w:val="none"/>
              </w:rPr>
              <w:t>。柴油发电机废气执行《大气污染物综合排放标准》表2中无组织排放限值排放</w:t>
            </w:r>
            <w:r>
              <w:rPr>
                <w:rFonts w:hint="eastAsia" w:eastAsia="宋体"/>
                <w:color w:val="0000FF"/>
                <w:sz w:val="24"/>
                <w:szCs w:val="24"/>
                <w:u w:val="none"/>
                <w:lang w:eastAsia="zh-CN"/>
              </w:rPr>
              <w:t>（</w:t>
            </w:r>
            <w:r>
              <w:rPr>
                <w:rFonts w:hint="eastAsia" w:ascii="Times New Roman" w:eastAsia="宋体"/>
                <w:color w:val="0000FF"/>
                <w:sz w:val="24"/>
                <w:szCs w:val="24"/>
                <w:u w:val="none"/>
                <w:lang w:val="en-US" w:eastAsia="zh-CN"/>
              </w:rPr>
              <w:t>SO</w:t>
            </w:r>
            <w:r>
              <w:rPr>
                <w:rFonts w:hint="eastAsia" w:ascii="Times New Roman" w:eastAsia="宋体"/>
                <w:color w:val="0000FF"/>
                <w:sz w:val="24"/>
                <w:szCs w:val="24"/>
                <w:u w:val="none"/>
                <w:vertAlign w:val="subscript"/>
                <w:lang w:val="en-US" w:eastAsia="zh-CN"/>
              </w:rPr>
              <w:t>2</w:t>
            </w:r>
            <w:r>
              <w:rPr>
                <w:rFonts w:hint="eastAsia" w:ascii="Times New Roman" w:eastAsia="宋体"/>
                <w:color w:val="0000FF"/>
                <w:sz w:val="24"/>
                <w:szCs w:val="24"/>
                <w:u w:val="none"/>
                <w:lang w:val="en-US" w:eastAsia="zh-CN"/>
              </w:rPr>
              <w:t>：0.5mg/m</w:t>
            </w:r>
            <w:r>
              <w:rPr>
                <w:rFonts w:hint="eastAsia" w:ascii="Times New Roman" w:eastAsia="宋体"/>
                <w:color w:val="0000FF"/>
                <w:sz w:val="24"/>
                <w:szCs w:val="24"/>
                <w:u w:val="none"/>
                <w:vertAlign w:val="superscript"/>
                <w:lang w:val="en-US" w:eastAsia="zh-CN"/>
              </w:rPr>
              <w:t>3</w:t>
            </w:r>
            <w:r>
              <w:rPr>
                <w:rFonts w:hint="eastAsia" w:ascii="Times New Roman" w:eastAsia="宋体"/>
                <w:color w:val="0000FF"/>
                <w:sz w:val="24"/>
                <w:szCs w:val="24"/>
                <w:u w:val="none"/>
                <w:vertAlign w:val="baseline"/>
                <w:lang w:val="en-US" w:eastAsia="zh-CN"/>
              </w:rPr>
              <w:t>，NO</w:t>
            </w:r>
            <w:r>
              <w:rPr>
                <w:rFonts w:hint="eastAsia" w:ascii="Times New Roman" w:eastAsia="宋体"/>
                <w:color w:val="0000FF"/>
                <w:sz w:val="24"/>
                <w:szCs w:val="24"/>
                <w:u w:val="none"/>
                <w:vertAlign w:val="subscript"/>
                <w:lang w:val="en-US" w:eastAsia="zh-CN"/>
              </w:rPr>
              <w:t>X</w:t>
            </w:r>
            <w:r>
              <w:rPr>
                <w:rFonts w:hint="eastAsia" w:ascii="Times New Roman" w:eastAsia="宋体"/>
                <w:color w:val="0000FF"/>
                <w:sz w:val="24"/>
                <w:szCs w:val="24"/>
                <w:u w:val="none"/>
                <w:vertAlign w:val="baseline"/>
                <w:lang w:val="en-US" w:eastAsia="zh-CN"/>
              </w:rPr>
              <w:t>：</w:t>
            </w:r>
            <w:r>
              <w:rPr>
                <w:rFonts w:hint="eastAsia" w:ascii="Times New Roman" w:eastAsia="宋体"/>
                <w:color w:val="0000FF"/>
                <w:sz w:val="24"/>
                <w:szCs w:val="24"/>
                <w:u w:val="none"/>
                <w:lang w:val="en-US" w:eastAsia="zh-CN"/>
              </w:rPr>
              <w:t>0.15mg/m</w:t>
            </w:r>
            <w:r>
              <w:rPr>
                <w:rFonts w:hint="eastAsia" w:ascii="Times New Roman" w:eastAsia="宋体"/>
                <w:color w:val="0000FF"/>
                <w:sz w:val="24"/>
                <w:szCs w:val="24"/>
                <w:u w:val="none"/>
                <w:vertAlign w:val="superscript"/>
                <w:lang w:val="en-US" w:eastAsia="zh-CN"/>
              </w:rPr>
              <w:t>3</w:t>
            </w:r>
            <w:r>
              <w:rPr>
                <w:rFonts w:hint="eastAsia" w:eastAsia="宋体"/>
                <w:color w:val="0000FF"/>
                <w:sz w:val="24"/>
                <w:szCs w:val="24"/>
                <w:u w:val="none"/>
                <w:lang w:eastAsia="zh-CN"/>
              </w:rPr>
              <w:t>）</w:t>
            </w:r>
            <w:r>
              <w:rPr>
                <w:rFonts w:hint="default" w:ascii="Times New Roman" w:hAnsi="Times New Roman" w:cs="Times New Roman"/>
                <w:color w:val="0000FF"/>
                <w:sz w:val="24"/>
                <w:szCs w:val="24"/>
                <w:u w:val="none"/>
              </w:rPr>
              <w:t>。</w:t>
            </w:r>
          </w:p>
          <w:p w14:paraId="173E4F08">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3、噪声</w:t>
            </w:r>
          </w:p>
          <w:p w14:paraId="4C6A9DA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施工期噪声执行《建筑施工场界环境噪声排放标准》（GB12523-2011）（昼间70dB（A）、夜间55dB（A））。</w:t>
            </w:r>
          </w:p>
          <w:p w14:paraId="312EEEE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运营期噪声执行《工业企业厂界环境噪声排放标准》（GB12348-2008）中的1类标准（昼间55dB（A）、夜间45dB（A））。</w:t>
            </w:r>
          </w:p>
          <w:p w14:paraId="708FE896">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w:t>
            </w:r>
          </w:p>
          <w:p w14:paraId="5BDAA612">
            <w:pPr>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一般固废处理处置执行《一般工业固体废物贮存和填埋污染控制标准》（GB18599-2020）。</w:t>
            </w:r>
          </w:p>
        </w:tc>
      </w:tr>
      <w:tr w14:paraId="12E1E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5" w:type="dxa"/>
            <w:vAlign w:val="center"/>
          </w:tcPr>
          <w:p w14:paraId="2613B245">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其他</w:t>
            </w:r>
          </w:p>
        </w:tc>
        <w:tc>
          <w:tcPr>
            <w:tcW w:w="8067" w:type="dxa"/>
            <w:vAlign w:val="center"/>
          </w:tcPr>
          <w:p w14:paraId="5CAAD582">
            <w:pPr>
              <w:wordWrap w:val="0"/>
              <w:adjustRightInd w:val="0"/>
              <w:snapToGrid w:val="0"/>
              <w:spacing w:line="360" w:lineRule="auto"/>
              <w:ind w:firstLine="480" w:firstLineChars="200"/>
              <w:jc w:val="left"/>
              <w:rPr>
                <w:snapToGrid w:val="0"/>
                <w:color w:val="auto"/>
                <w:kern w:val="0"/>
                <w:sz w:val="24"/>
              </w:rPr>
            </w:pPr>
            <w:r>
              <w:rPr>
                <w:snapToGrid w:val="0"/>
                <w:color w:val="auto"/>
                <w:kern w:val="0"/>
                <w:sz w:val="24"/>
              </w:rPr>
              <w:t>根据《湖南省主要污染物排污权有偿使用和交易实施细则》</w:t>
            </w:r>
            <w:r>
              <w:rPr>
                <w:rFonts w:hint="eastAsia"/>
                <w:snapToGrid w:val="0"/>
                <w:color w:val="auto"/>
                <w:kern w:val="0"/>
                <w:sz w:val="24"/>
              </w:rPr>
              <w:t>（湘政办发〔2022〕23号）规定</w:t>
            </w:r>
            <w:r>
              <w:rPr>
                <w:snapToGrid w:val="0"/>
                <w:color w:val="auto"/>
                <w:kern w:val="0"/>
                <w:sz w:val="24"/>
              </w:rPr>
              <w:t>，</w:t>
            </w:r>
            <w:r>
              <w:rPr>
                <w:rFonts w:hint="eastAsia"/>
                <w:snapToGrid w:val="0"/>
                <w:color w:val="auto"/>
                <w:kern w:val="0"/>
                <w:sz w:val="24"/>
              </w:rPr>
              <w:t>目</w:t>
            </w:r>
            <w:r>
              <w:rPr>
                <w:snapToGrid w:val="0"/>
                <w:color w:val="auto"/>
                <w:kern w:val="0"/>
                <w:sz w:val="24"/>
              </w:rPr>
              <w:t>前湖南省涉及排污权交易的主要污染物有化学需氧量、氨氮、二氧化硫、氮氧化物、挥发性有机物、总磷、铅、镉、砷、汞、铬十一类污染物。在项目取得排污许可证后按照收费标准缴纳有偿使用费，综合考虑工程项目的工艺特征和排污特点，并结合项目周围环境状况来确定本项目总量控制因子。</w:t>
            </w:r>
          </w:p>
          <w:p w14:paraId="20CDD144">
            <w:pPr>
              <w:pStyle w:val="9"/>
              <w:widowControl w:val="0"/>
              <w:autoSpaceDE w:val="0"/>
              <w:autoSpaceDN w:val="0"/>
              <w:snapToGrid/>
              <w:spacing w:before="0" w:after="0" w:line="360" w:lineRule="auto"/>
              <w:ind w:right="0" w:firstLine="480" w:firstLineChars="200"/>
              <w:rPr>
                <w:rFonts w:hint="eastAsia" w:ascii="宋体" w:hAnsi="宋体" w:cs="宋体"/>
                <w:color w:val="auto"/>
                <w:szCs w:val="21"/>
              </w:rPr>
            </w:pPr>
            <w:r>
              <w:rPr>
                <w:rFonts w:hint="eastAsia"/>
                <w:color w:val="auto"/>
                <w:kern w:val="2"/>
                <w:sz w:val="24"/>
                <w:szCs w:val="24"/>
              </w:rPr>
              <w:t>本项目养殖黑水、</w:t>
            </w:r>
            <w:r>
              <w:rPr>
                <w:color w:val="auto"/>
                <w:kern w:val="2"/>
                <w:sz w:val="24"/>
                <w:szCs w:val="24"/>
              </w:rPr>
              <w:t>养殖</w:t>
            </w:r>
            <w:r>
              <w:rPr>
                <w:rFonts w:hint="eastAsia"/>
                <w:color w:val="auto"/>
                <w:kern w:val="2"/>
                <w:sz w:val="24"/>
                <w:szCs w:val="24"/>
              </w:rPr>
              <w:t>尾</w:t>
            </w:r>
            <w:r>
              <w:rPr>
                <w:color w:val="auto"/>
                <w:kern w:val="2"/>
                <w:sz w:val="24"/>
                <w:szCs w:val="24"/>
              </w:rPr>
              <w:t>水</w:t>
            </w:r>
            <w:r>
              <w:rPr>
                <w:rFonts w:hint="eastAsia" w:ascii="宋体" w:hAnsi="宋体" w:cs="宋体"/>
                <w:color w:val="auto"/>
                <w:sz w:val="24"/>
                <w:szCs w:val="24"/>
                <w:lang w:bidi="ar"/>
              </w:rPr>
              <w:t>经处理达到</w:t>
            </w:r>
            <w:r>
              <w:rPr>
                <w:rFonts w:hint="eastAsia"/>
                <w:color w:val="auto"/>
                <w:sz w:val="24"/>
                <w:szCs w:val="24"/>
              </w:rPr>
              <w:t>《渔业水质标准》（GB11607-89）</w:t>
            </w:r>
            <w:r>
              <w:rPr>
                <w:rFonts w:hint="eastAsia" w:ascii="宋体" w:hAnsi="宋体" w:cs="宋体"/>
                <w:color w:val="auto"/>
                <w:sz w:val="24"/>
                <w:szCs w:val="24"/>
              </w:rPr>
              <w:t>要求后全部回用，因此本项目不需设置总量控制指标</w:t>
            </w:r>
            <w:r>
              <w:rPr>
                <w:color w:val="auto"/>
                <w:sz w:val="24"/>
              </w:rPr>
              <w:t>。</w:t>
            </w:r>
          </w:p>
        </w:tc>
      </w:tr>
    </w:tbl>
    <w:p w14:paraId="004A3389">
      <w:pPr>
        <w:pStyle w:val="23"/>
        <w:jc w:val="center"/>
        <w:outlineLvl w:val="0"/>
        <w:rPr>
          <w:rFonts w:hint="eastAsia" w:ascii="黑体" w:hAnsi="黑体" w:eastAsia="黑体"/>
          <w:snapToGrid w:val="0"/>
          <w:color w:val="auto"/>
          <w:sz w:val="30"/>
          <w:szCs w:val="30"/>
        </w:rPr>
      </w:pPr>
      <w:r>
        <w:rPr>
          <w:rFonts w:ascii="黑体" w:hAnsi="黑体" w:eastAsia="黑体"/>
          <w:snapToGrid w:val="0"/>
          <w:color w:val="auto"/>
          <w:kern w:val="2"/>
          <w:sz w:val="36"/>
          <w:szCs w:val="36"/>
        </w:rPr>
        <w:br w:type="page"/>
      </w:r>
      <w:bookmarkStart w:id="25" w:name="_Toc12741"/>
      <w:bookmarkStart w:id="26" w:name="_Toc19308"/>
      <w:bookmarkStart w:id="27" w:name="_Toc10018"/>
      <w:r>
        <w:rPr>
          <w:rFonts w:hint="eastAsia" w:ascii="黑体" w:hAnsi="黑体" w:eastAsia="黑体"/>
          <w:snapToGrid w:val="0"/>
          <w:color w:val="auto"/>
          <w:sz w:val="30"/>
          <w:szCs w:val="30"/>
        </w:rPr>
        <w:t>四、生态环境影响分析</w:t>
      </w:r>
      <w:bookmarkEnd w:id="25"/>
      <w:bookmarkEnd w:id="26"/>
      <w:bookmarkEnd w:id="27"/>
    </w:p>
    <w:tbl>
      <w:tblPr>
        <w:tblStyle w:val="27"/>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8"/>
        <w:gridCol w:w="8144"/>
      </w:tblGrid>
      <w:tr w14:paraId="40B0B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427" w:type="dxa"/>
            <w:tcMar>
              <w:left w:w="28" w:type="dxa"/>
              <w:right w:w="28" w:type="dxa"/>
            </w:tcMar>
            <w:vAlign w:val="center"/>
          </w:tcPr>
          <w:p w14:paraId="39A7CB89">
            <w:pPr>
              <w:pStyle w:val="23"/>
              <w:adjustRightInd w:val="0"/>
              <w:snapToGrid w:val="0"/>
              <w:spacing w:before="0" w:beforeAutospacing="0" w:after="0" w:afterAutospacing="0"/>
              <w:jc w:val="center"/>
              <w:rPr>
                <w:rFonts w:hint="eastAsia" w:cs="宋体"/>
                <w:bCs/>
                <w:color w:val="auto"/>
                <w:kern w:val="2"/>
                <w:sz w:val="21"/>
                <w:szCs w:val="21"/>
              </w:rPr>
            </w:pPr>
            <w:bookmarkStart w:id="28" w:name="_Hlk49796138"/>
            <w:r>
              <w:rPr>
                <w:rFonts w:hint="eastAsia" w:cs="宋体"/>
                <w:bCs/>
                <w:color w:val="auto"/>
                <w:spacing w:val="10"/>
                <w:kern w:val="2"/>
              </w:rPr>
              <w:t>施工期生态环境影响分析</w:t>
            </w:r>
            <w:bookmarkEnd w:id="28"/>
          </w:p>
        </w:tc>
        <w:tc>
          <w:tcPr>
            <w:tcW w:w="8015" w:type="dxa"/>
          </w:tcPr>
          <w:p w14:paraId="75382C85">
            <w:pPr>
              <w:spacing w:line="360" w:lineRule="auto"/>
              <w:ind w:firstLine="480" w:firstLineChars="200"/>
              <w:rPr>
                <w:color w:val="auto"/>
                <w:sz w:val="24"/>
              </w:rPr>
            </w:pPr>
            <w:bookmarkStart w:id="29" w:name="_Toc10296"/>
            <w:r>
              <w:rPr>
                <w:color w:val="auto"/>
                <w:kern w:val="0"/>
                <w:sz w:val="24"/>
                <w:lang w:bidi="ar"/>
              </w:rPr>
              <w:t>本项目施工期工程内容包括：道路</w:t>
            </w:r>
            <w:r>
              <w:rPr>
                <w:rFonts w:hint="eastAsia"/>
                <w:color w:val="auto"/>
                <w:kern w:val="0"/>
                <w:sz w:val="24"/>
                <w:lang w:bidi="ar"/>
              </w:rPr>
              <w:t>拆除、修复拓宽</w:t>
            </w:r>
            <w:r>
              <w:rPr>
                <w:color w:val="auto"/>
                <w:kern w:val="0"/>
                <w:sz w:val="24"/>
                <w:lang w:bidi="ar"/>
              </w:rPr>
              <w:t>、发电变电设备平台建设、池塘清淤工程以及圈养系统、电力系统、自动投料系统等设备的安装。</w:t>
            </w:r>
            <w:r>
              <w:rPr>
                <w:rFonts w:hint="eastAsia"/>
                <w:color w:val="auto"/>
                <w:kern w:val="0"/>
                <w:sz w:val="24"/>
                <w:lang w:bidi="ar"/>
              </w:rPr>
              <w:t>待施工期结束后，施工期各污染源消失，对周边环境影响为阶段性影响。本环评已编制生态专项评价，具体细节</w:t>
            </w:r>
            <w:r>
              <w:rPr>
                <w:rFonts w:hint="eastAsia"/>
                <w:color w:val="auto"/>
                <w:sz w:val="24"/>
              </w:rPr>
              <w:t>内容详见专项评价</w:t>
            </w:r>
            <w:bookmarkEnd w:id="29"/>
            <w:r>
              <w:rPr>
                <w:rFonts w:hint="eastAsia"/>
                <w:color w:val="auto"/>
                <w:sz w:val="24"/>
              </w:rPr>
              <w:t>（P88）。</w:t>
            </w:r>
          </w:p>
          <w:p w14:paraId="0710EC2C">
            <w:pPr>
              <w:spacing w:line="360" w:lineRule="auto"/>
              <w:rPr>
                <w:b/>
                <w:bCs/>
                <w:color w:val="auto"/>
                <w:sz w:val="24"/>
              </w:rPr>
            </w:pPr>
            <w:r>
              <w:rPr>
                <w:rFonts w:hint="eastAsia"/>
                <w:b/>
                <w:bCs/>
                <w:color w:val="auto"/>
                <w:sz w:val="24"/>
              </w:rPr>
              <w:t>一、施工期生态环境影响分析</w:t>
            </w:r>
          </w:p>
          <w:p w14:paraId="2F40FF38">
            <w:pPr>
              <w:spacing w:line="360" w:lineRule="auto"/>
              <w:ind w:firstLine="482" w:firstLineChars="200"/>
              <w:rPr>
                <w:b/>
                <w:bCs/>
                <w:color w:val="auto"/>
                <w:sz w:val="24"/>
              </w:rPr>
            </w:pPr>
            <w:r>
              <w:rPr>
                <w:rFonts w:hint="eastAsia"/>
                <w:b/>
                <w:bCs/>
                <w:color w:val="auto"/>
                <w:sz w:val="24"/>
              </w:rPr>
              <w:t>1、陆生生态影响分析</w:t>
            </w:r>
          </w:p>
          <w:p w14:paraId="6B8BD9C3">
            <w:pPr>
              <w:spacing w:line="360" w:lineRule="auto"/>
              <w:ind w:firstLine="480" w:firstLineChars="200"/>
              <w:rPr>
                <w:color w:val="auto"/>
                <w:sz w:val="24"/>
              </w:rPr>
            </w:pPr>
            <w:r>
              <w:rPr>
                <w:rFonts w:hint="eastAsia"/>
                <w:color w:val="auto"/>
                <w:sz w:val="24"/>
              </w:rPr>
              <w:t>（1）对陆生植物的影响</w:t>
            </w:r>
          </w:p>
          <w:p w14:paraId="6F2E068C">
            <w:pPr>
              <w:widowControl/>
              <w:spacing w:line="360" w:lineRule="auto"/>
              <w:ind w:firstLine="480" w:firstLineChars="200"/>
              <w:rPr>
                <w:color w:val="auto"/>
                <w:sz w:val="24"/>
              </w:rPr>
            </w:pPr>
            <w:r>
              <w:rPr>
                <w:rFonts w:hint="eastAsia"/>
                <w:color w:val="auto"/>
                <w:sz w:val="24"/>
              </w:rPr>
              <w:t>工程占地影响：本项目建设对陆生生态环境的影响主要表现在施工期，在施工作业过程、工程占地对土地利用、植被、水土流失等产生的影响，改变部分原有的地形地貌，破坏现有植被，使地表出现局部裸露，破坏了原有的自然风貌及景观。</w:t>
            </w:r>
          </w:p>
          <w:p w14:paraId="53BE1AAD">
            <w:pPr>
              <w:spacing w:line="360" w:lineRule="auto"/>
              <w:ind w:firstLine="480" w:firstLineChars="200"/>
              <w:rPr>
                <w:color w:val="auto"/>
                <w:sz w:val="24"/>
              </w:rPr>
            </w:pPr>
            <w:r>
              <w:rPr>
                <w:color w:val="auto"/>
                <w:kern w:val="0"/>
                <w:sz w:val="24"/>
              </w:rPr>
              <w:t>本工程</w:t>
            </w:r>
            <w:r>
              <w:rPr>
                <w:rFonts w:hint="eastAsia"/>
                <w:color w:val="auto"/>
                <w:kern w:val="0"/>
                <w:sz w:val="24"/>
              </w:rPr>
              <w:t>施工过程</w:t>
            </w:r>
            <w:r>
              <w:rPr>
                <w:color w:val="auto"/>
                <w:kern w:val="0"/>
                <w:sz w:val="24"/>
              </w:rPr>
              <w:t>临时占地（</w:t>
            </w:r>
            <w:r>
              <w:rPr>
                <w:rFonts w:hint="eastAsia"/>
                <w:color w:val="auto"/>
                <w:kern w:val="0"/>
                <w:sz w:val="24"/>
              </w:rPr>
              <w:t>临时堆土场、</w:t>
            </w:r>
            <w:r>
              <w:rPr>
                <w:color w:val="auto"/>
                <w:kern w:val="0"/>
                <w:sz w:val="24"/>
              </w:rPr>
              <w:t>施工生产生活区、施工道路区等）对植物及植被的影响</w:t>
            </w:r>
            <w:r>
              <w:rPr>
                <w:rFonts w:hint="eastAsia"/>
                <w:color w:val="auto"/>
                <w:kern w:val="0"/>
                <w:sz w:val="24"/>
              </w:rPr>
              <w:t>，</w:t>
            </w:r>
            <w:r>
              <w:rPr>
                <w:color w:val="auto"/>
                <w:kern w:val="0"/>
                <w:sz w:val="24"/>
              </w:rPr>
              <w:t>临时占地面积为1.30hm</w:t>
            </w:r>
            <w:r>
              <w:rPr>
                <w:color w:val="auto"/>
                <w:kern w:val="0"/>
                <w:sz w:val="24"/>
                <w:vertAlign w:val="superscript"/>
              </w:rPr>
              <w:t>2</w:t>
            </w:r>
            <w:r>
              <w:rPr>
                <w:color w:val="auto"/>
                <w:kern w:val="0"/>
                <w:sz w:val="24"/>
              </w:rPr>
              <w:t>。工程实施主要干扰和破坏的植被类型是湿地、草地和农田农作物，影响的植物多为区域常见种</w:t>
            </w:r>
            <w:r>
              <w:rPr>
                <w:rFonts w:hint="eastAsia"/>
                <w:color w:val="auto"/>
                <w:sz w:val="24"/>
              </w:rPr>
              <w:t>，对植被的影响较小。施工期间虽然对生物量、分布格局及生物多样性造成一定程度的影响，但由于工程工期短，工程内容主要以河道清障为主，占用土地少，对两岸河段植被破坏性不大，施工结束后对绿化带等进行恢复，一定程度上提高了区域的生态环境效益和景观生态效益。</w:t>
            </w:r>
          </w:p>
          <w:p w14:paraId="3F123564">
            <w:pPr>
              <w:spacing w:line="360" w:lineRule="auto"/>
              <w:ind w:firstLine="480" w:firstLineChars="200"/>
              <w:rPr>
                <w:color w:val="auto"/>
                <w:sz w:val="24"/>
              </w:rPr>
            </w:pPr>
            <w:r>
              <w:rPr>
                <w:rFonts w:hint="eastAsia"/>
                <w:color w:val="auto"/>
                <w:sz w:val="24"/>
              </w:rPr>
              <w:t>（2）对陆生动物的影响</w:t>
            </w:r>
          </w:p>
          <w:p w14:paraId="38970F4D">
            <w:pPr>
              <w:widowControl/>
              <w:spacing w:line="360" w:lineRule="auto"/>
              <w:ind w:firstLine="480" w:firstLineChars="200"/>
              <w:rPr>
                <w:color w:val="auto"/>
                <w:kern w:val="0"/>
                <w:sz w:val="24"/>
              </w:rPr>
            </w:pPr>
            <w:r>
              <w:rPr>
                <w:rFonts w:hint="eastAsia"/>
                <w:color w:val="auto"/>
                <w:sz w:val="24"/>
              </w:rPr>
              <w:t>施工占地本工程占地类型主要为小块型，工程施工占用的水域及草地面积，会对两栖类生存空间形成挤压，受工程影响较大的主要有在静水或缓流中觅食的黑斑侧褶蛙、湖北侧褶蛙和虎纹蛙等，栖息在离水源较近的陆地上的中华蟾蜍、饰纹姬蛙、泽陆蛙等。</w:t>
            </w:r>
            <w:r>
              <w:rPr>
                <w:color w:val="auto"/>
                <w:kern w:val="0"/>
                <w:sz w:val="24"/>
              </w:rPr>
              <w:t>评价区中爬行类种类最多的是林栖傍水型，包括赤链蛇、虎斑颈槽蛇、赤链蛇、银环蛇、乌梢蛇等，施工过程中开挖会影响其生存和繁殖。</w:t>
            </w:r>
            <w:r>
              <w:rPr>
                <w:color w:val="auto"/>
                <w:sz w:val="24"/>
              </w:rPr>
              <w:t>施工期间，工程占用草地、耕地和林地等将破坏喜栖于其中的鸟类生境，受影响的种类主要为常见的鸣禽和陆禽，生境的破坏将使这些鸟类活动和觅食的范围减小。</w:t>
            </w:r>
            <w:r>
              <w:rPr>
                <w:rFonts w:hint="eastAsia"/>
                <w:color w:val="auto"/>
                <w:sz w:val="24"/>
              </w:rPr>
              <w:t>田埂道路</w:t>
            </w:r>
            <w:r>
              <w:rPr>
                <w:color w:val="auto"/>
                <w:sz w:val="24"/>
              </w:rPr>
              <w:t>开挖、</w:t>
            </w:r>
            <w:r>
              <w:rPr>
                <w:rFonts w:hint="eastAsia"/>
                <w:color w:val="auto"/>
                <w:sz w:val="24"/>
              </w:rPr>
              <w:t>池塘清淤</w:t>
            </w:r>
            <w:r>
              <w:rPr>
                <w:color w:val="auto"/>
                <w:sz w:val="24"/>
              </w:rPr>
              <w:t>等占地会占用部分兽类的栖息地，造成兽类的逃逸，使其向远离工程区周围扩散，导致工程区域兽类种群数量减少，如华南兔、东北刺猬、黄鼬等。</w:t>
            </w:r>
          </w:p>
          <w:p w14:paraId="1632CBE0">
            <w:pPr>
              <w:spacing w:line="360" w:lineRule="auto"/>
              <w:ind w:firstLine="480" w:firstLineChars="200"/>
              <w:rPr>
                <w:color w:val="auto"/>
                <w:sz w:val="24"/>
              </w:rPr>
            </w:pPr>
            <w:r>
              <w:rPr>
                <w:rFonts w:hint="eastAsia"/>
                <w:color w:val="auto"/>
                <w:sz w:val="24"/>
              </w:rPr>
              <w:t>由于施工区的范围有限，上述情况对动物造成的伤害是非常有限的，只涉及个别类群的极少数个体，不会对动物的物种丰富度和多度产生较大影响。</w:t>
            </w:r>
          </w:p>
          <w:p w14:paraId="35C40E1E">
            <w:pPr>
              <w:spacing w:line="360" w:lineRule="auto"/>
              <w:ind w:firstLine="482" w:firstLineChars="200"/>
              <w:rPr>
                <w:b/>
                <w:bCs/>
                <w:color w:val="auto"/>
                <w:sz w:val="24"/>
              </w:rPr>
            </w:pPr>
            <w:r>
              <w:rPr>
                <w:rFonts w:hint="eastAsia"/>
                <w:b/>
                <w:bCs/>
                <w:color w:val="auto"/>
                <w:sz w:val="24"/>
              </w:rPr>
              <w:t>2、水生生态影响分析</w:t>
            </w:r>
          </w:p>
          <w:p w14:paraId="3D5E6226">
            <w:pPr>
              <w:spacing w:line="360" w:lineRule="auto"/>
              <w:ind w:firstLine="480" w:firstLineChars="200"/>
              <w:rPr>
                <w:color w:val="auto"/>
                <w:sz w:val="24"/>
              </w:rPr>
            </w:pPr>
            <w:r>
              <w:rPr>
                <w:color w:val="auto"/>
                <w:kern w:val="0"/>
                <w:sz w:val="24"/>
              </w:rPr>
              <w:t>本项目为原址改建，没有新挖鱼塘，工程建设期间产生的噪声、悬浮物等会对附近水域造成扰动，对水生生物栖息环境造成一定干扰。</w:t>
            </w:r>
            <w:r>
              <w:rPr>
                <w:rFonts w:hint="eastAsia"/>
                <w:color w:val="auto"/>
                <w:sz w:val="24"/>
              </w:rPr>
              <w:t>同时清淤工程引起的环境变化会直接影响到水生生物的生存、行为、繁殖和分布，造成一部分水生生物死亡，生物量和净生产量下降，生物多样性减少，好氧浮游生物、鱼类、底栖动物会因环境的恶化而死亡，从而造成整个水生生态系统一系列的变化。</w:t>
            </w:r>
          </w:p>
          <w:p w14:paraId="68E8300E">
            <w:pPr>
              <w:spacing w:line="360" w:lineRule="auto"/>
              <w:ind w:firstLine="480" w:firstLineChars="200"/>
              <w:rPr>
                <w:color w:val="auto"/>
                <w:sz w:val="24"/>
              </w:rPr>
            </w:pPr>
            <w:r>
              <w:rPr>
                <w:rFonts w:hint="eastAsia"/>
                <w:color w:val="auto"/>
                <w:sz w:val="24"/>
              </w:rPr>
              <w:t>（1）水生植物</w:t>
            </w:r>
          </w:p>
          <w:p w14:paraId="2E888AA3">
            <w:pPr>
              <w:spacing w:line="360" w:lineRule="auto"/>
              <w:ind w:firstLine="480" w:firstLineChars="200"/>
              <w:rPr>
                <w:color w:val="auto"/>
                <w:sz w:val="24"/>
              </w:rPr>
            </w:pPr>
            <w:r>
              <w:rPr>
                <w:rFonts w:hint="eastAsia"/>
                <w:color w:val="auto"/>
                <w:sz w:val="24"/>
              </w:rPr>
              <w:t>在工程施工期间，鱼塘四周挺水植物将消失，清淤后河道底质环境将改变，工程施工期间，沉水植物将消失。根据类似水体清淤调查情况，河清淤后挺水植物及浮水植物能在较短的时间内恢复，而沉水植物的恢复时间较长。另外，沉水植物的恢复跟水体的透明度有关，经清淤后，鱼塘水质将比现状水质条件好，透明度较高，有利于沉水植物较快的恢复。</w:t>
            </w:r>
          </w:p>
          <w:p w14:paraId="473B6B3A">
            <w:pPr>
              <w:spacing w:line="360" w:lineRule="auto"/>
              <w:ind w:firstLine="480" w:firstLineChars="200"/>
              <w:rPr>
                <w:color w:val="auto"/>
                <w:sz w:val="24"/>
              </w:rPr>
            </w:pPr>
            <w:r>
              <w:rPr>
                <w:rFonts w:hint="eastAsia"/>
                <w:color w:val="auto"/>
                <w:sz w:val="24"/>
              </w:rPr>
              <w:t>（2）浮游生物</w:t>
            </w:r>
          </w:p>
          <w:p w14:paraId="4D8D6C02">
            <w:pPr>
              <w:adjustRightInd w:val="0"/>
              <w:snapToGrid w:val="0"/>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施工期间，</w:t>
            </w:r>
            <w:r>
              <w:rPr>
                <w:rFonts w:hint="eastAsia"/>
                <w:color w:val="auto"/>
                <w:sz w:val="24"/>
              </w:rPr>
              <w:t>清淤</w:t>
            </w:r>
            <w:r>
              <w:rPr>
                <w:rFonts w:hint="eastAsia" w:ascii="宋体" w:hAnsi="宋体" w:cs="宋体"/>
                <w:bCs/>
                <w:color w:val="auto"/>
                <w:sz w:val="24"/>
              </w:rPr>
              <w:t>会使施工区水域悬浮物浓度增加，对浮游生物的生存造成影响,并有可能改变施工区浮游生物的种类组成和群落结构，造成浮游生物种类和数量的减少。施工作业会造成作为饵料的浮游植物减少，同样也会加速浮游动物数量和种类的减少，但由于浮游动植物个体小，繁殖速度快，当悬浮物质沉淀，水质恢复后，浮游生物的数量将会逐步恢复，且工程施工对浮游生物的影响只是局部的，暂时性的，因此工程施工不会对浮游生物类群有较大的改变。</w:t>
            </w:r>
          </w:p>
          <w:p w14:paraId="45755DB2">
            <w:pPr>
              <w:spacing w:line="360" w:lineRule="auto"/>
              <w:ind w:firstLine="480" w:firstLineChars="200"/>
              <w:rPr>
                <w:color w:val="auto"/>
                <w:sz w:val="24"/>
              </w:rPr>
            </w:pPr>
            <w:r>
              <w:rPr>
                <w:rFonts w:hint="eastAsia"/>
                <w:color w:val="auto"/>
                <w:sz w:val="24"/>
              </w:rPr>
              <w:t>（3）鱼类</w:t>
            </w:r>
          </w:p>
          <w:p w14:paraId="42984EC1">
            <w:pPr>
              <w:spacing w:line="360" w:lineRule="auto"/>
              <w:ind w:firstLine="480" w:firstLineChars="200"/>
              <w:rPr>
                <w:color w:val="auto"/>
                <w:kern w:val="0"/>
                <w:sz w:val="24"/>
              </w:rPr>
            </w:pPr>
            <w:r>
              <w:rPr>
                <w:color w:val="auto"/>
                <w:kern w:val="0"/>
                <w:sz w:val="24"/>
              </w:rPr>
              <w:t>工程</w:t>
            </w:r>
            <w:r>
              <w:rPr>
                <w:rFonts w:hint="eastAsia"/>
                <w:color w:val="auto"/>
                <w:kern w:val="0"/>
                <w:sz w:val="24"/>
              </w:rPr>
              <w:t>清淤</w:t>
            </w:r>
            <w:r>
              <w:rPr>
                <w:color w:val="auto"/>
                <w:kern w:val="0"/>
                <w:sz w:val="24"/>
              </w:rPr>
              <w:t>、吊装</w:t>
            </w:r>
            <w:r>
              <w:rPr>
                <w:rFonts w:hint="eastAsia"/>
                <w:color w:val="auto"/>
                <w:kern w:val="0"/>
                <w:sz w:val="24"/>
              </w:rPr>
              <w:t>、</w:t>
            </w:r>
            <w:r>
              <w:rPr>
                <w:color w:val="auto"/>
                <w:kern w:val="0"/>
                <w:sz w:val="24"/>
              </w:rPr>
              <w:t>填筑和边坡加固等用到的机械产生的噪声和振动，将对鱼类在工程影响河段的分布及部分鱼类洄游产生一定的干扰。施工时将会对工程附近30~45m范围内的鱼类有一定的影响，在此区域的鱼将会迁移</w:t>
            </w:r>
            <w:r>
              <w:rPr>
                <w:rFonts w:hint="eastAsia"/>
                <w:color w:val="auto"/>
                <w:kern w:val="0"/>
                <w:sz w:val="24"/>
              </w:rPr>
              <w:t>到其他</w:t>
            </w:r>
            <w:r>
              <w:rPr>
                <w:color w:val="auto"/>
                <w:kern w:val="0"/>
                <w:sz w:val="24"/>
              </w:rPr>
              <w:t>水域，但是不会对鱼类造成暂时性</w:t>
            </w:r>
            <w:r>
              <w:rPr>
                <w:rFonts w:hint="eastAsia"/>
                <w:color w:val="auto"/>
                <w:kern w:val="0"/>
                <w:sz w:val="24"/>
              </w:rPr>
              <w:t>迁移</w:t>
            </w:r>
            <w:r>
              <w:rPr>
                <w:color w:val="auto"/>
                <w:kern w:val="0"/>
                <w:sz w:val="24"/>
              </w:rPr>
              <w:t>或永久性</w:t>
            </w:r>
            <w:r>
              <w:rPr>
                <w:rFonts w:hint="eastAsia"/>
                <w:color w:val="auto"/>
                <w:kern w:val="0"/>
                <w:sz w:val="24"/>
              </w:rPr>
              <w:t>迁移</w:t>
            </w:r>
            <w:r>
              <w:rPr>
                <w:color w:val="auto"/>
                <w:kern w:val="0"/>
                <w:sz w:val="24"/>
              </w:rPr>
              <w:t>。</w:t>
            </w:r>
          </w:p>
          <w:p w14:paraId="68121AD4">
            <w:pPr>
              <w:spacing w:line="360" w:lineRule="auto"/>
              <w:ind w:firstLine="480" w:firstLineChars="200"/>
              <w:rPr>
                <w:color w:val="auto"/>
                <w:kern w:val="0"/>
                <w:sz w:val="24"/>
              </w:rPr>
            </w:pPr>
            <w:r>
              <w:rPr>
                <w:color w:val="auto"/>
                <w:kern w:val="0"/>
                <w:sz w:val="24"/>
              </w:rPr>
              <w:t>鱼塘改造临水坡围堰导流外排水会产生悬浮物，悬浮物扩散将影响水体透明度和初级生产力，并使鱼类产生回避，影响鱼类洄游，成年鱼类的活动能力较强，在悬浮物影响范围内成鱼可以回避，施工作业对其影响更多表现为</w:t>
            </w:r>
            <w:r>
              <w:rPr>
                <w:rFonts w:hint="eastAsia"/>
                <w:color w:val="auto"/>
                <w:kern w:val="0"/>
                <w:sz w:val="24"/>
              </w:rPr>
              <w:t>“</w:t>
            </w:r>
            <w:r>
              <w:rPr>
                <w:color w:val="auto"/>
                <w:kern w:val="0"/>
                <w:sz w:val="24"/>
              </w:rPr>
              <w:t>驱散效应</w:t>
            </w:r>
            <w:r>
              <w:rPr>
                <w:rFonts w:hint="eastAsia"/>
                <w:color w:val="auto"/>
                <w:kern w:val="0"/>
                <w:sz w:val="24"/>
              </w:rPr>
              <w:t>”</w:t>
            </w:r>
            <w:r>
              <w:rPr>
                <w:color w:val="auto"/>
                <w:kern w:val="0"/>
                <w:sz w:val="24"/>
              </w:rPr>
              <w:t>，但是会对鱼卵、仔稚鱼和幼鱼造成伤害，主要表现为影响胚胎发育、堵塞鱼类的</w:t>
            </w:r>
            <w:r>
              <w:rPr>
                <w:rFonts w:hint="eastAsia"/>
                <w:color w:val="auto"/>
                <w:kern w:val="0"/>
                <w:sz w:val="24"/>
              </w:rPr>
              <w:t>鳃</w:t>
            </w:r>
            <w:r>
              <w:rPr>
                <w:color w:val="auto"/>
                <w:kern w:val="0"/>
                <w:sz w:val="24"/>
              </w:rPr>
              <w:t>部造成窒息死亡。</w:t>
            </w:r>
          </w:p>
          <w:p w14:paraId="199C1341">
            <w:pPr>
              <w:spacing w:line="360" w:lineRule="auto"/>
              <w:ind w:firstLine="480" w:firstLineChars="200"/>
              <w:rPr>
                <w:color w:val="auto"/>
                <w:kern w:val="0"/>
                <w:sz w:val="24"/>
              </w:rPr>
            </w:pPr>
            <w:r>
              <w:rPr>
                <w:color w:val="auto"/>
                <w:kern w:val="0"/>
                <w:sz w:val="24"/>
              </w:rPr>
              <w:t>施工工程中会影响水质及浮游生物、底栖动物以及水生维管束植物的数量，从而改变了部分鱼类局部生境，进而对鱼类繁殖、觅食和栖息造成影响，但这种影响是暂时的，会随着施工结束而逐渐消失，对评价范围内的鱼类影响总体较小，且较为有限。</w:t>
            </w:r>
          </w:p>
          <w:p w14:paraId="139B6F18">
            <w:pPr>
              <w:spacing w:line="360" w:lineRule="auto"/>
              <w:ind w:firstLine="482" w:firstLineChars="200"/>
              <w:rPr>
                <w:b/>
                <w:bCs/>
                <w:color w:val="auto"/>
                <w:sz w:val="24"/>
              </w:rPr>
            </w:pPr>
            <w:r>
              <w:rPr>
                <w:rFonts w:hint="eastAsia"/>
                <w:b/>
                <w:bCs/>
                <w:color w:val="auto"/>
                <w:sz w:val="24"/>
              </w:rPr>
              <w:t>3、工程建设对水土流失的影响分析</w:t>
            </w:r>
          </w:p>
          <w:p w14:paraId="4D01B453">
            <w:pPr>
              <w:spacing w:line="360" w:lineRule="auto"/>
              <w:ind w:firstLine="480" w:firstLineChars="200"/>
              <w:rPr>
                <w:color w:val="auto"/>
                <w:sz w:val="24"/>
              </w:rPr>
            </w:pPr>
            <w:r>
              <w:rPr>
                <w:rFonts w:hint="eastAsia"/>
                <w:color w:val="auto"/>
                <w:sz w:val="24"/>
              </w:rPr>
              <w:t>本项目在施工过程中，施工开挖后堆土裸露遇到雨水天气容易造成水土流失，流入周边水土容易造成水体浑浊；岸坡加固建设中需对现有边坡植被进行清理作业，表层的土松散裸露，在植被恢复之前抗蚀能力减弱。还需对周边现有杂树杂灌杂草进行清理，表层土松散裸露，在植被恢复之前抗蚀能力减弱，在雨水、水流冲刷以及风蚀作用下易产生水土流失。</w:t>
            </w:r>
          </w:p>
          <w:p w14:paraId="556FAE5D">
            <w:pPr>
              <w:spacing w:line="360" w:lineRule="auto"/>
              <w:rPr>
                <w:b/>
                <w:bCs/>
                <w:color w:val="auto"/>
                <w:sz w:val="24"/>
              </w:rPr>
            </w:pPr>
            <w:r>
              <w:rPr>
                <w:rFonts w:hint="eastAsia"/>
                <w:b/>
                <w:bCs/>
                <w:color w:val="auto"/>
                <w:sz w:val="24"/>
              </w:rPr>
              <w:t>二、施工期环境污染影响分析</w:t>
            </w:r>
          </w:p>
          <w:p w14:paraId="38811A4D">
            <w:pPr>
              <w:spacing w:line="360" w:lineRule="auto"/>
              <w:ind w:firstLine="480" w:firstLineChars="200"/>
              <w:rPr>
                <w:color w:val="auto"/>
                <w:sz w:val="24"/>
              </w:rPr>
            </w:pPr>
            <w:r>
              <w:rPr>
                <w:rFonts w:hint="eastAsia"/>
                <w:color w:val="auto"/>
                <w:sz w:val="24"/>
              </w:rPr>
              <w:t>本项目在工程施工期间，将排放一定数量的废水、废气、废渣，产生不同量级的噪声，同时因建（构）筑物的建设、清淤等会对局部环境造成一定的影响。</w:t>
            </w:r>
          </w:p>
          <w:p w14:paraId="4BDAC0C2">
            <w:pPr>
              <w:widowControl/>
              <w:spacing w:line="360" w:lineRule="auto"/>
              <w:ind w:firstLine="482" w:firstLineChars="200"/>
              <w:rPr>
                <w:b/>
                <w:bCs/>
                <w:color w:val="auto"/>
                <w:kern w:val="0"/>
                <w:sz w:val="24"/>
                <w:lang w:bidi="ar"/>
              </w:rPr>
            </w:pPr>
            <w:r>
              <w:rPr>
                <w:b/>
                <w:bCs/>
                <w:color w:val="auto"/>
                <w:kern w:val="0"/>
                <w:sz w:val="24"/>
                <w:lang w:bidi="ar"/>
              </w:rPr>
              <w:t>1、废气</w:t>
            </w:r>
          </w:p>
          <w:p w14:paraId="2221A294">
            <w:pPr>
              <w:widowControl/>
              <w:spacing w:line="360" w:lineRule="auto"/>
              <w:ind w:firstLine="480" w:firstLineChars="200"/>
              <w:rPr>
                <w:color w:val="auto"/>
                <w:kern w:val="0"/>
                <w:sz w:val="24"/>
              </w:rPr>
            </w:pPr>
            <w:r>
              <w:rPr>
                <w:color w:val="auto"/>
                <w:kern w:val="0"/>
                <w:sz w:val="24"/>
                <w:lang w:bidi="ar"/>
              </w:rPr>
              <w:t>项目施工过程中的气型污染源主要有</w:t>
            </w:r>
            <w:r>
              <w:rPr>
                <w:color w:val="auto"/>
                <w:kern w:val="0"/>
                <w:sz w:val="24"/>
              </w:rPr>
              <w:t>施工扬尘、施工机械燃油废气、堆场扬尘</w:t>
            </w:r>
            <w:r>
              <w:rPr>
                <w:color w:val="auto"/>
                <w:kern w:val="0"/>
                <w:sz w:val="24"/>
                <w:lang w:bidi="ar"/>
              </w:rPr>
              <w:t>。</w:t>
            </w:r>
          </w:p>
          <w:p w14:paraId="7F66C1E8">
            <w:pPr>
              <w:widowControl/>
              <w:spacing w:line="360" w:lineRule="auto"/>
              <w:ind w:firstLine="480" w:firstLineChars="200"/>
              <w:rPr>
                <w:color w:val="auto"/>
                <w:kern w:val="0"/>
                <w:sz w:val="24"/>
              </w:rPr>
            </w:pPr>
            <w:r>
              <w:rPr>
                <w:color w:val="auto"/>
                <w:kern w:val="0"/>
                <w:sz w:val="24"/>
              </w:rPr>
              <w:t>（1）扬尘</w:t>
            </w:r>
          </w:p>
          <w:p w14:paraId="2429DFB0">
            <w:pPr>
              <w:widowControl/>
              <w:spacing w:line="360" w:lineRule="auto"/>
              <w:ind w:firstLine="480" w:firstLineChars="200"/>
              <w:rPr>
                <w:color w:val="auto"/>
                <w:kern w:val="0"/>
                <w:sz w:val="24"/>
              </w:rPr>
            </w:pPr>
            <w:r>
              <w:rPr>
                <w:color w:val="auto"/>
                <w:kern w:val="0"/>
                <w:sz w:val="24"/>
              </w:rPr>
              <w:t>施工期产生的扬尘主要集中在土建施工阶段，按起尘的原因可分为风力起尘和动力起尘。其中风力起尘主要是由于露天堆放的建材（如黄砂、水泥等）及裸露的施工区表层浮尘由于天气干燥及大风，产生风力扬尘；动力起尘，主要是在建材的装卸、搅拌的过程中，由于外力而产生的尘粒再悬浮而造成，其中施工及装卸车辆造成的扬尘最为严重，施工扬尘产生浓度一般约为5~10mg/m</w:t>
            </w:r>
            <w:r>
              <w:rPr>
                <w:color w:val="auto"/>
                <w:kern w:val="0"/>
                <w:sz w:val="24"/>
                <w:vertAlign w:val="superscript"/>
              </w:rPr>
              <w:t>3</w:t>
            </w:r>
            <w:r>
              <w:rPr>
                <w:color w:val="auto"/>
                <w:kern w:val="0"/>
                <w:sz w:val="24"/>
              </w:rPr>
              <w:t>。</w:t>
            </w:r>
          </w:p>
          <w:p w14:paraId="757726E5">
            <w:pPr>
              <w:widowControl/>
              <w:spacing w:line="360" w:lineRule="auto"/>
              <w:ind w:firstLine="480" w:firstLineChars="200"/>
              <w:rPr>
                <w:color w:val="auto"/>
                <w:kern w:val="0"/>
                <w:sz w:val="24"/>
              </w:rPr>
            </w:pPr>
            <w:r>
              <w:rPr>
                <w:color w:val="auto"/>
                <w:kern w:val="0"/>
                <w:sz w:val="24"/>
              </w:rPr>
              <w:t>①露天堆场和裸露场地的风力扬尘</w:t>
            </w:r>
          </w:p>
          <w:p w14:paraId="771C15BA">
            <w:pPr>
              <w:widowControl/>
              <w:spacing w:line="360" w:lineRule="auto"/>
              <w:ind w:firstLine="480" w:firstLineChars="200"/>
              <w:rPr>
                <w:color w:val="auto"/>
                <w:kern w:val="0"/>
                <w:sz w:val="24"/>
              </w:rPr>
            </w:pPr>
            <w:r>
              <w:rPr>
                <w:color w:val="auto"/>
                <w:kern w:val="0"/>
                <w:sz w:val="24"/>
              </w:rPr>
              <w:t>露天堆场和裸露场地的风力扬尘量可按堆放场起尘的经验公式计算：</w:t>
            </w:r>
          </w:p>
          <w:p w14:paraId="0B7A6833">
            <w:pPr>
              <w:widowControl/>
              <w:spacing w:line="360" w:lineRule="auto"/>
              <w:jc w:val="center"/>
              <w:rPr>
                <w:color w:val="auto"/>
                <w:kern w:val="0"/>
                <w:sz w:val="24"/>
                <w:vertAlign w:val="superscript"/>
              </w:rPr>
            </w:pPr>
            <w:r>
              <w:rPr>
                <w:color w:val="auto"/>
                <w:kern w:val="0"/>
                <w:sz w:val="24"/>
              </w:rPr>
              <w:t>Q=2.1（Ⅳ</w:t>
            </w:r>
            <w:r>
              <w:rPr>
                <w:color w:val="auto"/>
                <w:kern w:val="0"/>
                <w:sz w:val="24"/>
                <w:vertAlign w:val="subscript"/>
              </w:rPr>
              <w:t>50</w:t>
            </w:r>
            <w:r>
              <w:rPr>
                <w:color w:val="auto"/>
                <w:kern w:val="0"/>
                <w:sz w:val="24"/>
              </w:rPr>
              <w:t>-Ⅳ</w:t>
            </w:r>
            <w:r>
              <w:rPr>
                <w:color w:val="auto"/>
                <w:kern w:val="0"/>
                <w:sz w:val="24"/>
                <w:vertAlign w:val="subscript"/>
              </w:rPr>
              <w:t>0</w:t>
            </w:r>
            <w:r>
              <w:rPr>
                <w:color w:val="auto"/>
                <w:kern w:val="0"/>
                <w:sz w:val="24"/>
              </w:rPr>
              <w:t>）</w:t>
            </w:r>
            <w:r>
              <w:rPr>
                <w:color w:val="auto"/>
                <w:kern w:val="0"/>
                <w:sz w:val="24"/>
                <w:vertAlign w:val="superscript"/>
              </w:rPr>
              <w:t>3</w:t>
            </w:r>
            <w:r>
              <w:rPr>
                <w:color w:val="auto"/>
                <w:kern w:val="0"/>
                <w:sz w:val="24"/>
              </w:rPr>
              <w:t>e</w:t>
            </w:r>
            <w:r>
              <w:rPr>
                <w:color w:val="auto"/>
                <w:kern w:val="0"/>
                <w:sz w:val="24"/>
                <w:vertAlign w:val="superscript"/>
              </w:rPr>
              <w:t>-1.023W</w:t>
            </w:r>
          </w:p>
          <w:p w14:paraId="71FC2818">
            <w:pPr>
              <w:widowControl/>
              <w:spacing w:line="360" w:lineRule="auto"/>
              <w:ind w:firstLine="480" w:firstLineChars="200"/>
              <w:jc w:val="left"/>
              <w:rPr>
                <w:color w:val="auto"/>
                <w:kern w:val="0"/>
                <w:sz w:val="24"/>
              </w:rPr>
            </w:pPr>
            <w:r>
              <w:rPr>
                <w:color w:val="auto"/>
                <w:kern w:val="0"/>
                <w:sz w:val="24"/>
              </w:rPr>
              <w:t>式中：Q—起尘量，kg/t.a；</w:t>
            </w:r>
          </w:p>
          <w:p w14:paraId="719B0A11">
            <w:pPr>
              <w:widowControl/>
              <w:spacing w:line="360" w:lineRule="auto"/>
              <w:ind w:firstLine="1200" w:firstLineChars="500"/>
              <w:rPr>
                <w:color w:val="auto"/>
                <w:kern w:val="0"/>
                <w:sz w:val="24"/>
              </w:rPr>
            </w:pPr>
            <w:r>
              <w:rPr>
                <w:color w:val="auto"/>
                <w:kern w:val="0"/>
                <w:sz w:val="24"/>
              </w:rPr>
              <w:t>Ⅳ</w:t>
            </w:r>
            <w:r>
              <w:rPr>
                <w:color w:val="auto"/>
                <w:kern w:val="0"/>
                <w:sz w:val="24"/>
                <w:vertAlign w:val="subscript"/>
              </w:rPr>
              <w:t>50</w:t>
            </w:r>
            <w:r>
              <w:rPr>
                <w:color w:val="auto"/>
                <w:kern w:val="0"/>
                <w:sz w:val="24"/>
              </w:rPr>
              <w:t>—距地面50m处风速，m/s；</w:t>
            </w:r>
          </w:p>
          <w:p w14:paraId="63DE1700">
            <w:pPr>
              <w:widowControl/>
              <w:spacing w:line="360" w:lineRule="auto"/>
              <w:ind w:firstLine="1200" w:firstLineChars="500"/>
              <w:rPr>
                <w:color w:val="auto"/>
                <w:kern w:val="0"/>
                <w:sz w:val="24"/>
              </w:rPr>
            </w:pPr>
            <w:r>
              <w:rPr>
                <w:color w:val="auto"/>
                <w:kern w:val="0"/>
                <w:sz w:val="24"/>
              </w:rPr>
              <w:t>Ⅳ</w:t>
            </w:r>
            <w:r>
              <w:rPr>
                <w:color w:val="auto"/>
                <w:kern w:val="0"/>
                <w:sz w:val="24"/>
                <w:vertAlign w:val="subscript"/>
              </w:rPr>
              <w:t>0</w:t>
            </w:r>
            <w:r>
              <w:rPr>
                <w:color w:val="auto"/>
                <w:kern w:val="0"/>
                <w:sz w:val="24"/>
              </w:rPr>
              <w:t>—起尘风速，m/s；</w:t>
            </w:r>
          </w:p>
          <w:p w14:paraId="5A253955">
            <w:pPr>
              <w:widowControl/>
              <w:spacing w:line="360" w:lineRule="auto"/>
              <w:ind w:firstLine="1200" w:firstLineChars="500"/>
              <w:rPr>
                <w:color w:val="auto"/>
                <w:kern w:val="0"/>
                <w:sz w:val="24"/>
              </w:rPr>
            </w:pPr>
            <w:r>
              <w:rPr>
                <w:color w:val="auto"/>
                <w:kern w:val="0"/>
                <w:sz w:val="24"/>
              </w:rPr>
              <w:t>W—尘粒的含水率，%</w:t>
            </w:r>
          </w:p>
          <w:p w14:paraId="61156604">
            <w:pPr>
              <w:widowControl/>
              <w:spacing w:line="360" w:lineRule="auto"/>
              <w:ind w:firstLine="480" w:firstLineChars="200"/>
              <w:rPr>
                <w:color w:val="auto"/>
                <w:kern w:val="0"/>
                <w:sz w:val="24"/>
              </w:rPr>
            </w:pPr>
            <w:r>
              <w:rPr>
                <w:color w:val="auto"/>
                <w:kern w:val="0"/>
                <w:sz w:val="24"/>
              </w:rPr>
              <w:t>Ⅳ</w:t>
            </w:r>
            <w:r>
              <w:rPr>
                <w:color w:val="auto"/>
                <w:kern w:val="0"/>
                <w:sz w:val="24"/>
                <w:vertAlign w:val="subscript"/>
              </w:rPr>
              <w:t>0</w:t>
            </w:r>
            <w:r>
              <w:rPr>
                <w:color w:val="auto"/>
                <w:kern w:val="0"/>
                <w:sz w:val="24"/>
              </w:rPr>
              <w:t>与粒径和含水率有关，因此，减少露天堆放和保证一定的含水率及减少裸露地面是减少风力起尘的有效手段。尘粒在空气中的传播扩散情况与风速等气象条件有关，也与尘粒本身的沉降速度有关。不同的尘粒的沉降速度见下表</w:t>
            </w:r>
            <w:r>
              <w:rPr>
                <w:rFonts w:hint="eastAsia"/>
                <w:color w:val="auto"/>
                <w:kern w:val="0"/>
                <w:sz w:val="24"/>
              </w:rPr>
              <w:t>4-1</w:t>
            </w:r>
            <w:r>
              <w:rPr>
                <w:color w:val="auto"/>
                <w:kern w:val="0"/>
                <w:sz w:val="24"/>
              </w:rPr>
              <w:t>。</w:t>
            </w:r>
          </w:p>
          <w:p w14:paraId="0CF79620">
            <w:pPr>
              <w:widowControl/>
              <w:jc w:val="center"/>
              <w:rPr>
                <w:b/>
                <w:color w:val="auto"/>
                <w:kern w:val="0"/>
                <w:szCs w:val="21"/>
              </w:rPr>
            </w:pPr>
            <w:r>
              <w:rPr>
                <w:b/>
                <w:color w:val="auto"/>
                <w:kern w:val="0"/>
                <w:szCs w:val="21"/>
              </w:rPr>
              <w:t>表</w:t>
            </w:r>
            <w:r>
              <w:rPr>
                <w:rFonts w:hint="eastAsia"/>
                <w:b/>
                <w:color w:val="auto"/>
                <w:kern w:val="0"/>
                <w:szCs w:val="21"/>
              </w:rPr>
              <w:t>4-1</w:t>
            </w:r>
            <w:r>
              <w:rPr>
                <w:b/>
                <w:color w:val="auto"/>
                <w:kern w:val="0"/>
                <w:szCs w:val="21"/>
              </w:rPr>
              <w:t xml:space="preserve">   不同粒径的尘粒沉降速度</w:t>
            </w:r>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4"/>
              <w:gridCol w:w="873"/>
              <w:gridCol w:w="874"/>
              <w:gridCol w:w="874"/>
              <w:gridCol w:w="877"/>
              <w:gridCol w:w="872"/>
              <w:gridCol w:w="874"/>
              <w:gridCol w:w="874"/>
            </w:tblGrid>
            <w:tr w14:paraId="32B29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114707F8">
                  <w:pPr>
                    <w:widowControl/>
                    <w:jc w:val="center"/>
                    <w:rPr>
                      <w:color w:val="auto"/>
                      <w:kern w:val="0"/>
                      <w:szCs w:val="21"/>
                    </w:rPr>
                  </w:pPr>
                  <w:r>
                    <w:rPr>
                      <w:color w:val="auto"/>
                      <w:kern w:val="0"/>
                      <w:szCs w:val="21"/>
                    </w:rPr>
                    <w:t>粒径（</w:t>
                  </w:r>
                  <w:r>
                    <w:rPr>
                      <w:i/>
                      <w:iCs/>
                      <w:color w:val="auto"/>
                      <w:kern w:val="0"/>
                      <w:szCs w:val="21"/>
                    </w:rPr>
                    <w:t>u</w:t>
                  </w:r>
                  <w:r>
                    <w:rPr>
                      <w:color w:val="auto"/>
                      <w:kern w:val="0"/>
                      <w:szCs w:val="21"/>
                    </w:rPr>
                    <w:t>m）</w:t>
                  </w:r>
                </w:p>
              </w:tc>
              <w:tc>
                <w:tcPr>
                  <w:tcW w:w="553" w:type="pct"/>
                  <w:vAlign w:val="center"/>
                </w:tcPr>
                <w:p w14:paraId="6D096D5D">
                  <w:pPr>
                    <w:widowControl/>
                    <w:autoSpaceDE w:val="0"/>
                    <w:autoSpaceDN w:val="0"/>
                    <w:jc w:val="center"/>
                    <w:rPr>
                      <w:color w:val="auto"/>
                      <w:kern w:val="0"/>
                      <w:szCs w:val="21"/>
                    </w:rPr>
                  </w:pPr>
                  <w:r>
                    <w:rPr>
                      <w:color w:val="auto"/>
                      <w:kern w:val="0"/>
                      <w:szCs w:val="21"/>
                    </w:rPr>
                    <w:t>10</w:t>
                  </w:r>
                </w:p>
              </w:tc>
              <w:tc>
                <w:tcPr>
                  <w:tcW w:w="553" w:type="pct"/>
                  <w:vAlign w:val="center"/>
                </w:tcPr>
                <w:p w14:paraId="1DB57270">
                  <w:pPr>
                    <w:widowControl/>
                    <w:jc w:val="center"/>
                    <w:rPr>
                      <w:color w:val="auto"/>
                      <w:kern w:val="0"/>
                      <w:szCs w:val="21"/>
                    </w:rPr>
                  </w:pPr>
                  <w:r>
                    <w:rPr>
                      <w:color w:val="auto"/>
                      <w:kern w:val="0"/>
                      <w:szCs w:val="21"/>
                    </w:rPr>
                    <w:t>20</w:t>
                  </w:r>
                </w:p>
              </w:tc>
              <w:tc>
                <w:tcPr>
                  <w:tcW w:w="553" w:type="pct"/>
                  <w:vAlign w:val="center"/>
                </w:tcPr>
                <w:p w14:paraId="54F3EAA8">
                  <w:pPr>
                    <w:widowControl/>
                    <w:jc w:val="center"/>
                    <w:rPr>
                      <w:color w:val="auto"/>
                      <w:kern w:val="0"/>
                      <w:szCs w:val="21"/>
                    </w:rPr>
                  </w:pPr>
                  <w:r>
                    <w:rPr>
                      <w:color w:val="auto"/>
                      <w:kern w:val="0"/>
                      <w:szCs w:val="21"/>
                    </w:rPr>
                    <w:t>30</w:t>
                  </w:r>
                </w:p>
              </w:tc>
              <w:tc>
                <w:tcPr>
                  <w:tcW w:w="555" w:type="pct"/>
                  <w:vAlign w:val="center"/>
                </w:tcPr>
                <w:p w14:paraId="2C7E232C">
                  <w:pPr>
                    <w:widowControl/>
                    <w:jc w:val="center"/>
                    <w:rPr>
                      <w:color w:val="auto"/>
                      <w:kern w:val="0"/>
                      <w:szCs w:val="21"/>
                    </w:rPr>
                  </w:pPr>
                  <w:r>
                    <w:rPr>
                      <w:color w:val="auto"/>
                      <w:kern w:val="0"/>
                      <w:szCs w:val="21"/>
                    </w:rPr>
                    <w:t>40</w:t>
                  </w:r>
                </w:p>
              </w:tc>
              <w:tc>
                <w:tcPr>
                  <w:tcW w:w="552" w:type="pct"/>
                  <w:vAlign w:val="center"/>
                </w:tcPr>
                <w:p w14:paraId="7E181749">
                  <w:pPr>
                    <w:widowControl/>
                    <w:jc w:val="center"/>
                    <w:rPr>
                      <w:color w:val="auto"/>
                      <w:kern w:val="0"/>
                      <w:szCs w:val="21"/>
                    </w:rPr>
                  </w:pPr>
                  <w:r>
                    <w:rPr>
                      <w:color w:val="auto"/>
                      <w:kern w:val="0"/>
                      <w:szCs w:val="21"/>
                    </w:rPr>
                    <w:t>50</w:t>
                  </w:r>
                </w:p>
              </w:tc>
              <w:tc>
                <w:tcPr>
                  <w:tcW w:w="553" w:type="pct"/>
                  <w:vAlign w:val="center"/>
                </w:tcPr>
                <w:p w14:paraId="7D425695">
                  <w:pPr>
                    <w:widowControl/>
                    <w:jc w:val="center"/>
                    <w:rPr>
                      <w:color w:val="auto"/>
                      <w:kern w:val="0"/>
                      <w:szCs w:val="21"/>
                    </w:rPr>
                  </w:pPr>
                  <w:r>
                    <w:rPr>
                      <w:color w:val="auto"/>
                      <w:kern w:val="0"/>
                      <w:szCs w:val="21"/>
                    </w:rPr>
                    <w:t>60</w:t>
                  </w:r>
                </w:p>
              </w:tc>
              <w:tc>
                <w:tcPr>
                  <w:tcW w:w="553" w:type="pct"/>
                  <w:vAlign w:val="center"/>
                </w:tcPr>
                <w:p w14:paraId="75009720">
                  <w:pPr>
                    <w:widowControl/>
                    <w:jc w:val="center"/>
                    <w:rPr>
                      <w:color w:val="auto"/>
                      <w:kern w:val="0"/>
                      <w:szCs w:val="21"/>
                    </w:rPr>
                  </w:pPr>
                  <w:r>
                    <w:rPr>
                      <w:color w:val="auto"/>
                      <w:kern w:val="0"/>
                      <w:szCs w:val="21"/>
                    </w:rPr>
                    <w:t>70</w:t>
                  </w:r>
                </w:p>
              </w:tc>
            </w:tr>
            <w:tr w14:paraId="5BB33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07588B90">
                  <w:pPr>
                    <w:widowControl/>
                    <w:jc w:val="center"/>
                    <w:rPr>
                      <w:color w:val="auto"/>
                      <w:kern w:val="0"/>
                      <w:szCs w:val="21"/>
                    </w:rPr>
                  </w:pPr>
                  <w:r>
                    <w:rPr>
                      <w:color w:val="auto"/>
                      <w:kern w:val="0"/>
                      <w:szCs w:val="21"/>
                    </w:rPr>
                    <w:t>沉降速度（m/s）</w:t>
                  </w:r>
                </w:p>
              </w:tc>
              <w:tc>
                <w:tcPr>
                  <w:tcW w:w="553" w:type="pct"/>
                  <w:vAlign w:val="center"/>
                </w:tcPr>
                <w:p w14:paraId="6AEED5FF">
                  <w:pPr>
                    <w:widowControl/>
                    <w:jc w:val="center"/>
                    <w:rPr>
                      <w:color w:val="auto"/>
                      <w:kern w:val="0"/>
                      <w:szCs w:val="21"/>
                    </w:rPr>
                  </w:pPr>
                  <w:r>
                    <w:rPr>
                      <w:color w:val="auto"/>
                      <w:kern w:val="0"/>
                      <w:szCs w:val="21"/>
                    </w:rPr>
                    <w:t>0.03</w:t>
                  </w:r>
                </w:p>
              </w:tc>
              <w:tc>
                <w:tcPr>
                  <w:tcW w:w="553" w:type="pct"/>
                  <w:vAlign w:val="center"/>
                </w:tcPr>
                <w:p w14:paraId="67948ACD">
                  <w:pPr>
                    <w:widowControl/>
                    <w:jc w:val="center"/>
                    <w:rPr>
                      <w:color w:val="auto"/>
                      <w:kern w:val="0"/>
                      <w:szCs w:val="21"/>
                    </w:rPr>
                  </w:pPr>
                  <w:r>
                    <w:rPr>
                      <w:color w:val="auto"/>
                      <w:kern w:val="0"/>
                      <w:szCs w:val="21"/>
                    </w:rPr>
                    <w:t>0.012</w:t>
                  </w:r>
                </w:p>
              </w:tc>
              <w:tc>
                <w:tcPr>
                  <w:tcW w:w="553" w:type="pct"/>
                  <w:vAlign w:val="center"/>
                </w:tcPr>
                <w:p w14:paraId="489DBB5B">
                  <w:pPr>
                    <w:widowControl/>
                    <w:jc w:val="center"/>
                    <w:rPr>
                      <w:color w:val="auto"/>
                      <w:kern w:val="0"/>
                      <w:szCs w:val="21"/>
                    </w:rPr>
                  </w:pPr>
                  <w:r>
                    <w:rPr>
                      <w:color w:val="auto"/>
                      <w:kern w:val="0"/>
                      <w:szCs w:val="21"/>
                    </w:rPr>
                    <w:t>0.027</w:t>
                  </w:r>
                </w:p>
              </w:tc>
              <w:tc>
                <w:tcPr>
                  <w:tcW w:w="555" w:type="pct"/>
                  <w:vAlign w:val="center"/>
                </w:tcPr>
                <w:p w14:paraId="66296693">
                  <w:pPr>
                    <w:widowControl/>
                    <w:jc w:val="center"/>
                    <w:rPr>
                      <w:color w:val="auto"/>
                      <w:kern w:val="0"/>
                      <w:szCs w:val="21"/>
                    </w:rPr>
                  </w:pPr>
                  <w:r>
                    <w:rPr>
                      <w:color w:val="auto"/>
                      <w:kern w:val="0"/>
                      <w:szCs w:val="21"/>
                    </w:rPr>
                    <w:t>0.048</w:t>
                  </w:r>
                </w:p>
              </w:tc>
              <w:tc>
                <w:tcPr>
                  <w:tcW w:w="552" w:type="pct"/>
                  <w:vAlign w:val="center"/>
                </w:tcPr>
                <w:p w14:paraId="5D511168">
                  <w:pPr>
                    <w:widowControl/>
                    <w:jc w:val="center"/>
                    <w:rPr>
                      <w:color w:val="auto"/>
                      <w:kern w:val="0"/>
                      <w:szCs w:val="21"/>
                    </w:rPr>
                  </w:pPr>
                  <w:r>
                    <w:rPr>
                      <w:color w:val="auto"/>
                      <w:kern w:val="0"/>
                      <w:szCs w:val="21"/>
                    </w:rPr>
                    <w:t>0.075</w:t>
                  </w:r>
                </w:p>
              </w:tc>
              <w:tc>
                <w:tcPr>
                  <w:tcW w:w="553" w:type="pct"/>
                  <w:vAlign w:val="center"/>
                </w:tcPr>
                <w:p w14:paraId="0A15B43A">
                  <w:pPr>
                    <w:widowControl/>
                    <w:jc w:val="center"/>
                    <w:rPr>
                      <w:color w:val="auto"/>
                      <w:kern w:val="0"/>
                      <w:szCs w:val="21"/>
                    </w:rPr>
                  </w:pPr>
                  <w:r>
                    <w:rPr>
                      <w:color w:val="auto"/>
                      <w:kern w:val="0"/>
                      <w:szCs w:val="21"/>
                    </w:rPr>
                    <w:t>0.108</w:t>
                  </w:r>
                </w:p>
              </w:tc>
              <w:tc>
                <w:tcPr>
                  <w:tcW w:w="553" w:type="pct"/>
                  <w:vAlign w:val="center"/>
                </w:tcPr>
                <w:p w14:paraId="7DAFC8B1">
                  <w:pPr>
                    <w:widowControl/>
                    <w:autoSpaceDE w:val="0"/>
                    <w:autoSpaceDN w:val="0"/>
                    <w:jc w:val="center"/>
                    <w:rPr>
                      <w:color w:val="auto"/>
                      <w:kern w:val="0"/>
                      <w:szCs w:val="21"/>
                    </w:rPr>
                  </w:pPr>
                  <w:r>
                    <w:rPr>
                      <w:color w:val="auto"/>
                      <w:kern w:val="0"/>
                      <w:szCs w:val="21"/>
                    </w:rPr>
                    <w:t>0.147</w:t>
                  </w:r>
                </w:p>
              </w:tc>
            </w:tr>
            <w:tr w14:paraId="3761B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04E93295">
                  <w:pPr>
                    <w:widowControl/>
                    <w:jc w:val="center"/>
                    <w:rPr>
                      <w:color w:val="auto"/>
                      <w:kern w:val="0"/>
                      <w:szCs w:val="21"/>
                    </w:rPr>
                  </w:pPr>
                  <w:r>
                    <w:rPr>
                      <w:color w:val="auto"/>
                      <w:kern w:val="0"/>
                      <w:szCs w:val="21"/>
                    </w:rPr>
                    <w:t>粒径（</w:t>
                  </w:r>
                  <w:r>
                    <w:rPr>
                      <w:i/>
                      <w:iCs/>
                      <w:color w:val="auto"/>
                      <w:kern w:val="0"/>
                      <w:szCs w:val="21"/>
                    </w:rPr>
                    <w:t>u</w:t>
                  </w:r>
                  <w:r>
                    <w:rPr>
                      <w:color w:val="auto"/>
                      <w:kern w:val="0"/>
                      <w:szCs w:val="21"/>
                    </w:rPr>
                    <w:t>m）</w:t>
                  </w:r>
                </w:p>
              </w:tc>
              <w:tc>
                <w:tcPr>
                  <w:tcW w:w="553" w:type="pct"/>
                  <w:vAlign w:val="center"/>
                </w:tcPr>
                <w:p w14:paraId="014626BF">
                  <w:pPr>
                    <w:widowControl/>
                    <w:jc w:val="center"/>
                    <w:rPr>
                      <w:color w:val="auto"/>
                      <w:kern w:val="0"/>
                      <w:szCs w:val="21"/>
                    </w:rPr>
                  </w:pPr>
                  <w:r>
                    <w:rPr>
                      <w:color w:val="auto"/>
                      <w:kern w:val="0"/>
                      <w:szCs w:val="21"/>
                    </w:rPr>
                    <w:t>80</w:t>
                  </w:r>
                </w:p>
              </w:tc>
              <w:tc>
                <w:tcPr>
                  <w:tcW w:w="553" w:type="pct"/>
                  <w:vAlign w:val="center"/>
                </w:tcPr>
                <w:p w14:paraId="7B490BBB">
                  <w:pPr>
                    <w:widowControl/>
                    <w:jc w:val="center"/>
                    <w:rPr>
                      <w:color w:val="auto"/>
                      <w:kern w:val="0"/>
                      <w:szCs w:val="21"/>
                    </w:rPr>
                  </w:pPr>
                  <w:r>
                    <w:rPr>
                      <w:color w:val="auto"/>
                      <w:kern w:val="0"/>
                      <w:szCs w:val="21"/>
                    </w:rPr>
                    <w:t>90</w:t>
                  </w:r>
                </w:p>
              </w:tc>
              <w:tc>
                <w:tcPr>
                  <w:tcW w:w="553" w:type="pct"/>
                  <w:vAlign w:val="center"/>
                </w:tcPr>
                <w:p w14:paraId="3C53F46E">
                  <w:pPr>
                    <w:widowControl/>
                    <w:jc w:val="center"/>
                    <w:rPr>
                      <w:color w:val="auto"/>
                      <w:kern w:val="0"/>
                      <w:szCs w:val="21"/>
                    </w:rPr>
                  </w:pPr>
                  <w:r>
                    <w:rPr>
                      <w:color w:val="auto"/>
                      <w:kern w:val="0"/>
                      <w:szCs w:val="21"/>
                    </w:rPr>
                    <w:t>100</w:t>
                  </w:r>
                </w:p>
              </w:tc>
              <w:tc>
                <w:tcPr>
                  <w:tcW w:w="555" w:type="pct"/>
                  <w:vAlign w:val="center"/>
                </w:tcPr>
                <w:p w14:paraId="7BD4E9C3">
                  <w:pPr>
                    <w:widowControl/>
                    <w:jc w:val="center"/>
                    <w:rPr>
                      <w:color w:val="auto"/>
                      <w:kern w:val="0"/>
                      <w:szCs w:val="21"/>
                    </w:rPr>
                  </w:pPr>
                  <w:r>
                    <w:rPr>
                      <w:color w:val="auto"/>
                      <w:kern w:val="0"/>
                      <w:szCs w:val="21"/>
                    </w:rPr>
                    <w:t>150</w:t>
                  </w:r>
                </w:p>
              </w:tc>
              <w:tc>
                <w:tcPr>
                  <w:tcW w:w="552" w:type="pct"/>
                  <w:vAlign w:val="center"/>
                </w:tcPr>
                <w:p w14:paraId="3218DAD2">
                  <w:pPr>
                    <w:widowControl/>
                    <w:jc w:val="center"/>
                    <w:rPr>
                      <w:color w:val="auto"/>
                      <w:kern w:val="0"/>
                      <w:szCs w:val="21"/>
                    </w:rPr>
                  </w:pPr>
                  <w:r>
                    <w:rPr>
                      <w:color w:val="auto"/>
                      <w:kern w:val="0"/>
                      <w:szCs w:val="21"/>
                    </w:rPr>
                    <w:t>200</w:t>
                  </w:r>
                </w:p>
              </w:tc>
              <w:tc>
                <w:tcPr>
                  <w:tcW w:w="553" w:type="pct"/>
                  <w:vAlign w:val="center"/>
                </w:tcPr>
                <w:p w14:paraId="7E8F833A">
                  <w:pPr>
                    <w:widowControl/>
                    <w:jc w:val="center"/>
                    <w:rPr>
                      <w:color w:val="auto"/>
                      <w:kern w:val="0"/>
                      <w:szCs w:val="21"/>
                    </w:rPr>
                  </w:pPr>
                  <w:r>
                    <w:rPr>
                      <w:color w:val="auto"/>
                      <w:kern w:val="0"/>
                      <w:szCs w:val="21"/>
                    </w:rPr>
                    <w:t>25</w:t>
                  </w:r>
                </w:p>
              </w:tc>
              <w:tc>
                <w:tcPr>
                  <w:tcW w:w="553" w:type="pct"/>
                  <w:vAlign w:val="center"/>
                </w:tcPr>
                <w:p w14:paraId="62AA3936">
                  <w:pPr>
                    <w:widowControl/>
                    <w:jc w:val="center"/>
                    <w:rPr>
                      <w:color w:val="auto"/>
                      <w:kern w:val="0"/>
                      <w:szCs w:val="21"/>
                    </w:rPr>
                  </w:pPr>
                  <w:r>
                    <w:rPr>
                      <w:color w:val="auto"/>
                      <w:kern w:val="0"/>
                      <w:szCs w:val="21"/>
                    </w:rPr>
                    <w:t>300</w:t>
                  </w:r>
                </w:p>
              </w:tc>
            </w:tr>
            <w:tr w14:paraId="59528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39D9958E">
                  <w:pPr>
                    <w:widowControl/>
                    <w:jc w:val="center"/>
                    <w:rPr>
                      <w:color w:val="auto"/>
                      <w:kern w:val="0"/>
                      <w:szCs w:val="21"/>
                    </w:rPr>
                  </w:pPr>
                  <w:r>
                    <w:rPr>
                      <w:color w:val="auto"/>
                      <w:kern w:val="0"/>
                      <w:szCs w:val="21"/>
                    </w:rPr>
                    <w:t>沉降速度（m/s）</w:t>
                  </w:r>
                </w:p>
              </w:tc>
              <w:tc>
                <w:tcPr>
                  <w:tcW w:w="553" w:type="pct"/>
                  <w:vAlign w:val="center"/>
                </w:tcPr>
                <w:p w14:paraId="6B4B2FFE">
                  <w:pPr>
                    <w:widowControl/>
                    <w:jc w:val="center"/>
                    <w:rPr>
                      <w:color w:val="auto"/>
                      <w:kern w:val="0"/>
                      <w:szCs w:val="21"/>
                    </w:rPr>
                  </w:pPr>
                  <w:r>
                    <w:rPr>
                      <w:color w:val="auto"/>
                      <w:kern w:val="0"/>
                      <w:szCs w:val="21"/>
                    </w:rPr>
                    <w:t>0.15</w:t>
                  </w:r>
                </w:p>
              </w:tc>
              <w:tc>
                <w:tcPr>
                  <w:tcW w:w="553" w:type="pct"/>
                  <w:vAlign w:val="center"/>
                </w:tcPr>
                <w:p w14:paraId="3E7D0116">
                  <w:pPr>
                    <w:widowControl/>
                    <w:jc w:val="center"/>
                    <w:rPr>
                      <w:color w:val="auto"/>
                      <w:kern w:val="0"/>
                      <w:szCs w:val="21"/>
                    </w:rPr>
                  </w:pPr>
                  <w:r>
                    <w:rPr>
                      <w:color w:val="auto"/>
                      <w:kern w:val="0"/>
                      <w:szCs w:val="21"/>
                    </w:rPr>
                    <w:t>0.170</w:t>
                  </w:r>
                </w:p>
              </w:tc>
              <w:tc>
                <w:tcPr>
                  <w:tcW w:w="553" w:type="pct"/>
                  <w:vAlign w:val="center"/>
                </w:tcPr>
                <w:p w14:paraId="5C9F6C5A">
                  <w:pPr>
                    <w:widowControl/>
                    <w:jc w:val="center"/>
                    <w:rPr>
                      <w:color w:val="auto"/>
                      <w:kern w:val="0"/>
                      <w:szCs w:val="21"/>
                    </w:rPr>
                  </w:pPr>
                  <w:r>
                    <w:rPr>
                      <w:color w:val="auto"/>
                      <w:kern w:val="0"/>
                      <w:szCs w:val="21"/>
                    </w:rPr>
                    <w:t>0.182</w:t>
                  </w:r>
                </w:p>
              </w:tc>
              <w:tc>
                <w:tcPr>
                  <w:tcW w:w="555" w:type="pct"/>
                  <w:vAlign w:val="center"/>
                </w:tcPr>
                <w:p w14:paraId="6B0C9DD9">
                  <w:pPr>
                    <w:widowControl/>
                    <w:jc w:val="center"/>
                    <w:rPr>
                      <w:color w:val="auto"/>
                      <w:kern w:val="0"/>
                      <w:szCs w:val="21"/>
                    </w:rPr>
                  </w:pPr>
                  <w:r>
                    <w:rPr>
                      <w:color w:val="auto"/>
                      <w:kern w:val="0"/>
                      <w:szCs w:val="21"/>
                    </w:rPr>
                    <w:t>0.239</w:t>
                  </w:r>
                </w:p>
              </w:tc>
              <w:tc>
                <w:tcPr>
                  <w:tcW w:w="552" w:type="pct"/>
                  <w:vAlign w:val="center"/>
                </w:tcPr>
                <w:p w14:paraId="5E106FE9">
                  <w:pPr>
                    <w:widowControl/>
                    <w:jc w:val="center"/>
                    <w:rPr>
                      <w:color w:val="auto"/>
                      <w:kern w:val="0"/>
                      <w:szCs w:val="21"/>
                    </w:rPr>
                  </w:pPr>
                  <w:r>
                    <w:rPr>
                      <w:color w:val="auto"/>
                      <w:kern w:val="0"/>
                      <w:szCs w:val="21"/>
                    </w:rPr>
                    <w:t>0.804</w:t>
                  </w:r>
                </w:p>
              </w:tc>
              <w:tc>
                <w:tcPr>
                  <w:tcW w:w="553" w:type="pct"/>
                  <w:vAlign w:val="center"/>
                </w:tcPr>
                <w:p w14:paraId="37A23502">
                  <w:pPr>
                    <w:widowControl/>
                    <w:jc w:val="center"/>
                    <w:rPr>
                      <w:color w:val="auto"/>
                      <w:kern w:val="0"/>
                      <w:szCs w:val="21"/>
                    </w:rPr>
                  </w:pPr>
                  <w:r>
                    <w:rPr>
                      <w:color w:val="auto"/>
                      <w:kern w:val="0"/>
                      <w:szCs w:val="21"/>
                    </w:rPr>
                    <w:t>1.00</w:t>
                  </w:r>
                </w:p>
              </w:tc>
              <w:tc>
                <w:tcPr>
                  <w:tcW w:w="553" w:type="pct"/>
                  <w:vAlign w:val="center"/>
                </w:tcPr>
                <w:p w14:paraId="64D84EC3">
                  <w:pPr>
                    <w:widowControl/>
                    <w:jc w:val="center"/>
                    <w:rPr>
                      <w:color w:val="auto"/>
                      <w:kern w:val="0"/>
                      <w:szCs w:val="21"/>
                    </w:rPr>
                  </w:pPr>
                  <w:r>
                    <w:rPr>
                      <w:color w:val="auto"/>
                      <w:kern w:val="0"/>
                      <w:szCs w:val="21"/>
                    </w:rPr>
                    <w:t>1.829</w:t>
                  </w:r>
                </w:p>
              </w:tc>
            </w:tr>
            <w:tr w14:paraId="19685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4D5800E9">
                  <w:pPr>
                    <w:widowControl/>
                    <w:jc w:val="center"/>
                    <w:rPr>
                      <w:color w:val="auto"/>
                      <w:kern w:val="0"/>
                      <w:szCs w:val="21"/>
                    </w:rPr>
                  </w:pPr>
                  <w:r>
                    <w:rPr>
                      <w:color w:val="auto"/>
                      <w:kern w:val="0"/>
                      <w:szCs w:val="21"/>
                    </w:rPr>
                    <w:t>粒径（</w:t>
                  </w:r>
                  <w:r>
                    <w:rPr>
                      <w:i/>
                      <w:iCs/>
                      <w:color w:val="auto"/>
                      <w:kern w:val="0"/>
                      <w:szCs w:val="21"/>
                    </w:rPr>
                    <w:t>u</w:t>
                  </w:r>
                  <w:r>
                    <w:rPr>
                      <w:color w:val="auto"/>
                      <w:kern w:val="0"/>
                      <w:szCs w:val="21"/>
                    </w:rPr>
                    <w:t>m）</w:t>
                  </w:r>
                </w:p>
              </w:tc>
              <w:tc>
                <w:tcPr>
                  <w:tcW w:w="553" w:type="pct"/>
                  <w:vAlign w:val="center"/>
                </w:tcPr>
                <w:p w14:paraId="4427D651">
                  <w:pPr>
                    <w:widowControl/>
                    <w:jc w:val="center"/>
                    <w:rPr>
                      <w:color w:val="auto"/>
                      <w:kern w:val="0"/>
                      <w:szCs w:val="21"/>
                    </w:rPr>
                  </w:pPr>
                  <w:r>
                    <w:rPr>
                      <w:color w:val="auto"/>
                      <w:kern w:val="0"/>
                      <w:szCs w:val="21"/>
                    </w:rPr>
                    <w:t>450</w:t>
                  </w:r>
                </w:p>
              </w:tc>
              <w:tc>
                <w:tcPr>
                  <w:tcW w:w="553" w:type="pct"/>
                  <w:vAlign w:val="center"/>
                </w:tcPr>
                <w:p w14:paraId="4755BBF0">
                  <w:pPr>
                    <w:widowControl/>
                    <w:jc w:val="center"/>
                    <w:rPr>
                      <w:color w:val="auto"/>
                      <w:kern w:val="0"/>
                      <w:szCs w:val="21"/>
                    </w:rPr>
                  </w:pPr>
                  <w:r>
                    <w:rPr>
                      <w:color w:val="auto"/>
                      <w:kern w:val="0"/>
                      <w:szCs w:val="21"/>
                    </w:rPr>
                    <w:t>550</w:t>
                  </w:r>
                </w:p>
              </w:tc>
              <w:tc>
                <w:tcPr>
                  <w:tcW w:w="553" w:type="pct"/>
                  <w:vAlign w:val="center"/>
                </w:tcPr>
                <w:p w14:paraId="3F17D036">
                  <w:pPr>
                    <w:widowControl/>
                    <w:jc w:val="center"/>
                    <w:rPr>
                      <w:color w:val="auto"/>
                      <w:kern w:val="0"/>
                      <w:szCs w:val="21"/>
                    </w:rPr>
                  </w:pPr>
                  <w:r>
                    <w:rPr>
                      <w:color w:val="auto"/>
                      <w:kern w:val="0"/>
                      <w:szCs w:val="21"/>
                    </w:rPr>
                    <w:t>650</w:t>
                  </w:r>
                </w:p>
              </w:tc>
              <w:tc>
                <w:tcPr>
                  <w:tcW w:w="555" w:type="pct"/>
                  <w:vAlign w:val="center"/>
                </w:tcPr>
                <w:p w14:paraId="0F9B8249">
                  <w:pPr>
                    <w:widowControl/>
                    <w:jc w:val="center"/>
                    <w:rPr>
                      <w:color w:val="auto"/>
                      <w:kern w:val="0"/>
                      <w:szCs w:val="21"/>
                    </w:rPr>
                  </w:pPr>
                  <w:r>
                    <w:rPr>
                      <w:color w:val="auto"/>
                      <w:kern w:val="0"/>
                      <w:szCs w:val="21"/>
                    </w:rPr>
                    <w:t>750</w:t>
                  </w:r>
                </w:p>
              </w:tc>
              <w:tc>
                <w:tcPr>
                  <w:tcW w:w="552" w:type="pct"/>
                  <w:vAlign w:val="center"/>
                </w:tcPr>
                <w:p w14:paraId="5BE1D5C0">
                  <w:pPr>
                    <w:widowControl/>
                    <w:jc w:val="center"/>
                    <w:rPr>
                      <w:color w:val="auto"/>
                      <w:kern w:val="0"/>
                      <w:szCs w:val="21"/>
                    </w:rPr>
                  </w:pPr>
                  <w:r>
                    <w:rPr>
                      <w:color w:val="auto"/>
                      <w:kern w:val="0"/>
                      <w:szCs w:val="21"/>
                    </w:rPr>
                    <w:t>850</w:t>
                  </w:r>
                </w:p>
              </w:tc>
              <w:tc>
                <w:tcPr>
                  <w:tcW w:w="553" w:type="pct"/>
                  <w:vAlign w:val="center"/>
                </w:tcPr>
                <w:p w14:paraId="01D21F8A">
                  <w:pPr>
                    <w:widowControl/>
                    <w:jc w:val="center"/>
                    <w:rPr>
                      <w:color w:val="auto"/>
                      <w:kern w:val="0"/>
                      <w:szCs w:val="21"/>
                    </w:rPr>
                  </w:pPr>
                  <w:r>
                    <w:rPr>
                      <w:color w:val="auto"/>
                      <w:kern w:val="0"/>
                      <w:szCs w:val="21"/>
                    </w:rPr>
                    <w:t>950</w:t>
                  </w:r>
                </w:p>
              </w:tc>
              <w:tc>
                <w:tcPr>
                  <w:tcW w:w="553" w:type="pct"/>
                  <w:vAlign w:val="center"/>
                </w:tcPr>
                <w:p w14:paraId="75109D1D">
                  <w:pPr>
                    <w:widowControl/>
                    <w:jc w:val="center"/>
                    <w:rPr>
                      <w:color w:val="auto"/>
                      <w:kern w:val="0"/>
                      <w:szCs w:val="21"/>
                    </w:rPr>
                  </w:pPr>
                  <w:r>
                    <w:rPr>
                      <w:color w:val="auto"/>
                      <w:kern w:val="0"/>
                      <w:szCs w:val="21"/>
                    </w:rPr>
                    <w:t>1050</w:t>
                  </w:r>
                </w:p>
              </w:tc>
            </w:tr>
            <w:tr w14:paraId="7A4E4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24" w:type="pct"/>
                  <w:vAlign w:val="center"/>
                </w:tcPr>
                <w:p w14:paraId="524FB15E">
                  <w:pPr>
                    <w:widowControl/>
                    <w:jc w:val="center"/>
                    <w:rPr>
                      <w:color w:val="auto"/>
                      <w:kern w:val="0"/>
                      <w:szCs w:val="21"/>
                    </w:rPr>
                  </w:pPr>
                  <w:r>
                    <w:rPr>
                      <w:color w:val="auto"/>
                      <w:kern w:val="0"/>
                      <w:szCs w:val="21"/>
                    </w:rPr>
                    <w:t>沉降速度（m/s）</w:t>
                  </w:r>
                </w:p>
              </w:tc>
              <w:tc>
                <w:tcPr>
                  <w:tcW w:w="553" w:type="pct"/>
                  <w:vAlign w:val="center"/>
                </w:tcPr>
                <w:p w14:paraId="56545689">
                  <w:pPr>
                    <w:widowControl/>
                    <w:jc w:val="center"/>
                    <w:rPr>
                      <w:color w:val="auto"/>
                      <w:kern w:val="0"/>
                      <w:szCs w:val="21"/>
                    </w:rPr>
                  </w:pPr>
                  <w:r>
                    <w:rPr>
                      <w:color w:val="auto"/>
                      <w:kern w:val="0"/>
                      <w:szCs w:val="21"/>
                    </w:rPr>
                    <w:t>2.211</w:t>
                  </w:r>
                </w:p>
              </w:tc>
              <w:tc>
                <w:tcPr>
                  <w:tcW w:w="553" w:type="pct"/>
                  <w:vAlign w:val="center"/>
                </w:tcPr>
                <w:p w14:paraId="7C88BB7A">
                  <w:pPr>
                    <w:widowControl/>
                    <w:jc w:val="center"/>
                    <w:rPr>
                      <w:color w:val="auto"/>
                      <w:kern w:val="0"/>
                      <w:szCs w:val="21"/>
                    </w:rPr>
                  </w:pPr>
                  <w:r>
                    <w:rPr>
                      <w:color w:val="auto"/>
                      <w:kern w:val="0"/>
                      <w:szCs w:val="21"/>
                    </w:rPr>
                    <w:t>2.614</w:t>
                  </w:r>
                </w:p>
              </w:tc>
              <w:tc>
                <w:tcPr>
                  <w:tcW w:w="553" w:type="pct"/>
                  <w:vAlign w:val="center"/>
                </w:tcPr>
                <w:p w14:paraId="248D453D">
                  <w:pPr>
                    <w:widowControl/>
                    <w:jc w:val="center"/>
                    <w:rPr>
                      <w:color w:val="auto"/>
                      <w:kern w:val="0"/>
                      <w:szCs w:val="21"/>
                    </w:rPr>
                  </w:pPr>
                  <w:r>
                    <w:rPr>
                      <w:color w:val="auto"/>
                      <w:kern w:val="0"/>
                      <w:szCs w:val="21"/>
                    </w:rPr>
                    <w:t>3.016</w:t>
                  </w:r>
                </w:p>
              </w:tc>
              <w:tc>
                <w:tcPr>
                  <w:tcW w:w="555" w:type="pct"/>
                  <w:vAlign w:val="center"/>
                </w:tcPr>
                <w:p w14:paraId="5AA5E9D5">
                  <w:pPr>
                    <w:widowControl/>
                    <w:jc w:val="center"/>
                    <w:rPr>
                      <w:color w:val="auto"/>
                      <w:kern w:val="0"/>
                      <w:szCs w:val="21"/>
                    </w:rPr>
                  </w:pPr>
                  <w:r>
                    <w:rPr>
                      <w:color w:val="auto"/>
                      <w:kern w:val="0"/>
                      <w:szCs w:val="21"/>
                    </w:rPr>
                    <w:t>3.418</w:t>
                  </w:r>
                </w:p>
              </w:tc>
              <w:tc>
                <w:tcPr>
                  <w:tcW w:w="552" w:type="pct"/>
                  <w:vAlign w:val="center"/>
                </w:tcPr>
                <w:p w14:paraId="2A0884D2">
                  <w:pPr>
                    <w:widowControl/>
                    <w:jc w:val="center"/>
                    <w:rPr>
                      <w:color w:val="auto"/>
                      <w:kern w:val="0"/>
                      <w:szCs w:val="21"/>
                    </w:rPr>
                  </w:pPr>
                  <w:r>
                    <w:rPr>
                      <w:color w:val="auto"/>
                      <w:kern w:val="0"/>
                      <w:szCs w:val="21"/>
                    </w:rPr>
                    <w:t>3.820</w:t>
                  </w:r>
                </w:p>
              </w:tc>
              <w:tc>
                <w:tcPr>
                  <w:tcW w:w="553" w:type="pct"/>
                  <w:vAlign w:val="center"/>
                </w:tcPr>
                <w:p w14:paraId="23DC2A1B">
                  <w:pPr>
                    <w:widowControl/>
                    <w:jc w:val="center"/>
                    <w:rPr>
                      <w:color w:val="auto"/>
                      <w:kern w:val="0"/>
                      <w:szCs w:val="21"/>
                    </w:rPr>
                  </w:pPr>
                  <w:r>
                    <w:rPr>
                      <w:color w:val="auto"/>
                      <w:kern w:val="0"/>
                      <w:szCs w:val="21"/>
                    </w:rPr>
                    <w:t>4.222</w:t>
                  </w:r>
                </w:p>
              </w:tc>
              <w:tc>
                <w:tcPr>
                  <w:tcW w:w="553" w:type="pct"/>
                  <w:vAlign w:val="center"/>
                </w:tcPr>
                <w:p w14:paraId="50482207">
                  <w:pPr>
                    <w:widowControl/>
                    <w:jc w:val="center"/>
                    <w:rPr>
                      <w:color w:val="auto"/>
                      <w:kern w:val="0"/>
                      <w:szCs w:val="21"/>
                    </w:rPr>
                  </w:pPr>
                  <w:r>
                    <w:rPr>
                      <w:color w:val="auto"/>
                      <w:kern w:val="0"/>
                      <w:szCs w:val="21"/>
                    </w:rPr>
                    <w:t>4.624</w:t>
                  </w:r>
                </w:p>
              </w:tc>
            </w:tr>
          </w:tbl>
          <w:p w14:paraId="27FA3669">
            <w:pPr>
              <w:spacing w:line="360" w:lineRule="auto"/>
              <w:ind w:firstLine="480" w:firstLineChars="200"/>
              <w:rPr>
                <w:color w:val="auto"/>
                <w:kern w:val="0"/>
                <w:sz w:val="24"/>
              </w:rPr>
            </w:pPr>
            <w:r>
              <w:rPr>
                <w:color w:val="auto"/>
                <w:kern w:val="0"/>
                <w:sz w:val="24"/>
              </w:rPr>
              <w:t>②车辆行驶动力起尘</w:t>
            </w:r>
          </w:p>
          <w:p w14:paraId="450632C9">
            <w:pPr>
              <w:spacing w:line="360" w:lineRule="auto"/>
              <w:ind w:firstLine="480" w:firstLineChars="200"/>
              <w:rPr>
                <w:color w:val="auto"/>
                <w:kern w:val="0"/>
                <w:sz w:val="24"/>
              </w:rPr>
            </w:pPr>
            <w:r>
              <w:rPr>
                <w:color w:val="auto"/>
                <w:kern w:val="0"/>
                <w:sz w:val="24"/>
              </w:rPr>
              <w:t>据有关文献，车辆行驶产生的扬尘占总扬尘的60%以上，车辆行驶产生的扬尘，在完全干燥情况下，可按下列经验公式计算：</w:t>
            </w:r>
          </w:p>
          <w:p w14:paraId="19D71E4A">
            <w:pPr>
              <w:autoSpaceDE w:val="0"/>
              <w:autoSpaceDN w:val="0"/>
              <w:spacing w:line="360" w:lineRule="auto"/>
              <w:jc w:val="center"/>
              <w:rPr>
                <w:color w:val="auto"/>
                <w:kern w:val="0"/>
                <w:sz w:val="24"/>
              </w:rPr>
            </w:pPr>
            <w:r>
              <w:rPr>
                <w:color w:val="auto"/>
                <w:kern w:val="0"/>
                <w:sz w:val="24"/>
              </w:rPr>
              <w:t>Q＝0.123（Ⅳ/5）（W/6.8）0.85（P/0.5）0.75</w:t>
            </w:r>
          </w:p>
          <w:p w14:paraId="6CB1CB7B">
            <w:pPr>
              <w:autoSpaceDE w:val="0"/>
              <w:autoSpaceDN w:val="0"/>
              <w:spacing w:line="360" w:lineRule="auto"/>
              <w:ind w:firstLine="480" w:firstLineChars="200"/>
              <w:jc w:val="left"/>
              <w:rPr>
                <w:color w:val="auto"/>
                <w:kern w:val="0"/>
                <w:sz w:val="24"/>
              </w:rPr>
            </w:pPr>
            <w:r>
              <w:rPr>
                <w:color w:val="auto"/>
                <w:kern w:val="0"/>
                <w:sz w:val="24"/>
              </w:rPr>
              <w:t>式中：Q―汽车行驶时的扬尘，kg/Km.辆；</w:t>
            </w:r>
          </w:p>
          <w:p w14:paraId="7BD81C46">
            <w:pPr>
              <w:spacing w:line="360" w:lineRule="auto"/>
              <w:ind w:firstLine="1200" w:firstLineChars="500"/>
              <w:rPr>
                <w:color w:val="auto"/>
                <w:kern w:val="0"/>
                <w:sz w:val="24"/>
              </w:rPr>
            </w:pPr>
            <w:r>
              <w:rPr>
                <w:color w:val="auto"/>
                <w:kern w:val="0"/>
                <w:sz w:val="24"/>
              </w:rPr>
              <w:t>Ⅳ―汽车速度，km/h；</w:t>
            </w:r>
          </w:p>
          <w:p w14:paraId="2CC1AD88">
            <w:pPr>
              <w:spacing w:line="360" w:lineRule="auto"/>
              <w:ind w:firstLine="1200" w:firstLineChars="500"/>
              <w:rPr>
                <w:color w:val="auto"/>
                <w:kern w:val="0"/>
                <w:sz w:val="24"/>
              </w:rPr>
            </w:pPr>
            <w:r>
              <w:rPr>
                <w:color w:val="auto"/>
                <w:kern w:val="0"/>
                <w:sz w:val="24"/>
              </w:rPr>
              <w:t>W―汽车载重量，t；</w:t>
            </w:r>
          </w:p>
          <w:p w14:paraId="1D2AF6E0">
            <w:pPr>
              <w:widowControl/>
              <w:spacing w:line="360" w:lineRule="auto"/>
              <w:ind w:firstLine="1200" w:firstLineChars="500"/>
              <w:rPr>
                <w:color w:val="auto"/>
                <w:kern w:val="0"/>
                <w:sz w:val="24"/>
              </w:rPr>
            </w:pPr>
            <w:r>
              <w:rPr>
                <w:color w:val="auto"/>
                <w:kern w:val="0"/>
                <w:sz w:val="24"/>
              </w:rPr>
              <w:t>P―道路表面粉尘量，kg/m</w:t>
            </w:r>
            <w:r>
              <w:rPr>
                <w:color w:val="auto"/>
                <w:kern w:val="0"/>
                <w:sz w:val="24"/>
                <w:vertAlign w:val="superscript"/>
              </w:rPr>
              <w:t>2</w:t>
            </w:r>
            <w:r>
              <w:rPr>
                <w:color w:val="auto"/>
                <w:kern w:val="0"/>
                <w:sz w:val="24"/>
              </w:rPr>
              <w:t>。</w:t>
            </w:r>
          </w:p>
          <w:p w14:paraId="144DB942">
            <w:pPr>
              <w:widowControl/>
              <w:spacing w:line="360" w:lineRule="auto"/>
              <w:ind w:firstLine="480" w:firstLineChars="200"/>
              <w:jc w:val="left"/>
              <w:rPr>
                <w:color w:val="auto"/>
                <w:kern w:val="0"/>
                <w:sz w:val="24"/>
              </w:rPr>
            </w:pPr>
            <w:r>
              <w:rPr>
                <w:color w:val="auto"/>
                <w:kern w:val="0"/>
                <w:sz w:val="24"/>
              </w:rPr>
              <w:t>表</w:t>
            </w:r>
            <w:r>
              <w:rPr>
                <w:rFonts w:hint="eastAsia"/>
                <w:color w:val="auto"/>
                <w:kern w:val="0"/>
                <w:sz w:val="24"/>
              </w:rPr>
              <w:t>4-2</w:t>
            </w:r>
            <w:r>
              <w:rPr>
                <w:color w:val="auto"/>
                <w:kern w:val="0"/>
                <w:sz w:val="24"/>
              </w:rPr>
              <w:t>中为一辆10吨卡车，通过一段长度为1km的路面时，不同路面清洁程度，不同行驶速度情况下的扬尘量。由此可见，在同样路面清洁程度条件下，车速越快，扬尘量越大；而在同样车速情况下，路面越脏，扬尘量越大。</w:t>
            </w:r>
          </w:p>
          <w:p w14:paraId="04C8D034">
            <w:pPr>
              <w:widowControl/>
              <w:jc w:val="center"/>
              <w:rPr>
                <w:b/>
                <w:color w:val="auto"/>
                <w:kern w:val="0"/>
                <w:szCs w:val="21"/>
              </w:rPr>
            </w:pPr>
            <w:r>
              <w:rPr>
                <w:b/>
                <w:color w:val="auto"/>
                <w:kern w:val="0"/>
                <w:szCs w:val="21"/>
              </w:rPr>
              <w:t>表</w:t>
            </w:r>
            <w:r>
              <w:rPr>
                <w:rFonts w:hint="eastAsia"/>
                <w:b/>
                <w:color w:val="auto"/>
                <w:kern w:val="0"/>
                <w:szCs w:val="21"/>
              </w:rPr>
              <w:t>4-2</w:t>
            </w:r>
            <w:r>
              <w:rPr>
                <w:b/>
                <w:color w:val="auto"/>
                <w:kern w:val="0"/>
                <w:szCs w:val="21"/>
              </w:rPr>
              <w:t xml:space="preserve">   在不同车速和地面清洁程度的汽车扬尘</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990"/>
              <w:gridCol w:w="991"/>
              <w:gridCol w:w="991"/>
              <w:gridCol w:w="992"/>
              <w:gridCol w:w="992"/>
              <w:gridCol w:w="991"/>
            </w:tblGrid>
            <w:tr w14:paraId="327EB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09" w:type="dxa"/>
                  <w:tcBorders>
                    <w:tl2br w:val="single" w:color="auto" w:sz="12" w:space="0"/>
                  </w:tcBorders>
                  <w:vAlign w:val="center"/>
                </w:tcPr>
                <w:p w14:paraId="26E80959">
                  <w:pPr>
                    <w:widowControl/>
                    <w:autoSpaceDE w:val="0"/>
                    <w:autoSpaceDN w:val="0"/>
                    <w:jc w:val="right"/>
                    <w:rPr>
                      <w:color w:val="auto"/>
                      <w:kern w:val="0"/>
                      <w:szCs w:val="21"/>
                    </w:rPr>
                  </w:pPr>
                  <w:r>
                    <w:rPr>
                      <w:color w:val="auto"/>
                      <w:kern w:val="0"/>
                      <w:szCs w:val="21"/>
                    </w:rPr>
                    <w:t>P（kg/m</w:t>
                  </w:r>
                  <w:r>
                    <w:rPr>
                      <w:color w:val="auto"/>
                      <w:kern w:val="0"/>
                      <w:szCs w:val="21"/>
                      <w:vertAlign w:val="superscript"/>
                    </w:rPr>
                    <w:t>2</w:t>
                  </w:r>
                  <w:r>
                    <w:rPr>
                      <w:color w:val="auto"/>
                      <w:kern w:val="0"/>
                      <w:szCs w:val="21"/>
                    </w:rPr>
                    <w:t>）</w:t>
                  </w:r>
                </w:p>
                <w:p w14:paraId="2EBB667D">
                  <w:pPr>
                    <w:widowControl/>
                    <w:jc w:val="left"/>
                    <w:rPr>
                      <w:color w:val="auto"/>
                      <w:kern w:val="0"/>
                      <w:szCs w:val="21"/>
                    </w:rPr>
                  </w:pPr>
                  <w:r>
                    <w:rPr>
                      <w:color w:val="auto"/>
                      <w:kern w:val="0"/>
                      <w:szCs w:val="21"/>
                    </w:rPr>
                    <w:t>车速（km/h）</w:t>
                  </w:r>
                </w:p>
              </w:tc>
              <w:tc>
                <w:tcPr>
                  <w:tcW w:w="1086" w:type="dxa"/>
                  <w:vAlign w:val="center"/>
                </w:tcPr>
                <w:p w14:paraId="66578401">
                  <w:pPr>
                    <w:widowControl/>
                    <w:autoSpaceDE w:val="0"/>
                    <w:autoSpaceDN w:val="0"/>
                    <w:jc w:val="center"/>
                    <w:rPr>
                      <w:color w:val="auto"/>
                      <w:kern w:val="0"/>
                      <w:szCs w:val="21"/>
                    </w:rPr>
                  </w:pPr>
                  <w:r>
                    <w:rPr>
                      <w:color w:val="auto"/>
                      <w:kern w:val="0"/>
                      <w:szCs w:val="21"/>
                    </w:rPr>
                    <w:t>0.1</w:t>
                  </w:r>
                </w:p>
              </w:tc>
              <w:tc>
                <w:tcPr>
                  <w:tcW w:w="1086" w:type="dxa"/>
                  <w:vAlign w:val="center"/>
                </w:tcPr>
                <w:p w14:paraId="466FF5DA">
                  <w:pPr>
                    <w:widowControl/>
                    <w:jc w:val="center"/>
                    <w:rPr>
                      <w:color w:val="auto"/>
                      <w:kern w:val="0"/>
                      <w:szCs w:val="21"/>
                    </w:rPr>
                  </w:pPr>
                  <w:r>
                    <w:rPr>
                      <w:color w:val="auto"/>
                      <w:kern w:val="0"/>
                      <w:szCs w:val="21"/>
                    </w:rPr>
                    <w:t>0.2</w:t>
                  </w:r>
                </w:p>
              </w:tc>
              <w:tc>
                <w:tcPr>
                  <w:tcW w:w="1086" w:type="dxa"/>
                  <w:vAlign w:val="center"/>
                </w:tcPr>
                <w:p w14:paraId="50377DB7">
                  <w:pPr>
                    <w:widowControl/>
                    <w:jc w:val="center"/>
                    <w:rPr>
                      <w:color w:val="auto"/>
                      <w:kern w:val="0"/>
                      <w:szCs w:val="21"/>
                    </w:rPr>
                  </w:pPr>
                  <w:r>
                    <w:rPr>
                      <w:color w:val="auto"/>
                      <w:kern w:val="0"/>
                      <w:szCs w:val="21"/>
                    </w:rPr>
                    <w:t>0.3</w:t>
                  </w:r>
                </w:p>
              </w:tc>
              <w:tc>
                <w:tcPr>
                  <w:tcW w:w="1088" w:type="dxa"/>
                  <w:vAlign w:val="center"/>
                </w:tcPr>
                <w:p w14:paraId="7BDEC74B">
                  <w:pPr>
                    <w:widowControl/>
                    <w:jc w:val="center"/>
                    <w:rPr>
                      <w:color w:val="auto"/>
                      <w:kern w:val="0"/>
                      <w:szCs w:val="21"/>
                    </w:rPr>
                  </w:pPr>
                  <w:r>
                    <w:rPr>
                      <w:color w:val="auto"/>
                      <w:kern w:val="0"/>
                      <w:szCs w:val="21"/>
                    </w:rPr>
                    <w:t>0.4</w:t>
                  </w:r>
                </w:p>
              </w:tc>
              <w:tc>
                <w:tcPr>
                  <w:tcW w:w="1088" w:type="dxa"/>
                  <w:vAlign w:val="center"/>
                </w:tcPr>
                <w:p w14:paraId="2C908514">
                  <w:pPr>
                    <w:widowControl/>
                    <w:jc w:val="center"/>
                    <w:rPr>
                      <w:color w:val="auto"/>
                      <w:kern w:val="0"/>
                      <w:szCs w:val="21"/>
                    </w:rPr>
                  </w:pPr>
                  <w:r>
                    <w:rPr>
                      <w:color w:val="auto"/>
                      <w:kern w:val="0"/>
                      <w:szCs w:val="21"/>
                    </w:rPr>
                    <w:t>0.5</w:t>
                  </w:r>
                </w:p>
              </w:tc>
              <w:tc>
                <w:tcPr>
                  <w:tcW w:w="1086" w:type="dxa"/>
                  <w:vAlign w:val="center"/>
                </w:tcPr>
                <w:p w14:paraId="3F4E1B6B">
                  <w:pPr>
                    <w:widowControl/>
                    <w:jc w:val="center"/>
                    <w:rPr>
                      <w:color w:val="auto"/>
                      <w:kern w:val="0"/>
                      <w:szCs w:val="21"/>
                    </w:rPr>
                  </w:pPr>
                  <w:r>
                    <w:rPr>
                      <w:color w:val="auto"/>
                      <w:kern w:val="0"/>
                      <w:szCs w:val="21"/>
                    </w:rPr>
                    <w:t>1</w:t>
                  </w:r>
                </w:p>
              </w:tc>
            </w:tr>
            <w:tr w14:paraId="72695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09" w:type="dxa"/>
                  <w:vAlign w:val="center"/>
                </w:tcPr>
                <w:p w14:paraId="42857881">
                  <w:pPr>
                    <w:widowControl/>
                    <w:jc w:val="center"/>
                    <w:rPr>
                      <w:color w:val="auto"/>
                      <w:kern w:val="0"/>
                      <w:szCs w:val="21"/>
                    </w:rPr>
                  </w:pPr>
                  <w:r>
                    <w:rPr>
                      <w:color w:val="auto"/>
                      <w:kern w:val="0"/>
                      <w:szCs w:val="21"/>
                    </w:rPr>
                    <w:t>5（km/hr）</w:t>
                  </w:r>
                </w:p>
              </w:tc>
              <w:tc>
                <w:tcPr>
                  <w:tcW w:w="1086" w:type="dxa"/>
                  <w:vAlign w:val="center"/>
                </w:tcPr>
                <w:p w14:paraId="156CBE63">
                  <w:pPr>
                    <w:widowControl/>
                    <w:jc w:val="center"/>
                    <w:rPr>
                      <w:color w:val="auto"/>
                      <w:kern w:val="0"/>
                      <w:szCs w:val="21"/>
                    </w:rPr>
                  </w:pPr>
                  <w:r>
                    <w:rPr>
                      <w:color w:val="auto"/>
                      <w:kern w:val="0"/>
                      <w:szCs w:val="21"/>
                    </w:rPr>
                    <w:t>0.051</w:t>
                  </w:r>
                </w:p>
              </w:tc>
              <w:tc>
                <w:tcPr>
                  <w:tcW w:w="1086" w:type="dxa"/>
                  <w:vAlign w:val="center"/>
                </w:tcPr>
                <w:p w14:paraId="07D0A76C">
                  <w:pPr>
                    <w:widowControl/>
                    <w:jc w:val="center"/>
                    <w:rPr>
                      <w:color w:val="auto"/>
                      <w:kern w:val="0"/>
                      <w:szCs w:val="21"/>
                    </w:rPr>
                  </w:pPr>
                  <w:r>
                    <w:rPr>
                      <w:color w:val="auto"/>
                      <w:kern w:val="0"/>
                      <w:szCs w:val="21"/>
                    </w:rPr>
                    <w:t>0.086</w:t>
                  </w:r>
                </w:p>
              </w:tc>
              <w:tc>
                <w:tcPr>
                  <w:tcW w:w="1086" w:type="dxa"/>
                  <w:vAlign w:val="center"/>
                </w:tcPr>
                <w:p w14:paraId="6AB38A56">
                  <w:pPr>
                    <w:widowControl/>
                    <w:jc w:val="center"/>
                    <w:rPr>
                      <w:color w:val="auto"/>
                      <w:kern w:val="0"/>
                      <w:szCs w:val="21"/>
                    </w:rPr>
                  </w:pPr>
                  <w:r>
                    <w:rPr>
                      <w:color w:val="auto"/>
                      <w:kern w:val="0"/>
                      <w:szCs w:val="21"/>
                    </w:rPr>
                    <w:t>0.116</w:t>
                  </w:r>
                </w:p>
              </w:tc>
              <w:tc>
                <w:tcPr>
                  <w:tcW w:w="1088" w:type="dxa"/>
                  <w:vAlign w:val="center"/>
                </w:tcPr>
                <w:p w14:paraId="04CEF69D">
                  <w:pPr>
                    <w:widowControl/>
                    <w:jc w:val="center"/>
                    <w:rPr>
                      <w:color w:val="auto"/>
                      <w:kern w:val="0"/>
                      <w:szCs w:val="21"/>
                    </w:rPr>
                  </w:pPr>
                  <w:r>
                    <w:rPr>
                      <w:color w:val="auto"/>
                      <w:kern w:val="0"/>
                      <w:szCs w:val="21"/>
                    </w:rPr>
                    <w:t>0.144</w:t>
                  </w:r>
                </w:p>
              </w:tc>
              <w:tc>
                <w:tcPr>
                  <w:tcW w:w="1088" w:type="dxa"/>
                  <w:vAlign w:val="center"/>
                </w:tcPr>
                <w:p w14:paraId="12D791B2">
                  <w:pPr>
                    <w:widowControl/>
                    <w:jc w:val="center"/>
                    <w:rPr>
                      <w:color w:val="auto"/>
                      <w:kern w:val="0"/>
                      <w:szCs w:val="21"/>
                    </w:rPr>
                  </w:pPr>
                  <w:r>
                    <w:rPr>
                      <w:color w:val="auto"/>
                      <w:kern w:val="0"/>
                      <w:szCs w:val="21"/>
                    </w:rPr>
                    <w:t>0.171</w:t>
                  </w:r>
                </w:p>
              </w:tc>
              <w:tc>
                <w:tcPr>
                  <w:tcW w:w="1086" w:type="dxa"/>
                  <w:vAlign w:val="center"/>
                </w:tcPr>
                <w:p w14:paraId="72FD1707">
                  <w:pPr>
                    <w:widowControl/>
                    <w:jc w:val="center"/>
                    <w:rPr>
                      <w:color w:val="auto"/>
                      <w:kern w:val="0"/>
                      <w:szCs w:val="21"/>
                    </w:rPr>
                  </w:pPr>
                  <w:r>
                    <w:rPr>
                      <w:color w:val="auto"/>
                      <w:kern w:val="0"/>
                      <w:szCs w:val="21"/>
                    </w:rPr>
                    <w:t>0.287</w:t>
                  </w:r>
                </w:p>
              </w:tc>
            </w:tr>
            <w:tr w14:paraId="1ED25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09" w:type="dxa"/>
                  <w:vAlign w:val="center"/>
                </w:tcPr>
                <w:p w14:paraId="4F620BDB">
                  <w:pPr>
                    <w:widowControl/>
                    <w:jc w:val="center"/>
                    <w:rPr>
                      <w:color w:val="auto"/>
                      <w:kern w:val="0"/>
                      <w:szCs w:val="21"/>
                    </w:rPr>
                  </w:pPr>
                  <w:r>
                    <w:rPr>
                      <w:color w:val="auto"/>
                      <w:kern w:val="0"/>
                      <w:szCs w:val="21"/>
                    </w:rPr>
                    <w:t>10（km/hr）</w:t>
                  </w:r>
                </w:p>
              </w:tc>
              <w:tc>
                <w:tcPr>
                  <w:tcW w:w="1086" w:type="dxa"/>
                  <w:vAlign w:val="center"/>
                </w:tcPr>
                <w:p w14:paraId="7F6DB7E2">
                  <w:pPr>
                    <w:widowControl/>
                    <w:jc w:val="center"/>
                    <w:rPr>
                      <w:color w:val="auto"/>
                      <w:kern w:val="0"/>
                      <w:szCs w:val="21"/>
                    </w:rPr>
                  </w:pPr>
                  <w:r>
                    <w:rPr>
                      <w:color w:val="auto"/>
                      <w:kern w:val="0"/>
                      <w:szCs w:val="21"/>
                    </w:rPr>
                    <w:t>0.102</w:t>
                  </w:r>
                </w:p>
              </w:tc>
              <w:tc>
                <w:tcPr>
                  <w:tcW w:w="1086" w:type="dxa"/>
                  <w:vAlign w:val="center"/>
                </w:tcPr>
                <w:p w14:paraId="2F344573">
                  <w:pPr>
                    <w:widowControl/>
                    <w:jc w:val="center"/>
                    <w:rPr>
                      <w:color w:val="auto"/>
                      <w:kern w:val="0"/>
                      <w:szCs w:val="21"/>
                    </w:rPr>
                  </w:pPr>
                  <w:r>
                    <w:rPr>
                      <w:color w:val="auto"/>
                      <w:kern w:val="0"/>
                      <w:szCs w:val="21"/>
                    </w:rPr>
                    <w:t>0.171</w:t>
                  </w:r>
                </w:p>
              </w:tc>
              <w:tc>
                <w:tcPr>
                  <w:tcW w:w="1086" w:type="dxa"/>
                  <w:vAlign w:val="center"/>
                </w:tcPr>
                <w:p w14:paraId="0359196F">
                  <w:pPr>
                    <w:widowControl/>
                    <w:jc w:val="center"/>
                    <w:rPr>
                      <w:color w:val="auto"/>
                      <w:kern w:val="0"/>
                      <w:szCs w:val="21"/>
                    </w:rPr>
                  </w:pPr>
                  <w:r>
                    <w:rPr>
                      <w:color w:val="auto"/>
                      <w:kern w:val="0"/>
                      <w:szCs w:val="21"/>
                    </w:rPr>
                    <w:t>0.232</w:t>
                  </w:r>
                </w:p>
              </w:tc>
              <w:tc>
                <w:tcPr>
                  <w:tcW w:w="1088" w:type="dxa"/>
                  <w:vAlign w:val="center"/>
                </w:tcPr>
                <w:p w14:paraId="0C3163D6">
                  <w:pPr>
                    <w:widowControl/>
                    <w:jc w:val="center"/>
                    <w:rPr>
                      <w:color w:val="auto"/>
                      <w:kern w:val="0"/>
                      <w:szCs w:val="21"/>
                    </w:rPr>
                  </w:pPr>
                  <w:r>
                    <w:rPr>
                      <w:color w:val="auto"/>
                      <w:kern w:val="0"/>
                      <w:szCs w:val="21"/>
                    </w:rPr>
                    <w:t>0.289</w:t>
                  </w:r>
                </w:p>
              </w:tc>
              <w:tc>
                <w:tcPr>
                  <w:tcW w:w="1088" w:type="dxa"/>
                  <w:vAlign w:val="center"/>
                </w:tcPr>
                <w:p w14:paraId="5DCFB82C">
                  <w:pPr>
                    <w:widowControl/>
                    <w:jc w:val="center"/>
                    <w:rPr>
                      <w:color w:val="auto"/>
                      <w:kern w:val="0"/>
                      <w:szCs w:val="21"/>
                    </w:rPr>
                  </w:pPr>
                  <w:r>
                    <w:rPr>
                      <w:color w:val="auto"/>
                      <w:kern w:val="0"/>
                      <w:szCs w:val="21"/>
                    </w:rPr>
                    <w:t>0.341</w:t>
                  </w:r>
                </w:p>
              </w:tc>
              <w:tc>
                <w:tcPr>
                  <w:tcW w:w="1086" w:type="dxa"/>
                  <w:vAlign w:val="center"/>
                </w:tcPr>
                <w:p w14:paraId="04D94901">
                  <w:pPr>
                    <w:widowControl/>
                    <w:jc w:val="center"/>
                    <w:rPr>
                      <w:color w:val="auto"/>
                      <w:kern w:val="0"/>
                      <w:szCs w:val="21"/>
                    </w:rPr>
                  </w:pPr>
                  <w:r>
                    <w:rPr>
                      <w:color w:val="auto"/>
                      <w:kern w:val="0"/>
                      <w:szCs w:val="21"/>
                    </w:rPr>
                    <w:t>0.574</w:t>
                  </w:r>
                </w:p>
              </w:tc>
            </w:tr>
            <w:tr w14:paraId="0AEBD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09" w:type="dxa"/>
                  <w:vAlign w:val="center"/>
                </w:tcPr>
                <w:p w14:paraId="0656BDC0">
                  <w:pPr>
                    <w:widowControl/>
                    <w:jc w:val="center"/>
                    <w:rPr>
                      <w:color w:val="auto"/>
                      <w:kern w:val="0"/>
                      <w:szCs w:val="21"/>
                    </w:rPr>
                  </w:pPr>
                  <w:r>
                    <w:rPr>
                      <w:color w:val="auto"/>
                      <w:kern w:val="0"/>
                      <w:szCs w:val="21"/>
                    </w:rPr>
                    <w:t>15（km/hr）</w:t>
                  </w:r>
                </w:p>
              </w:tc>
              <w:tc>
                <w:tcPr>
                  <w:tcW w:w="1086" w:type="dxa"/>
                  <w:vAlign w:val="center"/>
                </w:tcPr>
                <w:p w14:paraId="48BA127E">
                  <w:pPr>
                    <w:widowControl/>
                    <w:jc w:val="center"/>
                    <w:rPr>
                      <w:color w:val="auto"/>
                      <w:kern w:val="0"/>
                      <w:szCs w:val="21"/>
                    </w:rPr>
                  </w:pPr>
                  <w:r>
                    <w:rPr>
                      <w:color w:val="auto"/>
                      <w:kern w:val="0"/>
                      <w:szCs w:val="21"/>
                    </w:rPr>
                    <w:t>0.153</w:t>
                  </w:r>
                </w:p>
              </w:tc>
              <w:tc>
                <w:tcPr>
                  <w:tcW w:w="1086" w:type="dxa"/>
                  <w:vAlign w:val="center"/>
                </w:tcPr>
                <w:p w14:paraId="256437E7">
                  <w:pPr>
                    <w:widowControl/>
                    <w:jc w:val="center"/>
                    <w:rPr>
                      <w:color w:val="auto"/>
                      <w:kern w:val="0"/>
                      <w:szCs w:val="21"/>
                    </w:rPr>
                  </w:pPr>
                  <w:r>
                    <w:rPr>
                      <w:color w:val="auto"/>
                      <w:kern w:val="0"/>
                      <w:szCs w:val="21"/>
                    </w:rPr>
                    <w:t>0.257</w:t>
                  </w:r>
                </w:p>
              </w:tc>
              <w:tc>
                <w:tcPr>
                  <w:tcW w:w="1086" w:type="dxa"/>
                  <w:vAlign w:val="center"/>
                </w:tcPr>
                <w:p w14:paraId="10C16160">
                  <w:pPr>
                    <w:widowControl/>
                    <w:jc w:val="center"/>
                    <w:rPr>
                      <w:color w:val="auto"/>
                      <w:kern w:val="0"/>
                      <w:szCs w:val="21"/>
                    </w:rPr>
                  </w:pPr>
                  <w:r>
                    <w:rPr>
                      <w:color w:val="auto"/>
                      <w:kern w:val="0"/>
                      <w:szCs w:val="21"/>
                    </w:rPr>
                    <w:t>0.349</w:t>
                  </w:r>
                </w:p>
              </w:tc>
              <w:tc>
                <w:tcPr>
                  <w:tcW w:w="1088" w:type="dxa"/>
                  <w:vAlign w:val="center"/>
                </w:tcPr>
                <w:p w14:paraId="65C16C26">
                  <w:pPr>
                    <w:widowControl/>
                    <w:jc w:val="center"/>
                    <w:rPr>
                      <w:color w:val="auto"/>
                      <w:kern w:val="0"/>
                      <w:szCs w:val="21"/>
                    </w:rPr>
                  </w:pPr>
                  <w:r>
                    <w:rPr>
                      <w:color w:val="auto"/>
                      <w:kern w:val="0"/>
                      <w:szCs w:val="21"/>
                    </w:rPr>
                    <w:t>0.433</w:t>
                  </w:r>
                </w:p>
              </w:tc>
              <w:tc>
                <w:tcPr>
                  <w:tcW w:w="1088" w:type="dxa"/>
                  <w:vAlign w:val="center"/>
                </w:tcPr>
                <w:p w14:paraId="485EEA8F">
                  <w:pPr>
                    <w:widowControl/>
                    <w:jc w:val="center"/>
                    <w:rPr>
                      <w:color w:val="auto"/>
                      <w:kern w:val="0"/>
                      <w:szCs w:val="21"/>
                    </w:rPr>
                  </w:pPr>
                  <w:r>
                    <w:rPr>
                      <w:color w:val="auto"/>
                      <w:kern w:val="0"/>
                      <w:szCs w:val="21"/>
                    </w:rPr>
                    <w:t>0.512</w:t>
                  </w:r>
                </w:p>
              </w:tc>
              <w:tc>
                <w:tcPr>
                  <w:tcW w:w="1086" w:type="dxa"/>
                  <w:vAlign w:val="center"/>
                </w:tcPr>
                <w:p w14:paraId="7C595A58">
                  <w:pPr>
                    <w:widowControl/>
                    <w:jc w:val="center"/>
                    <w:rPr>
                      <w:color w:val="auto"/>
                      <w:kern w:val="0"/>
                      <w:szCs w:val="21"/>
                    </w:rPr>
                  </w:pPr>
                  <w:r>
                    <w:rPr>
                      <w:color w:val="auto"/>
                      <w:kern w:val="0"/>
                      <w:szCs w:val="21"/>
                    </w:rPr>
                    <w:t>0.861</w:t>
                  </w:r>
                </w:p>
              </w:tc>
            </w:tr>
            <w:tr w14:paraId="29F9D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209" w:type="dxa"/>
                  <w:vAlign w:val="center"/>
                </w:tcPr>
                <w:p w14:paraId="15E90864">
                  <w:pPr>
                    <w:widowControl/>
                    <w:jc w:val="center"/>
                    <w:rPr>
                      <w:color w:val="auto"/>
                      <w:kern w:val="0"/>
                      <w:szCs w:val="21"/>
                    </w:rPr>
                  </w:pPr>
                  <w:r>
                    <w:rPr>
                      <w:color w:val="auto"/>
                      <w:kern w:val="0"/>
                      <w:szCs w:val="21"/>
                    </w:rPr>
                    <w:t>20（km/hr）</w:t>
                  </w:r>
                </w:p>
              </w:tc>
              <w:tc>
                <w:tcPr>
                  <w:tcW w:w="1086" w:type="dxa"/>
                  <w:vAlign w:val="center"/>
                </w:tcPr>
                <w:p w14:paraId="27F3993B">
                  <w:pPr>
                    <w:widowControl/>
                    <w:jc w:val="center"/>
                    <w:rPr>
                      <w:color w:val="auto"/>
                      <w:kern w:val="0"/>
                      <w:szCs w:val="21"/>
                    </w:rPr>
                  </w:pPr>
                  <w:r>
                    <w:rPr>
                      <w:color w:val="auto"/>
                      <w:kern w:val="0"/>
                      <w:szCs w:val="21"/>
                    </w:rPr>
                    <w:t>0.255</w:t>
                  </w:r>
                </w:p>
              </w:tc>
              <w:tc>
                <w:tcPr>
                  <w:tcW w:w="1086" w:type="dxa"/>
                  <w:vAlign w:val="center"/>
                </w:tcPr>
                <w:p w14:paraId="474A290D">
                  <w:pPr>
                    <w:widowControl/>
                    <w:jc w:val="center"/>
                    <w:rPr>
                      <w:color w:val="auto"/>
                      <w:kern w:val="0"/>
                      <w:szCs w:val="21"/>
                    </w:rPr>
                  </w:pPr>
                  <w:r>
                    <w:rPr>
                      <w:color w:val="auto"/>
                      <w:kern w:val="0"/>
                      <w:szCs w:val="21"/>
                    </w:rPr>
                    <w:t>0.429</w:t>
                  </w:r>
                </w:p>
              </w:tc>
              <w:tc>
                <w:tcPr>
                  <w:tcW w:w="1086" w:type="dxa"/>
                  <w:vAlign w:val="center"/>
                </w:tcPr>
                <w:p w14:paraId="0315AF8B">
                  <w:pPr>
                    <w:widowControl/>
                    <w:jc w:val="center"/>
                    <w:rPr>
                      <w:color w:val="auto"/>
                      <w:kern w:val="0"/>
                      <w:szCs w:val="21"/>
                    </w:rPr>
                  </w:pPr>
                  <w:r>
                    <w:rPr>
                      <w:color w:val="auto"/>
                      <w:kern w:val="0"/>
                      <w:szCs w:val="21"/>
                    </w:rPr>
                    <w:t>0.582</w:t>
                  </w:r>
                </w:p>
              </w:tc>
              <w:tc>
                <w:tcPr>
                  <w:tcW w:w="1088" w:type="dxa"/>
                  <w:vAlign w:val="center"/>
                </w:tcPr>
                <w:p w14:paraId="71FC1679">
                  <w:pPr>
                    <w:widowControl/>
                    <w:jc w:val="center"/>
                    <w:rPr>
                      <w:color w:val="auto"/>
                      <w:kern w:val="0"/>
                      <w:szCs w:val="21"/>
                    </w:rPr>
                  </w:pPr>
                  <w:r>
                    <w:rPr>
                      <w:color w:val="auto"/>
                      <w:kern w:val="0"/>
                      <w:szCs w:val="21"/>
                    </w:rPr>
                    <w:t>0.722</w:t>
                  </w:r>
                </w:p>
              </w:tc>
              <w:tc>
                <w:tcPr>
                  <w:tcW w:w="1088" w:type="dxa"/>
                  <w:vAlign w:val="center"/>
                </w:tcPr>
                <w:p w14:paraId="6EF71BE3">
                  <w:pPr>
                    <w:widowControl/>
                    <w:jc w:val="center"/>
                    <w:rPr>
                      <w:color w:val="auto"/>
                      <w:kern w:val="0"/>
                      <w:szCs w:val="21"/>
                    </w:rPr>
                  </w:pPr>
                  <w:r>
                    <w:rPr>
                      <w:color w:val="auto"/>
                      <w:kern w:val="0"/>
                      <w:szCs w:val="21"/>
                    </w:rPr>
                    <w:t>0.853</w:t>
                  </w:r>
                </w:p>
              </w:tc>
              <w:tc>
                <w:tcPr>
                  <w:tcW w:w="1086" w:type="dxa"/>
                  <w:vAlign w:val="center"/>
                </w:tcPr>
                <w:p w14:paraId="18F5D505">
                  <w:pPr>
                    <w:widowControl/>
                    <w:jc w:val="center"/>
                    <w:rPr>
                      <w:color w:val="auto"/>
                      <w:kern w:val="0"/>
                      <w:szCs w:val="21"/>
                    </w:rPr>
                  </w:pPr>
                  <w:r>
                    <w:rPr>
                      <w:color w:val="auto"/>
                      <w:kern w:val="0"/>
                      <w:szCs w:val="21"/>
                    </w:rPr>
                    <w:t>1.435</w:t>
                  </w:r>
                </w:p>
              </w:tc>
            </w:tr>
          </w:tbl>
          <w:p w14:paraId="70A84F09">
            <w:pPr>
              <w:widowControl/>
              <w:spacing w:line="360" w:lineRule="auto"/>
              <w:ind w:firstLine="480" w:firstLineChars="200"/>
              <w:rPr>
                <w:bCs/>
                <w:color w:val="auto"/>
                <w:kern w:val="0"/>
                <w:sz w:val="24"/>
              </w:rPr>
            </w:pPr>
            <w:r>
              <w:rPr>
                <w:bCs/>
                <w:color w:val="auto"/>
                <w:kern w:val="0"/>
                <w:sz w:val="24"/>
              </w:rPr>
              <w:t>（2）施工机械燃油废气</w:t>
            </w:r>
          </w:p>
          <w:p w14:paraId="03ED037C">
            <w:pPr>
              <w:widowControl/>
              <w:spacing w:line="360" w:lineRule="auto"/>
              <w:ind w:firstLine="480" w:firstLineChars="200"/>
              <w:jc w:val="left"/>
              <w:rPr>
                <w:color w:val="auto"/>
                <w:kern w:val="0"/>
                <w:sz w:val="24"/>
              </w:rPr>
            </w:pPr>
            <w:r>
              <w:rPr>
                <w:color w:val="auto"/>
                <w:kern w:val="0"/>
                <w:sz w:val="24"/>
              </w:rPr>
              <w:t>工程施工期间燃油废气主要来自施工机械、运输车辆燃油排放，产生的污染物主要为SO</w:t>
            </w:r>
            <w:r>
              <w:rPr>
                <w:color w:val="auto"/>
                <w:kern w:val="0"/>
                <w:sz w:val="24"/>
                <w:vertAlign w:val="subscript"/>
              </w:rPr>
              <w:t>2</w:t>
            </w:r>
            <w:r>
              <w:rPr>
                <w:color w:val="auto"/>
                <w:kern w:val="0"/>
                <w:sz w:val="24"/>
              </w:rPr>
              <w:t>、NOx、CO、碳氢化合物等。根据《水电水利工程施工环境保护技术规程》（DL/T5260-2010），油料的大气污染物排放系数CO为29.35kg/t、NOx为48.261kg/t、SO</w:t>
            </w:r>
            <w:r>
              <w:rPr>
                <w:color w:val="auto"/>
                <w:kern w:val="0"/>
                <w:sz w:val="24"/>
                <w:vertAlign w:val="subscript"/>
              </w:rPr>
              <w:t>2</w:t>
            </w:r>
            <w:r>
              <w:rPr>
                <w:color w:val="auto"/>
                <w:kern w:val="0"/>
                <w:sz w:val="24"/>
              </w:rPr>
              <w:t>为3.522kg/t、碳氢化合物为4.826kg/t。本工程施工燃油使用量约为5t，估算此工程燃油废气污染物排放量见表</w:t>
            </w:r>
            <w:r>
              <w:rPr>
                <w:rFonts w:hint="eastAsia"/>
                <w:color w:val="auto"/>
                <w:kern w:val="0"/>
                <w:sz w:val="24"/>
              </w:rPr>
              <w:t>4</w:t>
            </w:r>
            <w:r>
              <w:rPr>
                <w:color w:val="auto"/>
                <w:kern w:val="0"/>
                <w:sz w:val="24"/>
              </w:rPr>
              <w:t>-3。</w:t>
            </w:r>
          </w:p>
          <w:p w14:paraId="36AB5F39">
            <w:pPr>
              <w:widowControl/>
              <w:jc w:val="center"/>
              <w:rPr>
                <w:b/>
                <w:bCs/>
                <w:color w:val="auto"/>
                <w:kern w:val="0"/>
                <w:szCs w:val="21"/>
              </w:rPr>
            </w:pPr>
            <w:r>
              <w:rPr>
                <w:b/>
                <w:bCs/>
                <w:color w:val="auto"/>
                <w:kern w:val="0"/>
                <w:szCs w:val="21"/>
              </w:rPr>
              <w:t>表</w:t>
            </w:r>
            <w:r>
              <w:rPr>
                <w:rFonts w:hint="eastAsia"/>
                <w:b/>
                <w:bCs/>
                <w:color w:val="auto"/>
                <w:kern w:val="0"/>
                <w:szCs w:val="21"/>
              </w:rPr>
              <w:t>4-3</w:t>
            </w:r>
            <w:r>
              <w:rPr>
                <w:b/>
                <w:bCs/>
                <w:color w:val="auto"/>
                <w:kern w:val="0"/>
                <w:szCs w:val="21"/>
              </w:rPr>
              <w:t xml:space="preserve">   工程燃油废气污染物排放量</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555"/>
              <w:gridCol w:w="1834"/>
              <w:gridCol w:w="1835"/>
            </w:tblGrid>
            <w:tr w14:paraId="25A4C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pct"/>
                  <w:tcBorders>
                    <w:left w:val="single" w:color="auto" w:sz="12" w:space="0"/>
                  </w:tcBorders>
                  <w:vAlign w:val="center"/>
                </w:tcPr>
                <w:p w14:paraId="6770E9DE">
                  <w:pPr>
                    <w:widowControl/>
                    <w:jc w:val="center"/>
                    <w:rPr>
                      <w:b/>
                      <w:bCs/>
                      <w:color w:val="auto"/>
                      <w:kern w:val="0"/>
                      <w:szCs w:val="21"/>
                    </w:rPr>
                  </w:pPr>
                  <w:r>
                    <w:rPr>
                      <w:b/>
                      <w:bCs/>
                      <w:color w:val="auto"/>
                      <w:kern w:val="0"/>
                      <w:szCs w:val="21"/>
                    </w:rPr>
                    <w:t>污染物</w:t>
                  </w:r>
                </w:p>
              </w:tc>
              <w:tc>
                <w:tcPr>
                  <w:tcW w:w="1612" w:type="pct"/>
                  <w:vAlign w:val="center"/>
                </w:tcPr>
                <w:p w14:paraId="71C8D385">
                  <w:pPr>
                    <w:widowControl/>
                    <w:jc w:val="center"/>
                    <w:rPr>
                      <w:b/>
                      <w:bCs/>
                      <w:color w:val="auto"/>
                      <w:kern w:val="0"/>
                      <w:szCs w:val="21"/>
                    </w:rPr>
                  </w:pPr>
                  <w:r>
                    <w:rPr>
                      <w:b/>
                      <w:bCs/>
                      <w:color w:val="auto"/>
                      <w:kern w:val="0"/>
                      <w:szCs w:val="21"/>
                    </w:rPr>
                    <w:t>污染物排放系数（kg/t）</w:t>
                  </w:r>
                </w:p>
              </w:tc>
              <w:tc>
                <w:tcPr>
                  <w:tcW w:w="1157" w:type="pct"/>
                  <w:vAlign w:val="center"/>
                </w:tcPr>
                <w:p w14:paraId="40678868">
                  <w:pPr>
                    <w:widowControl/>
                    <w:jc w:val="center"/>
                    <w:rPr>
                      <w:b/>
                      <w:bCs/>
                      <w:color w:val="auto"/>
                      <w:kern w:val="0"/>
                      <w:szCs w:val="21"/>
                    </w:rPr>
                  </w:pPr>
                  <w:r>
                    <w:rPr>
                      <w:b/>
                      <w:bCs/>
                      <w:color w:val="auto"/>
                      <w:kern w:val="0"/>
                      <w:szCs w:val="21"/>
                    </w:rPr>
                    <w:t>燃油使用量（t）</w:t>
                  </w:r>
                </w:p>
              </w:tc>
              <w:tc>
                <w:tcPr>
                  <w:tcW w:w="1159" w:type="pct"/>
                  <w:tcBorders>
                    <w:right w:val="single" w:color="auto" w:sz="12" w:space="0"/>
                  </w:tcBorders>
                  <w:vAlign w:val="center"/>
                </w:tcPr>
                <w:p w14:paraId="5EE8D79E">
                  <w:pPr>
                    <w:widowControl/>
                    <w:jc w:val="center"/>
                    <w:textAlignment w:val="center"/>
                    <w:rPr>
                      <w:b/>
                      <w:bCs/>
                      <w:color w:val="auto"/>
                      <w:kern w:val="0"/>
                      <w:szCs w:val="21"/>
                    </w:rPr>
                  </w:pPr>
                  <w:r>
                    <w:rPr>
                      <w:b/>
                      <w:bCs/>
                      <w:color w:val="auto"/>
                      <w:kern w:val="0"/>
                      <w:szCs w:val="21"/>
                    </w:rPr>
                    <w:t>排放总量（t）</w:t>
                  </w:r>
                </w:p>
              </w:tc>
            </w:tr>
            <w:tr w14:paraId="595C4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pct"/>
                  <w:tcBorders>
                    <w:left w:val="single" w:color="auto" w:sz="12" w:space="0"/>
                  </w:tcBorders>
                  <w:vAlign w:val="center"/>
                </w:tcPr>
                <w:p w14:paraId="3C773BB7">
                  <w:pPr>
                    <w:widowControl/>
                    <w:jc w:val="center"/>
                    <w:rPr>
                      <w:color w:val="auto"/>
                      <w:kern w:val="0"/>
                      <w:szCs w:val="21"/>
                    </w:rPr>
                  </w:pPr>
                  <w:r>
                    <w:rPr>
                      <w:color w:val="auto"/>
                      <w:kern w:val="0"/>
                      <w:szCs w:val="21"/>
                    </w:rPr>
                    <w:t>SO</w:t>
                  </w:r>
                  <w:r>
                    <w:rPr>
                      <w:color w:val="auto"/>
                      <w:kern w:val="0"/>
                      <w:szCs w:val="21"/>
                      <w:vertAlign w:val="subscript"/>
                    </w:rPr>
                    <w:t>2</w:t>
                  </w:r>
                </w:p>
              </w:tc>
              <w:tc>
                <w:tcPr>
                  <w:tcW w:w="1612" w:type="pct"/>
                  <w:vAlign w:val="center"/>
                </w:tcPr>
                <w:p w14:paraId="453AA9B5">
                  <w:pPr>
                    <w:widowControl/>
                    <w:jc w:val="center"/>
                    <w:rPr>
                      <w:color w:val="auto"/>
                      <w:kern w:val="0"/>
                      <w:szCs w:val="21"/>
                    </w:rPr>
                  </w:pPr>
                  <w:r>
                    <w:rPr>
                      <w:color w:val="auto"/>
                      <w:kern w:val="0"/>
                      <w:szCs w:val="21"/>
                    </w:rPr>
                    <w:t>3.522</w:t>
                  </w:r>
                </w:p>
              </w:tc>
              <w:tc>
                <w:tcPr>
                  <w:tcW w:w="1157" w:type="pct"/>
                  <w:vMerge w:val="restart"/>
                  <w:vAlign w:val="center"/>
                </w:tcPr>
                <w:p w14:paraId="768D5081">
                  <w:pPr>
                    <w:widowControl/>
                    <w:jc w:val="center"/>
                    <w:rPr>
                      <w:b/>
                      <w:bCs/>
                      <w:color w:val="auto"/>
                      <w:kern w:val="0"/>
                      <w:szCs w:val="21"/>
                    </w:rPr>
                  </w:pPr>
                  <w:r>
                    <w:rPr>
                      <w:color w:val="auto"/>
                      <w:kern w:val="0"/>
                      <w:szCs w:val="21"/>
                    </w:rPr>
                    <w:t>5</w:t>
                  </w:r>
                </w:p>
              </w:tc>
              <w:tc>
                <w:tcPr>
                  <w:tcW w:w="1159" w:type="pct"/>
                  <w:tcBorders>
                    <w:right w:val="single" w:color="auto" w:sz="12" w:space="0"/>
                  </w:tcBorders>
                </w:tcPr>
                <w:p w14:paraId="26565735">
                  <w:pPr>
                    <w:widowControl/>
                    <w:jc w:val="center"/>
                    <w:rPr>
                      <w:color w:val="auto"/>
                      <w:kern w:val="0"/>
                      <w:szCs w:val="21"/>
                    </w:rPr>
                  </w:pPr>
                  <w:r>
                    <w:rPr>
                      <w:color w:val="auto"/>
                      <w:kern w:val="0"/>
                      <w:szCs w:val="21"/>
                    </w:rPr>
                    <w:t>0.018</w:t>
                  </w:r>
                </w:p>
              </w:tc>
            </w:tr>
            <w:tr w14:paraId="49036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pct"/>
                  <w:tcBorders>
                    <w:left w:val="single" w:color="auto" w:sz="12" w:space="0"/>
                  </w:tcBorders>
                  <w:vAlign w:val="center"/>
                </w:tcPr>
                <w:p w14:paraId="4419AE31">
                  <w:pPr>
                    <w:widowControl/>
                    <w:jc w:val="center"/>
                    <w:rPr>
                      <w:color w:val="auto"/>
                      <w:kern w:val="0"/>
                      <w:szCs w:val="21"/>
                    </w:rPr>
                  </w:pPr>
                  <w:r>
                    <w:rPr>
                      <w:color w:val="auto"/>
                      <w:kern w:val="0"/>
                      <w:szCs w:val="21"/>
                    </w:rPr>
                    <w:t>NOx</w:t>
                  </w:r>
                </w:p>
              </w:tc>
              <w:tc>
                <w:tcPr>
                  <w:tcW w:w="1612" w:type="pct"/>
                  <w:vAlign w:val="center"/>
                </w:tcPr>
                <w:p w14:paraId="283C5B34">
                  <w:pPr>
                    <w:widowControl/>
                    <w:jc w:val="center"/>
                    <w:rPr>
                      <w:color w:val="auto"/>
                      <w:kern w:val="0"/>
                      <w:szCs w:val="21"/>
                    </w:rPr>
                  </w:pPr>
                  <w:r>
                    <w:rPr>
                      <w:color w:val="auto"/>
                      <w:kern w:val="0"/>
                      <w:szCs w:val="21"/>
                    </w:rPr>
                    <w:t>48.261</w:t>
                  </w:r>
                </w:p>
              </w:tc>
              <w:tc>
                <w:tcPr>
                  <w:tcW w:w="1157" w:type="pct"/>
                  <w:vMerge w:val="continue"/>
                  <w:vAlign w:val="center"/>
                </w:tcPr>
                <w:p w14:paraId="2E83A5B8">
                  <w:pPr>
                    <w:widowControl/>
                    <w:jc w:val="center"/>
                    <w:rPr>
                      <w:color w:val="auto"/>
                      <w:kern w:val="0"/>
                      <w:szCs w:val="21"/>
                    </w:rPr>
                  </w:pPr>
                </w:p>
              </w:tc>
              <w:tc>
                <w:tcPr>
                  <w:tcW w:w="1159" w:type="pct"/>
                  <w:tcBorders>
                    <w:right w:val="single" w:color="auto" w:sz="12" w:space="0"/>
                  </w:tcBorders>
                </w:tcPr>
                <w:p w14:paraId="0B7956CB">
                  <w:pPr>
                    <w:widowControl/>
                    <w:jc w:val="center"/>
                    <w:rPr>
                      <w:color w:val="auto"/>
                      <w:kern w:val="0"/>
                      <w:szCs w:val="21"/>
                    </w:rPr>
                  </w:pPr>
                  <w:r>
                    <w:rPr>
                      <w:color w:val="auto"/>
                      <w:kern w:val="0"/>
                      <w:szCs w:val="21"/>
                    </w:rPr>
                    <w:t>0.241</w:t>
                  </w:r>
                </w:p>
              </w:tc>
            </w:tr>
            <w:tr w14:paraId="4B415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pct"/>
                  <w:tcBorders>
                    <w:left w:val="single" w:color="auto" w:sz="12" w:space="0"/>
                  </w:tcBorders>
                  <w:vAlign w:val="center"/>
                </w:tcPr>
                <w:p w14:paraId="218C4056">
                  <w:pPr>
                    <w:widowControl/>
                    <w:jc w:val="center"/>
                    <w:rPr>
                      <w:color w:val="auto"/>
                      <w:kern w:val="0"/>
                      <w:szCs w:val="21"/>
                    </w:rPr>
                  </w:pPr>
                  <w:r>
                    <w:rPr>
                      <w:color w:val="auto"/>
                      <w:kern w:val="0"/>
                      <w:szCs w:val="21"/>
                    </w:rPr>
                    <w:t>CO</w:t>
                  </w:r>
                </w:p>
              </w:tc>
              <w:tc>
                <w:tcPr>
                  <w:tcW w:w="1612" w:type="pct"/>
                  <w:vAlign w:val="center"/>
                </w:tcPr>
                <w:p w14:paraId="1C8CF55E">
                  <w:pPr>
                    <w:widowControl/>
                    <w:jc w:val="center"/>
                    <w:rPr>
                      <w:color w:val="auto"/>
                      <w:kern w:val="0"/>
                      <w:szCs w:val="21"/>
                    </w:rPr>
                  </w:pPr>
                  <w:r>
                    <w:rPr>
                      <w:color w:val="auto"/>
                      <w:kern w:val="0"/>
                      <w:szCs w:val="21"/>
                    </w:rPr>
                    <w:t>29.35</w:t>
                  </w:r>
                </w:p>
              </w:tc>
              <w:tc>
                <w:tcPr>
                  <w:tcW w:w="1157" w:type="pct"/>
                  <w:vMerge w:val="continue"/>
                  <w:vAlign w:val="center"/>
                </w:tcPr>
                <w:p w14:paraId="66ADCD9F">
                  <w:pPr>
                    <w:widowControl/>
                    <w:jc w:val="center"/>
                    <w:rPr>
                      <w:color w:val="auto"/>
                      <w:kern w:val="0"/>
                      <w:szCs w:val="21"/>
                    </w:rPr>
                  </w:pPr>
                </w:p>
              </w:tc>
              <w:tc>
                <w:tcPr>
                  <w:tcW w:w="1159" w:type="pct"/>
                  <w:tcBorders>
                    <w:right w:val="single" w:color="auto" w:sz="12" w:space="0"/>
                  </w:tcBorders>
                </w:tcPr>
                <w:p w14:paraId="34B628A0">
                  <w:pPr>
                    <w:widowControl/>
                    <w:jc w:val="center"/>
                    <w:rPr>
                      <w:color w:val="auto"/>
                      <w:kern w:val="0"/>
                      <w:szCs w:val="21"/>
                    </w:rPr>
                  </w:pPr>
                  <w:r>
                    <w:rPr>
                      <w:color w:val="auto"/>
                      <w:kern w:val="0"/>
                      <w:szCs w:val="21"/>
                    </w:rPr>
                    <w:t>0.147</w:t>
                  </w:r>
                </w:p>
              </w:tc>
            </w:tr>
            <w:tr w14:paraId="122C3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pct"/>
                  <w:tcBorders>
                    <w:left w:val="single" w:color="auto" w:sz="12" w:space="0"/>
                  </w:tcBorders>
                  <w:vAlign w:val="center"/>
                </w:tcPr>
                <w:p w14:paraId="23ABB8D6">
                  <w:pPr>
                    <w:widowControl/>
                    <w:jc w:val="center"/>
                    <w:rPr>
                      <w:color w:val="auto"/>
                      <w:kern w:val="0"/>
                      <w:szCs w:val="21"/>
                    </w:rPr>
                  </w:pPr>
                  <w:r>
                    <w:rPr>
                      <w:color w:val="auto"/>
                      <w:kern w:val="0"/>
                      <w:szCs w:val="21"/>
                    </w:rPr>
                    <w:t>碳氢化合物</w:t>
                  </w:r>
                </w:p>
              </w:tc>
              <w:tc>
                <w:tcPr>
                  <w:tcW w:w="1612" w:type="pct"/>
                  <w:vAlign w:val="center"/>
                </w:tcPr>
                <w:p w14:paraId="0DDEC216">
                  <w:pPr>
                    <w:widowControl/>
                    <w:jc w:val="center"/>
                    <w:rPr>
                      <w:color w:val="auto"/>
                      <w:kern w:val="0"/>
                      <w:szCs w:val="21"/>
                    </w:rPr>
                  </w:pPr>
                  <w:r>
                    <w:rPr>
                      <w:color w:val="auto"/>
                      <w:kern w:val="0"/>
                      <w:szCs w:val="21"/>
                    </w:rPr>
                    <w:t>4.826</w:t>
                  </w:r>
                </w:p>
              </w:tc>
              <w:tc>
                <w:tcPr>
                  <w:tcW w:w="1157" w:type="pct"/>
                  <w:vMerge w:val="continue"/>
                  <w:vAlign w:val="center"/>
                </w:tcPr>
                <w:p w14:paraId="35C87F63">
                  <w:pPr>
                    <w:widowControl/>
                    <w:jc w:val="center"/>
                    <w:rPr>
                      <w:color w:val="auto"/>
                      <w:kern w:val="0"/>
                      <w:szCs w:val="21"/>
                    </w:rPr>
                  </w:pPr>
                </w:p>
              </w:tc>
              <w:tc>
                <w:tcPr>
                  <w:tcW w:w="1159" w:type="pct"/>
                  <w:tcBorders>
                    <w:right w:val="single" w:color="auto" w:sz="12" w:space="0"/>
                  </w:tcBorders>
                </w:tcPr>
                <w:p w14:paraId="67CBD80C">
                  <w:pPr>
                    <w:widowControl/>
                    <w:jc w:val="center"/>
                    <w:rPr>
                      <w:color w:val="auto"/>
                      <w:kern w:val="0"/>
                      <w:szCs w:val="21"/>
                    </w:rPr>
                  </w:pPr>
                  <w:r>
                    <w:rPr>
                      <w:color w:val="auto"/>
                      <w:kern w:val="0"/>
                      <w:szCs w:val="21"/>
                    </w:rPr>
                    <w:t>0.024</w:t>
                  </w:r>
                </w:p>
              </w:tc>
            </w:tr>
          </w:tbl>
          <w:p w14:paraId="44721AF6">
            <w:pPr>
              <w:widowControl/>
              <w:spacing w:line="360" w:lineRule="auto"/>
              <w:ind w:firstLine="482" w:firstLineChars="200"/>
              <w:rPr>
                <w:b/>
                <w:bCs/>
                <w:color w:val="auto"/>
                <w:kern w:val="0"/>
                <w:sz w:val="24"/>
                <w:lang w:bidi="ar"/>
              </w:rPr>
            </w:pPr>
            <w:r>
              <w:rPr>
                <w:b/>
                <w:bCs/>
                <w:color w:val="auto"/>
                <w:kern w:val="0"/>
                <w:sz w:val="24"/>
                <w:lang w:bidi="ar"/>
              </w:rPr>
              <w:t>2、废水</w:t>
            </w:r>
          </w:p>
          <w:p w14:paraId="688137D1">
            <w:pPr>
              <w:spacing w:line="360" w:lineRule="auto"/>
              <w:ind w:firstLine="480" w:firstLineChars="200"/>
              <w:jc w:val="left"/>
              <w:rPr>
                <w:color w:val="auto"/>
                <w:kern w:val="0"/>
                <w:sz w:val="24"/>
              </w:rPr>
            </w:pPr>
            <w:r>
              <w:rPr>
                <w:color w:val="auto"/>
                <w:kern w:val="0"/>
                <w:sz w:val="24"/>
              </w:rPr>
              <w:t>施工期废水主要为施工人员生活污水</w:t>
            </w:r>
            <w:r>
              <w:rPr>
                <w:rFonts w:hint="eastAsia"/>
                <w:color w:val="auto"/>
                <w:kern w:val="0"/>
                <w:sz w:val="24"/>
              </w:rPr>
              <w:t>及清淤废水。</w:t>
            </w:r>
          </w:p>
          <w:p w14:paraId="40472EB5">
            <w:pPr>
              <w:widowControl/>
              <w:spacing w:line="360" w:lineRule="auto"/>
              <w:ind w:firstLine="480" w:firstLineChars="200"/>
              <w:jc w:val="left"/>
              <w:rPr>
                <w:color w:val="auto"/>
                <w:kern w:val="0"/>
                <w:sz w:val="24"/>
              </w:rPr>
            </w:pPr>
            <w:r>
              <w:rPr>
                <w:color w:val="auto"/>
                <w:kern w:val="0"/>
                <w:sz w:val="24"/>
              </w:rPr>
              <w:t>（1）施工人员生活污水</w:t>
            </w:r>
          </w:p>
          <w:p w14:paraId="05D7B12C">
            <w:pPr>
              <w:widowControl/>
              <w:spacing w:line="360" w:lineRule="auto"/>
              <w:ind w:firstLine="480" w:firstLineChars="200"/>
              <w:jc w:val="left"/>
              <w:rPr>
                <w:color w:val="auto"/>
                <w:kern w:val="0"/>
                <w:sz w:val="24"/>
              </w:rPr>
            </w:pPr>
            <w:r>
              <w:rPr>
                <w:color w:val="auto"/>
                <w:kern w:val="0"/>
                <w:sz w:val="24"/>
              </w:rPr>
              <w:t>参考《湖南省地方标准-用水定额（DB43/T388-2014）》，项目施工区域平均每人每天用水量按50升计，污水排放系数取0.8，计算得到施工人员每人每天排放的生活污水量约为0.04t，施工期高峰人数约30人，则高峰期每日施工生活污水产生量为1.2t。根据对日常生活污染的调查，施工人员生活污水水污染物成分及其浓度详见表</w:t>
            </w:r>
            <w:r>
              <w:rPr>
                <w:rFonts w:hint="eastAsia"/>
                <w:color w:val="auto"/>
                <w:kern w:val="0"/>
                <w:sz w:val="24"/>
              </w:rPr>
              <w:t>4</w:t>
            </w:r>
            <w:r>
              <w:rPr>
                <w:color w:val="auto"/>
                <w:kern w:val="0"/>
                <w:sz w:val="24"/>
              </w:rPr>
              <w:t>-4。项目在施工区域附近直接招募村民作为施工人员，</w:t>
            </w:r>
            <w:r>
              <w:rPr>
                <w:rFonts w:hint="eastAsia"/>
                <w:color w:val="auto"/>
                <w:kern w:val="0"/>
                <w:sz w:val="24"/>
              </w:rPr>
              <w:t>利用现有管理用房</w:t>
            </w:r>
            <w:r>
              <w:rPr>
                <w:color w:val="auto"/>
                <w:kern w:val="0"/>
                <w:sz w:val="24"/>
              </w:rPr>
              <w:t>作为施工期间办公生活用房，生活污水依托现有的污水处理设施进行处理。</w:t>
            </w:r>
          </w:p>
          <w:p w14:paraId="3EB4892D">
            <w:pPr>
              <w:adjustRightInd w:val="0"/>
              <w:snapToGrid w:val="0"/>
              <w:jc w:val="center"/>
              <w:rPr>
                <w:b/>
                <w:color w:val="auto"/>
                <w:spacing w:val="-6"/>
                <w:kern w:val="0"/>
                <w:szCs w:val="21"/>
              </w:rPr>
            </w:pPr>
            <w:r>
              <w:rPr>
                <w:b/>
                <w:color w:val="auto"/>
                <w:spacing w:val="-6"/>
                <w:kern w:val="0"/>
                <w:szCs w:val="21"/>
              </w:rPr>
              <w:t>表</w:t>
            </w:r>
            <w:r>
              <w:rPr>
                <w:rFonts w:hint="eastAsia"/>
                <w:b/>
                <w:color w:val="auto"/>
                <w:spacing w:val="-6"/>
                <w:kern w:val="0"/>
                <w:szCs w:val="21"/>
              </w:rPr>
              <w:t>4</w:t>
            </w:r>
            <w:r>
              <w:rPr>
                <w:b/>
                <w:color w:val="auto"/>
                <w:spacing w:val="-6"/>
                <w:kern w:val="0"/>
                <w:szCs w:val="21"/>
              </w:rPr>
              <w:t>-4   施工生活污水成分及浓度</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7"/>
              <w:gridCol w:w="1198"/>
              <w:gridCol w:w="1316"/>
              <w:gridCol w:w="1292"/>
              <w:gridCol w:w="1346"/>
              <w:gridCol w:w="1236"/>
            </w:tblGrid>
            <w:tr w14:paraId="0A4F4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4" w:type="pct"/>
                  <w:vAlign w:val="center"/>
                </w:tcPr>
                <w:p w14:paraId="2EFF52EC">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主要污染物</w:t>
                  </w:r>
                </w:p>
              </w:tc>
              <w:tc>
                <w:tcPr>
                  <w:tcW w:w="758" w:type="pct"/>
                  <w:vAlign w:val="center"/>
                </w:tcPr>
                <w:p w14:paraId="141CFDD4">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COD</w:t>
                  </w:r>
                </w:p>
              </w:tc>
              <w:tc>
                <w:tcPr>
                  <w:tcW w:w="833" w:type="pct"/>
                  <w:vAlign w:val="center"/>
                </w:tcPr>
                <w:p w14:paraId="37427C8B">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BOD</w:t>
                  </w:r>
                  <w:r>
                    <w:rPr>
                      <w:rFonts w:ascii="Times New Roman" w:hAnsi="Times New Roman" w:eastAsia="宋体" w:cs="Times New Roman"/>
                      <w:b/>
                      <w:bCs/>
                      <w:color w:val="auto"/>
                      <w:vertAlign w:val="subscript"/>
                    </w:rPr>
                    <w:t>5</w:t>
                  </w:r>
                </w:p>
              </w:tc>
              <w:tc>
                <w:tcPr>
                  <w:tcW w:w="818" w:type="pct"/>
                  <w:vAlign w:val="center"/>
                </w:tcPr>
                <w:p w14:paraId="0CB0A1C3">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氨氮</w:t>
                  </w:r>
                </w:p>
              </w:tc>
              <w:tc>
                <w:tcPr>
                  <w:tcW w:w="852" w:type="pct"/>
                  <w:vAlign w:val="center"/>
                </w:tcPr>
                <w:p w14:paraId="6F3A7155">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SS</w:t>
                  </w:r>
                </w:p>
              </w:tc>
              <w:tc>
                <w:tcPr>
                  <w:tcW w:w="782" w:type="pct"/>
                  <w:vAlign w:val="center"/>
                </w:tcPr>
                <w:p w14:paraId="301AAC43">
                  <w:pPr>
                    <w:pStyle w:val="91"/>
                    <w:widowControl w:val="0"/>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动植物油</w:t>
                  </w:r>
                </w:p>
              </w:tc>
            </w:tr>
            <w:tr w14:paraId="0054F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4" w:type="pct"/>
                  <w:vAlign w:val="center"/>
                </w:tcPr>
                <w:p w14:paraId="1F43F7C0">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浓度（mg/L）</w:t>
                  </w:r>
                </w:p>
              </w:tc>
              <w:tc>
                <w:tcPr>
                  <w:tcW w:w="758" w:type="pct"/>
                  <w:vAlign w:val="center"/>
                </w:tcPr>
                <w:p w14:paraId="0D844F34">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200~300</w:t>
                  </w:r>
                </w:p>
              </w:tc>
              <w:tc>
                <w:tcPr>
                  <w:tcW w:w="833" w:type="pct"/>
                  <w:vAlign w:val="center"/>
                </w:tcPr>
                <w:p w14:paraId="27DF3830">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100~150</w:t>
                  </w:r>
                </w:p>
              </w:tc>
              <w:tc>
                <w:tcPr>
                  <w:tcW w:w="818" w:type="pct"/>
                  <w:vAlign w:val="center"/>
                </w:tcPr>
                <w:p w14:paraId="397B490D">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20～30</w:t>
                  </w:r>
                </w:p>
              </w:tc>
              <w:tc>
                <w:tcPr>
                  <w:tcW w:w="852" w:type="pct"/>
                  <w:vAlign w:val="center"/>
                </w:tcPr>
                <w:p w14:paraId="49AE59BB">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150～250</w:t>
                  </w:r>
                </w:p>
              </w:tc>
              <w:tc>
                <w:tcPr>
                  <w:tcW w:w="782" w:type="pct"/>
                  <w:vAlign w:val="center"/>
                </w:tcPr>
                <w:p w14:paraId="40B524E3">
                  <w:pPr>
                    <w:pStyle w:val="91"/>
                    <w:widowControl w:val="0"/>
                    <w:spacing w:line="240" w:lineRule="auto"/>
                    <w:rPr>
                      <w:rFonts w:ascii="Times New Roman" w:hAnsi="Times New Roman" w:eastAsia="宋体" w:cs="Times New Roman"/>
                      <w:color w:val="auto"/>
                    </w:rPr>
                  </w:pPr>
                  <w:r>
                    <w:rPr>
                      <w:rFonts w:ascii="Times New Roman" w:hAnsi="Times New Roman" w:eastAsia="宋体" w:cs="Times New Roman"/>
                      <w:color w:val="auto"/>
                    </w:rPr>
                    <w:t>10～20</w:t>
                  </w:r>
                </w:p>
              </w:tc>
            </w:tr>
          </w:tbl>
          <w:p w14:paraId="577B7983">
            <w:pPr>
              <w:spacing w:line="360" w:lineRule="auto"/>
              <w:ind w:firstLine="480" w:firstLineChars="200"/>
              <w:rPr>
                <w:color w:val="auto"/>
                <w:kern w:val="0"/>
                <w:sz w:val="24"/>
              </w:rPr>
            </w:pPr>
            <w:r>
              <w:rPr>
                <w:color w:val="auto"/>
                <w:kern w:val="0"/>
                <w:sz w:val="24"/>
              </w:rPr>
              <w:t>（2）</w:t>
            </w:r>
            <w:r>
              <w:rPr>
                <w:rFonts w:hint="eastAsia"/>
                <w:color w:val="auto"/>
                <w:kern w:val="0"/>
                <w:sz w:val="24"/>
              </w:rPr>
              <w:t>清淤废水</w:t>
            </w:r>
          </w:p>
          <w:p w14:paraId="36F1887C">
            <w:pPr>
              <w:spacing w:line="360" w:lineRule="auto"/>
              <w:ind w:firstLine="480" w:firstLineChars="200"/>
              <w:rPr>
                <w:color w:val="auto"/>
                <w:sz w:val="24"/>
              </w:rPr>
            </w:pPr>
            <w:r>
              <w:rPr>
                <w:color w:val="auto"/>
                <w:sz w:val="24"/>
              </w:rPr>
              <w:t>淤泥废水主要为清淤</w:t>
            </w:r>
            <w:r>
              <w:rPr>
                <w:rFonts w:hint="eastAsia"/>
                <w:color w:val="auto"/>
                <w:sz w:val="24"/>
              </w:rPr>
              <w:t>淤泥在临时堆土场</w:t>
            </w:r>
            <w:r>
              <w:rPr>
                <w:color w:val="auto"/>
                <w:sz w:val="24"/>
              </w:rPr>
              <w:t>晾晒干化过程中产生溢流的泥浆水，其主要污染物为SS，项目淤泥在边坡就地翻晒干化，可通过在池塘边坡淤泥翻晒区域设置集水沟收集废水，汇总</w:t>
            </w:r>
            <w:r>
              <w:rPr>
                <w:rFonts w:hint="eastAsia"/>
                <w:color w:val="auto"/>
                <w:sz w:val="24"/>
              </w:rPr>
              <w:t>至</w:t>
            </w:r>
            <w:r>
              <w:rPr>
                <w:color w:val="auto"/>
                <w:sz w:val="24"/>
              </w:rPr>
              <w:t>沉淀池进行处理后排至</w:t>
            </w:r>
            <w:r>
              <w:rPr>
                <w:rFonts w:hint="eastAsia"/>
                <w:color w:val="auto"/>
                <w:sz w:val="24"/>
              </w:rPr>
              <w:t>池塘内</w:t>
            </w:r>
            <w:r>
              <w:rPr>
                <w:color w:val="auto"/>
                <w:sz w:val="24"/>
              </w:rPr>
              <w:t>。</w:t>
            </w:r>
          </w:p>
          <w:p w14:paraId="6B0DC281">
            <w:pPr>
              <w:widowControl/>
              <w:spacing w:line="360" w:lineRule="auto"/>
              <w:ind w:firstLine="482" w:firstLineChars="200"/>
              <w:rPr>
                <w:b/>
                <w:bCs/>
                <w:color w:val="auto"/>
                <w:kern w:val="0"/>
                <w:sz w:val="24"/>
                <w:lang w:bidi="ar"/>
              </w:rPr>
            </w:pPr>
            <w:r>
              <w:rPr>
                <w:b/>
                <w:bCs/>
                <w:color w:val="auto"/>
                <w:kern w:val="0"/>
                <w:sz w:val="24"/>
                <w:lang w:bidi="ar"/>
              </w:rPr>
              <w:t>3、噪声</w:t>
            </w:r>
          </w:p>
          <w:p w14:paraId="09EBB751">
            <w:pPr>
              <w:adjustRightInd w:val="0"/>
              <w:snapToGrid w:val="0"/>
              <w:spacing w:line="360" w:lineRule="auto"/>
              <w:ind w:firstLine="480" w:firstLineChars="200"/>
              <w:rPr>
                <w:bCs/>
                <w:color w:val="auto"/>
                <w:sz w:val="24"/>
              </w:rPr>
            </w:pPr>
            <w:r>
              <w:rPr>
                <w:rFonts w:hint="eastAsia"/>
                <w:bCs/>
                <w:color w:val="auto"/>
                <w:sz w:val="24"/>
              </w:rPr>
              <w:t>3.1、</w:t>
            </w:r>
            <w:r>
              <w:rPr>
                <w:bCs/>
                <w:color w:val="auto"/>
                <w:sz w:val="24"/>
              </w:rPr>
              <w:t>施工期噪声（振动）源强分析</w:t>
            </w:r>
          </w:p>
          <w:p w14:paraId="32E459FF">
            <w:pPr>
              <w:widowControl/>
              <w:spacing w:line="360" w:lineRule="auto"/>
              <w:ind w:firstLine="480" w:firstLineChars="200"/>
              <w:rPr>
                <w:color w:val="auto"/>
                <w:kern w:val="0"/>
                <w:sz w:val="24"/>
              </w:rPr>
            </w:pPr>
            <w:r>
              <w:rPr>
                <w:color w:val="auto"/>
                <w:kern w:val="0"/>
                <w:sz w:val="24"/>
              </w:rPr>
              <w:t>项目的施工噪声主要是工程建设中施工机械噪声和建筑材料运输车辆的交通噪声，为间歇性噪声，施工机械中高噪声设备声级值一般为85~105dB（A）。交通噪声属于线声源，一般在90～10</w:t>
            </w:r>
            <w:r>
              <w:rPr>
                <w:rFonts w:hint="eastAsia"/>
                <w:color w:val="auto"/>
                <w:kern w:val="0"/>
                <w:sz w:val="24"/>
              </w:rPr>
              <w:t>2</w:t>
            </w:r>
            <w:r>
              <w:rPr>
                <w:color w:val="auto"/>
                <w:kern w:val="0"/>
                <w:sz w:val="24"/>
              </w:rPr>
              <w:t>dB之间。预计施工期各类常用施工机械及交通噪声源强见表</w:t>
            </w:r>
            <w:r>
              <w:rPr>
                <w:rFonts w:hint="eastAsia"/>
                <w:color w:val="auto"/>
                <w:kern w:val="0"/>
                <w:sz w:val="24"/>
              </w:rPr>
              <w:t>4</w:t>
            </w:r>
            <w:r>
              <w:rPr>
                <w:color w:val="auto"/>
                <w:kern w:val="0"/>
                <w:sz w:val="24"/>
              </w:rPr>
              <w:t>-5。</w:t>
            </w:r>
          </w:p>
          <w:p w14:paraId="7D5D4E9F">
            <w:pPr>
              <w:widowControl/>
              <w:jc w:val="center"/>
              <w:rPr>
                <w:b/>
                <w:color w:val="auto"/>
                <w:kern w:val="0"/>
                <w:szCs w:val="21"/>
              </w:rPr>
            </w:pPr>
            <w:r>
              <w:rPr>
                <w:b/>
                <w:color w:val="auto"/>
                <w:kern w:val="0"/>
                <w:szCs w:val="21"/>
              </w:rPr>
              <w:t>表</w:t>
            </w:r>
            <w:r>
              <w:rPr>
                <w:rFonts w:hint="eastAsia"/>
                <w:b/>
                <w:color w:val="auto"/>
                <w:kern w:val="0"/>
                <w:szCs w:val="21"/>
              </w:rPr>
              <w:t>4</w:t>
            </w:r>
            <w:r>
              <w:rPr>
                <w:b/>
                <w:color w:val="auto"/>
                <w:kern w:val="0"/>
                <w:szCs w:val="21"/>
              </w:rPr>
              <w:t>-5   施工中各阶段主要噪声源统计表</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956"/>
              <w:gridCol w:w="1640"/>
              <w:gridCol w:w="2289"/>
              <w:gridCol w:w="1331"/>
            </w:tblGrid>
            <w:tr w14:paraId="1141B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7F9E126F">
                  <w:pPr>
                    <w:pStyle w:val="92"/>
                    <w:widowControl w:val="0"/>
                    <w:rPr>
                      <w:b/>
                      <w:bCs/>
                      <w:color w:val="auto"/>
                      <w:szCs w:val="21"/>
                    </w:rPr>
                  </w:pPr>
                  <w:r>
                    <w:rPr>
                      <w:b/>
                      <w:bCs/>
                      <w:color w:val="auto"/>
                      <w:szCs w:val="21"/>
                    </w:rPr>
                    <w:t>序号</w:t>
                  </w:r>
                </w:p>
              </w:tc>
              <w:tc>
                <w:tcPr>
                  <w:tcW w:w="1238" w:type="pct"/>
                  <w:tcBorders>
                    <w:tl2br w:val="nil"/>
                    <w:tr2bl w:val="nil"/>
                  </w:tcBorders>
                  <w:vAlign w:val="center"/>
                </w:tcPr>
                <w:p w14:paraId="6E362315">
                  <w:pPr>
                    <w:pStyle w:val="92"/>
                    <w:widowControl w:val="0"/>
                    <w:rPr>
                      <w:b/>
                      <w:bCs/>
                      <w:color w:val="auto"/>
                      <w:szCs w:val="21"/>
                    </w:rPr>
                  </w:pPr>
                  <w:r>
                    <w:rPr>
                      <w:b/>
                      <w:bCs/>
                      <w:color w:val="auto"/>
                      <w:szCs w:val="21"/>
                    </w:rPr>
                    <w:t>机械名称</w:t>
                  </w:r>
                </w:p>
              </w:tc>
              <w:tc>
                <w:tcPr>
                  <w:tcW w:w="1038" w:type="pct"/>
                  <w:tcBorders>
                    <w:tl2br w:val="nil"/>
                    <w:tr2bl w:val="nil"/>
                  </w:tcBorders>
                  <w:vAlign w:val="center"/>
                </w:tcPr>
                <w:p w14:paraId="2DECD916">
                  <w:pPr>
                    <w:pStyle w:val="92"/>
                    <w:widowControl w:val="0"/>
                    <w:rPr>
                      <w:b/>
                      <w:bCs/>
                      <w:color w:val="auto"/>
                      <w:szCs w:val="21"/>
                    </w:rPr>
                  </w:pPr>
                  <w:r>
                    <w:rPr>
                      <w:b/>
                      <w:bCs/>
                      <w:color w:val="auto"/>
                      <w:szCs w:val="21"/>
                    </w:rPr>
                    <w:t>数量（台）</w:t>
                  </w:r>
                </w:p>
              </w:tc>
              <w:tc>
                <w:tcPr>
                  <w:tcW w:w="1449" w:type="pct"/>
                  <w:tcBorders>
                    <w:tl2br w:val="nil"/>
                    <w:tr2bl w:val="nil"/>
                  </w:tcBorders>
                  <w:vAlign w:val="center"/>
                </w:tcPr>
                <w:p w14:paraId="7250EF97">
                  <w:pPr>
                    <w:pStyle w:val="92"/>
                    <w:widowControl w:val="0"/>
                    <w:rPr>
                      <w:b/>
                      <w:bCs/>
                      <w:color w:val="auto"/>
                      <w:szCs w:val="21"/>
                    </w:rPr>
                  </w:pPr>
                  <w:r>
                    <w:rPr>
                      <w:b/>
                      <w:bCs/>
                      <w:color w:val="auto"/>
                      <w:szCs w:val="21"/>
                    </w:rPr>
                    <w:t>单台设备噪声级（dB（A））</w:t>
                  </w:r>
                </w:p>
              </w:tc>
              <w:tc>
                <w:tcPr>
                  <w:tcW w:w="842" w:type="pct"/>
                  <w:tcBorders>
                    <w:tl2br w:val="nil"/>
                    <w:tr2bl w:val="nil"/>
                  </w:tcBorders>
                  <w:vAlign w:val="center"/>
                </w:tcPr>
                <w:p w14:paraId="26046274">
                  <w:pPr>
                    <w:pStyle w:val="92"/>
                    <w:widowControl w:val="0"/>
                    <w:rPr>
                      <w:b/>
                      <w:bCs/>
                      <w:color w:val="auto"/>
                      <w:szCs w:val="21"/>
                    </w:rPr>
                  </w:pPr>
                  <w:r>
                    <w:rPr>
                      <w:b/>
                      <w:bCs/>
                      <w:color w:val="auto"/>
                      <w:szCs w:val="21"/>
                    </w:rPr>
                    <w:t>排放特征</w:t>
                  </w:r>
                </w:p>
              </w:tc>
            </w:tr>
            <w:tr w14:paraId="5F3A9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20908B59">
                  <w:pPr>
                    <w:pStyle w:val="92"/>
                    <w:widowControl w:val="0"/>
                    <w:rPr>
                      <w:color w:val="auto"/>
                      <w:szCs w:val="21"/>
                    </w:rPr>
                  </w:pPr>
                  <w:r>
                    <w:rPr>
                      <w:color w:val="auto"/>
                      <w:szCs w:val="21"/>
                    </w:rPr>
                    <w:t>1</w:t>
                  </w:r>
                </w:p>
              </w:tc>
              <w:tc>
                <w:tcPr>
                  <w:tcW w:w="1238" w:type="pct"/>
                  <w:tcBorders>
                    <w:tl2br w:val="nil"/>
                    <w:tr2bl w:val="nil"/>
                  </w:tcBorders>
                  <w:vAlign w:val="center"/>
                </w:tcPr>
                <w:p w14:paraId="643E983E">
                  <w:pPr>
                    <w:jc w:val="center"/>
                    <w:rPr>
                      <w:color w:val="auto"/>
                      <w:kern w:val="0"/>
                      <w:szCs w:val="21"/>
                    </w:rPr>
                  </w:pPr>
                  <w:r>
                    <w:rPr>
                      <w:color w:val="auto"/>
                      <w:kern w:val="0"/>
                      <w:szCs w:val="21"/>
                    </w:rPr>
                    <w:t>单斗式挖掘机</w:t>
                  </w:r>
                </w:p>
              </w:tc>
              <w:tc>
                <w:tcPr>
                  <w:tcW w:w="1038" w:type="pct"/>
                  <w:tcBorders>
                    <w:tl2br w:val="nil"/>
                    <w:tr2bl w:val="nil"/>
                  </w:tcBorders>
                  <w:vAlign w:val="center"/>
                </w:tcPr>
                <w:p w14:paraId="5063643B">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8</w:t>
                  </w:r>
                </w:p>
              </w:tc>
              <w:tc>
                <w:tcPr>
                  <w:tcW w:w="1449" w:type="pct"/>
                  <w:tcBorders>
                    <w:tl2br w:val="nil"/>
                    <w:tr2bl w:val="nil"/>
                  </w:tcBorders>
                  <w:vAlign w:val="center"/>
                </w:tcPr>
                <w:p w14:paraId="1008FFE2">
                  <w:pPr>
                    <w:adjustRightInd w:val="0"/>
                    <w:jc w:val="center"/>
                    <w:rPr>
                      <w:color w:val="auto"/>
                      <w:szCs w:val="21"/>
                    </w:rPr>
                  </w:pPr>
                  <w:r>
                    <w:rPr>
                      <w:color w:val="auto"/>
                      <w:szCs w:val="21"/>
                    </w:rPr>
                    <w:t>102</w:t>
                  </w:r>
                </w:p>
              </w:tc>
              <w:tc>
                <w:tcPr>
                  <w:tcW w:w="842" w:type="pct"/>
                  <w:tcBorders>
                    <w:tl2br w:val="nil"/>
                    <w:tr2bl w:val="nil"/>
                  </w:tcBorders>
                  <w:vAlign w:val="center"/>
                </w:tcPr>
                <w:p w14:paraId="444D296A">
                  <w:pPr>
                    <w:pStyle w:val="92"/>
                    <w:widowControl w:val="0"/>
                    <w:rPr>
                      <w:color w:val="auto"/>
                      <w:szCs w:val="21"/>
                    </w:rPr>
                  </w:pPr>
                  <w:r>
                    <w:rPr>
                      <w:color w:val="auto"/>
                      <w:szCs w:val="21"/>
                    </w:rPr>
                    <w:t>间歇</w:t>
                  </w:r>
                </w:p>
              </w:tc>
            </w:tr>
            <w:tr w14:paraId="155F8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65B4775E">
                  <w:pPr>
                    <w:pStyle w:val="92"/>
                    <w:widowControl w:val="0"/>
                    <w:rPr>
                      <w:color w:val="auto"/>
                      <w:szCs w:val="21"/>
                    </w:rPr>
                  </w:pPr>
                  <w:r>
                    <w:rPr>
                      <w:color w:val="auto"/>
                      <w:szCs w:val="21"/>
                    </w:rPr>
                    <w:t>2</w:t>
                  </w:r>
                </w:p>
              </w:tc>
              <w:tc>
                <w:tcPr>
                  <w:tcW w:w="1238" w:type="pct"/>
                  <w:tcBorders>
                    <w:tl2br w:val="nil"/>
                    <w:tr2bl w:val="nil"/>
                  </w:tcBorders>
                  <w:vAlign w:val="center"/>
                </w:tcPr>
                <w:p w14:paraId="57543447">
                  <w:pPr>
                    <w:jc w:val="center"/>
                    <w:rPr>
                      <w:color w:val="auto"/>
                      <w:kern w:val="0"/>
                      <w:szCs w:val="21"/>
                    </w:rPr>
                  </w:pPr>
                  <w:r>
                    <w:rPr>
                      <w:color w:val="auto"/>
                      <w:kern w:val="0"/>
                      <w:szCs w:val="21"/>
                    </w:rPr>
                    <w:t>推土机</w:t>
                  </w:r>
                </w:p>
              </w:tc>
              <w:tc>
                <w:tcPr>
                  <w:tcW w:w="1038" w:type="pct"/>
                  <w:tcBorders>
                    <w:tl2br w:val="nil"/>
                    <w:tr2bl w:val="nil"/>
                  </w:tcBorders>
                  <w:vAlign w:val="center"/>
                </w:tcPr>
                <w:p w14:paraId="54666D8B">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w:t>
                  </w:r>
                </w:p>
              </w:tc>
              <w:tc>
                <w:tcPr>
                  <w:tcW w:w="1449" w:type="pct"/>
                  <w:tcBorders>
                    <w:tl2br w:val="nil"/>
                    <w:tr2bl w:val="nil"/>
                  </w:tcBorders>
                  <w:vAlign w:val="center"/>
                </w:tcPr>
                <w:p w14:paraId="788560F5">
                  <w:pPr>
                    <w:adjustRightInd w:val="0"/>
                    <w:jc w:val="center"/>
                    <w:rPr>
                      <w:color w:val="auto"/>
                      <w:szCs w:val="21"/>
                    </w:rPr>
                  </w:pPr>
                  <w:r>
                    <w:rPr>
                      <w:color w:val="auto"/>
                      <w:szCs w:val="21"/>
                    </w:rPr>
                    <w:t>96</w:t>
                  </w:r>
                </w:p>
              </w:tc>
              <w:tc>
                <w:tcPr>
                  <w:tcW w:w="842" w:type="pct"/>
                  <w:tcBorders>
                    <w:tl2br w:val="nil"/>
                    <w:tr2bl w:val="nil"/>
                  </w:tcBorders>
                  <w:vAlign w:val="center"/>
                </w:tcPr>
                <w:p w14:paraId="2FE593B0">
                  <w:pPr>
                    <w:jc w:val="center"/>
                    <w:rPr>
                      <w:color w:val="auto"/>
                      <w:kern w:val="0"/>
                      <w:szCs w:val="21"/>
                    </w:rPr>
                  </w:pPr>
                  <w:r>
                    <w:rPr>
                      <w:color w:val="auto"/>
                      <w:kern w:val="0"/>
                      <w:szCs w:val="21"/>
                    </w:rPr>
                    <w:t>间歇</w:t>
                  </w:r>
                </w:p>
              </w:tc>
            </w:tr>
            <w:tr w14:paraId="710E3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0C57F5A1">
                  <w:pPr>
                    <w:pStyle w:val="92"/>
                    <w:widowControl w:val="0"/>
                    <w:rPr>
                      <w:color w:val="auto"/>
                      <w:szCs w:val="21"/>
                    </w:rPr>
                  </w:pPr>
                  <w:r>
                    <w:rPr>
                      <w:color w:val="auto"/>
                      <w:szCs w:val="21"/>
                    </w:rPr>
                    <w:t>3</w:t>
                  </w:r>
                </w:p>
              </w:tc>
              <w:tc>
                <w:tcPr>
                  <w:tcW w:w="1238" w:type="pct"/>
                  <w:tcBorders>
                    <w:tl2br w:val="nil"/>
                    <w:tr2bl w:val="nil"/>
                  </w:tcBorders>
                  <w:vAlign w:val="center"/>
                </w:tcPr>
                <w:p w14:paraId="2576DE1B">
                  <w:pPr>
                    <w:jc w:val="center"/>
                    <w:rPr>
                      <w:color w:val="auto"/>
                      <w:kern w:val="0"/>
                      <w:szCs w:val="21"/>
                    </w:rPr>
                  </w:pPr>
                  <w:r>
                    <w:rPr>
                      <w:color w:val="auto"/>
                      <w:kern w:val="0"/>
                      <w:szCs w:val="21"/>
                    </w:rPr>
                    <w:t>拖拉机</w:t>
                  </w:r>
                </w:p>
              </w:tc>
              <w:tc>
                <w:tcPr>
                  <w:tcW w:w="1038" w:type="pct"/>
                  <w:tcBorders>
                    <w:tl2br w:val="nil"/>
                    <w:tr2bl w:val="nil"/>
                  </w:tcBorders>
                  <w:vAlign w:val="center"/>
                </w:tcPr>
                <w:p w14:paraId="5C3389A0">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1449" w:type="pct"/>
                  <w:tcBorders>
                    <w:tl2br w:val="nil"/>
                    <w:tr2bl w:val="nil"/>
                  </w:tcBorders>
                  <w:vAlign w:val="center"/>
                </w:tcPr>
                <w:p w14:paraId="40339478">
                  <w:pPr>
                    <w:pStyle w:val="92"/>
                    <w:widowControl w:val="0"/>
                    <w:rPr>
                      <w:color w:val="auto"/>
                      <w:szCs w:val="21"/>
                    </w:rPr>
                  </w:pPr>
                  <w:r>
                    <w:rPr>
                      <w:color w:val="auto"/>
                      <w:szCs w:val="21"/>
                    </w:rPr>
                    <w:t>95</w:t>
                  </w:r>
                </w:p>
              </w:tc>
              <w:tc>
                <w:tcPr>
                  <w:tcW w:w="842" w:type="pct"/>
                  <w:tcBorders>
                    <w:tl2br w:val="nil"/>
                    <w:tr2bl w:val="nil"/>
                  </w:tcBorders>
                  <w:vAlign w:val="center"/>
                </w:tcPr>
                <w:p w14:paraId="15D3952A">
                  <w:pPr>
                    <w:jc w:val="center"/>
                    <w:rPr>
                      <w:color w:val="auto"/>
                      <w:kern w:val="0"/>
                      <w:szCs w:val="21"/>
                    </w:rPr>
                  </w:pPr>
                  <w:r>
                    <w:rPr>
                      <w:color w:val="auto"/>
                      <w:kern w:val="0"/>
                      <w:szCs w:val="21"/>
                    </w:rPr>
                    <w:t>间歇</w:t>
                  </w:r>
                </w:p>
              </w:tc>
            </w:tr>
            <w:tr w14:paraId="3C19F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48626442">
                  <w:pPr>
                    <w:pStyle w:val="92"/>
                    <w:widowControl w:val="0"/>
                    <w:rPr>
                      <w:color w:val="auto"/>
                      <w:szCs w:val="21"/>
                    </w:rPr>
                  </w:pPr>
                  <w:r>
                    <w:rPr>
                      <w:color w:val="auto"/>
                      <w:szCs w:val="21"/>
                    </w:rPr>
                    <w:t>4</w:t>
                  </w:r>
                </w:p>
              </w:tc>
              <w:tc>
                <w:tcPr>
                  <w:tcW w:w="1238" w:type="pct"/>
                  <w:tcBorders>
                    <w:tl2br w:val="nil"/>
                    <w:tr2bl w:val="nil"/>
                  </w:tcBorders>
                  <w:vAlign w:val="center"/>
                </w:tcPr>
                <w:p w14:paraId="01AD1737">
                  <w:pPr>
                    <w:jc w:val="center"/>
                    <w:textAlignment w:val="center"/>
                    <w:rPr>
                      <w:color w:val="auto"/>
                      <w:kern w:val="0"/>
                      <w:szCs w:val="21"/>
                    </w:rPr>
                  </w:pPr>
                  <w:r>
                    <w:rPr>
                      <w:color w:val="auto"/>
                      <w:kern w:val="0"/>
                      <w:szCs w:val="21"/>
                    </w:rPr>
                    <w:t>砂浆搅拌机</w:t>
                  </w:r>
                </w:p>
              </w:tc>
              <w:tc>
                <w:tcPr>
                  <w:tcW w:w="1038" w:type="pct"/>
                  <w:tcBorders>
                    <w:tl2br w:val="nil"/>
                    <w:tr2bl w:val="nil"/>
                  </w:tcBorders>
                  <w:vAlign w:val="center"/>
                </w:tcPr>
                <w:p w14:paraId="68604749">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1449" w:type="pct"/>
                  <w:tcBorders>
                    <w:tl2br w:val="nil"/>
                    <w:tr2bl w:val="nil"/>
                  </w:tcBorders>
                  <w:vAlign w:val="center"/>
                </w:tcPr>
                <w:p w14:paraId="509B9F1A">
                  <w:pPr>
                    <w:pStyle w:val="92"/>
                    <w:widowControl w:val="0"/>
                    <w:rPr>
                      <w:color w:val="auto"/>
                      <w:szCs w:val="21"/>
                    </w:rPr>
                  </w:pPr>
                  <w:r>
                    <w:rPr>
                      <w:color w:val="auto"/>
                      <w:szCs w:val="21"/>
                    </w:rPr>
                    <w:t>90</w:t>
                  </w:r>
                </w:p>
              </w:tc>
              <w:tc>
                <w:tcPr>
                  <w:tcW w:w="842" w:type="pct"/>
                  <w:tcBorders>
                    <w:tl2br w:val="nil"/>
                    <w:tr2bl w:val="nil"/>
                  </w:tcBorders>
                  <w:vAlign w:val="center"/>
                </w:tcPr>
                <w:p w14:paraId="7D338248">
                  <w:pPr>
                    <w:jc w:val="center"/>
                    <w:rPr>
                      <w:color w:val="auto"/>
                      <w:kern w:val="0"/>
                      <w:szCs w:val="21"/>
                    </w:rPr>
                  </w:pPr>
                  <w:r>
                    <w:rPr>
                      <w:color w:val="auto"/>
                      <w:kern w:val="0"/>
                      <w:szCs w:val="21"/>
                    </w:rPr>
                    <w:t>间歇</w:t>
                  </w:r>
                </w:p>
              </w:tc>
            </w:tr>
            <w:tr w14:paraId="6AAAE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4BECBD57">
                  <w:pPr>
                    <w:pStyle w:val="92"/>
                    <w:widowControl w:val="0"/>
                    <w:rPr>
                      <w:color w:val="auto"/>
                      <w:szCs w:val="21"/>
                    </w:rPr>
                  </w:pPr>
                  <w:r>
                    <w:rPr>
                      <w:color w:val="auto"/>
                      <w:szCs w:val="21"/>
                    </w:rPr>
                    <w:t>5</w:t>
                  </w:r>
                </w:p>
              </w:tc>
              <w:tc>
                <w:tcPr>
                  <w:tcW w:w="1238" w:type="pct"/>
                  <w:tcBorders>
                    <w:tl2br w:val="nil"/>
                    <w:tr2bl w:val="nil"/>
                  </w:tcBorders>
                  <w:vAlign w:val="center"/>
                </w:tcPr>
                <w:p w14:paraId="54288EC4">
                  <w:pPr>
                    <w:jc w:val="center"/>
                    <w:textAlignment w:val="center"/>
                    <w:rPr>
                      <w:color w:val="auto"/>
                      <w:kern w:val="0"/>
                      <w:szCs w:val="21"/>
                    </w:rPr>
                  </w:pPr>
                  <w:r>
                    <w:rPr>
                      <w:color w:val="auto"/>
                      <w:kern w:val="0"/>
                      <w:szCs w:val="21"/>
                    </w:rPr>
                    <w:t>污水泵</w:t>
                  </w:r>
                </w:p>
              </w:tc>
              <w:tc>
                <w:tcPr>
                  <w:tcW w:w="1038" w:type="pct"/>
                  <w:tcBorders>
                    <w:tl2br w:val="nil"/>
                    <w:tr2bl w:val="nil"/>
                  </w:tcBorders>
                  <w:vAlign w:val="center"/>
                </w:tcPr>
                <w:p w14:paraId="32F9DF14">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w:t>
                  </w:r>
                </w:p>
              </w:tc>
              <w:tc>
                <w:tcPr>
                  <w:tcW w:w="1449" w:type="pct"/>
                  <w:tcBorders>
                    <w:tl2br w:val="nil"/>
                    <w:tr2bl w:val="nil"/>
                  </w:tcBorders>
                  <w:vAlign w:val="center"/>
                </w:tcPr>
                <w:p w14:paraId="36EFCEFE">
                  <w:pPr>
                    <w:adjustRightInd w:val="0"/>
                    <w:jc w:val="center"/>
                    <w:rPr>
                      <w:color w:val="auto"/>
                      <w:szCs w:val="21"/>
                    </w:rPr>
                  </w:pPr>
                  <w:r>
                    <w:rPr>
                      <w:color w:val="auto"/>
                      <w:szCs w:val="21"/>
                    </w:rPr>
                    <w:t>102</w:t>
                  </w:r>
                </w:p>
              </w:tc>
              <w:tc>
                <w:tcPr>
                  <w:tcW w:w="842" w:type="pct"/>
                  <w:tcBorders>
                    <w:tl2br w:val="nil"/>
                    <w:tr2bl w:val="nil"/>
                  </w:tcBorders>
                  <w:vAlign w:val="center"/>
                </w:tcPr>
                <w:p w14:paraId="28E4C01D">
                  <w:pPr>
                    <w:jc w:val="center"/>
                    <w:rPr>
                      <w:color w:val="auto"/>
                      <w:kern w:val="0"/>
                      <w:szCs w:val="21"/>
                    </w:rPr>
                  </w:pPr>
                  <w:r>
                    <w:rPr>
                      <w:color w:val="auto"/>
                      <w:kern w:val="0"/>
                      <w:szCs w:val="21"/>
                    </w:rPr>
                    <w:t>间歇</w:t>
                  </w:r>
                </w:p>
              </w:tc>
            </w:tr>
            <w:tr w14:paraId="7F7CE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39E7CCA5">
                  <w:pPr>
                    <w:pStyle w:val="92"/>
                    <w:widowControl w:val="0"/>
                    <w:rPr>
                      <w:color w:val="auto"/>
                      <w:szCs w:val="21"/>
                    </w:rPr>
                  </w:pPr>
                  <w:r>
                    <w:rPr>
                      <w:color w:val="auto"/>
                      <w:szCs w:val="21"/>
                    </w:rPr>
                    <w:t>6</w:t>
                  </w:r>
                </w:p>
              </w:tc>
              <w:tc>
                <w:tcPr>
                  <w:tcW w:w="1238" w:type="pct"/>
                  <w:tcBorders>
                    <w:tl2br w:val="nil"/>
                    <w:tr2bl w:val="nil"/>
                  </w:tcBorders>
                  <w:vAlign w:val="center"/>
                </w:tcPr>
                <w:p w14:paraId="0CA2A42C">
                  <w:pPr>
                    <w:jc w:val="center"/>
                    <w:rPr>
                      <w:color w:val="auto"/>
                      <w:kern w:val="0"/>
                      <w:szCs w:val="21"/>
                    </w:rPr>
                  </w:pPr>
                  <w:r>
                    <w:rPr>
                      <w:color w:val="auto"/>
                      <w:kern w:val="0"/>
                      <w:szCs w:val="21"/>
                    </w:rPr>
                    <w:t>振动器</w:t>
                  </w:r>
                </w:p>
              </w:tc>
              <w:tc>
                <w:tcPr>
                  <w:tcW w:w="1038" w:type="pct"/>
                  <w:tcBorders>
                    <w:tl2br w:val="nil"/>
                    <w:tr2bl w:val="nil"/>
                  </w:tcBorders>
                  <w:vAlign w:val="center"/>
                </w:tcPr>
                <w:p w14:paraId="5680D15F">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w:t>
                  </w:r>
                </w:p>
              </w:tc>
              <w:tc>
                <w:tcPr>
                  <w:tcW w:w="1449" w:type="pct"/>
                  <w:tcBorders>
                    <w:tl2br w:val="nil"/>
                    <w:tr2bl w:val="nil"/>
                  </w:tcBorders>
                  <w:vAlign w:val="center"/>
                </w:tcPr>
                <w:p w14:paraId="26ED1BDB">
                  <w:pPr>
                    <w:pStyle w:val="92"/>
                    <w:widowControl w:val="0"/>
                    <w:rPr>
                      <w:color w:val="auto"/>
                      <w:szCs w:val="21"/>
                    </w:rPr>
                  </w:pPr>
                  <w:r>
                    <w:rPr>
                      <w:color w:val="auto"/>
                      <w:szCs w:val="21"/>
                    </w:rPr>
                    <w:t>95</w:t>
                  </w:r>
                </w:p>
              </w:tc>
              <w:tc>
                <w:tcPr>
                  <w:tcW w:w="842" w:type="pct"/>
                  <w:tcBorders>
                    <w:tl2br w:val="nil"/>
                    <w:tr2bl w:val="nil"/>
                  </w:tcBorders>
                  <w:vAlign w:val="center"/>
                </w:tcPr>
                <w:p w14:paraId="71525B13">
                  <w:pPr>
                    <w:jc w:val="center"/>
                    <w:rPr>
                      <w:color w:val="auto"/>
                      <w:kern w:val="0"/>
                      <w:szCs w:val="21"/>
                    </w:rPr>
                  </w:pPr>
                  <w:r>
                    <w:rPr>
                      <w:color w:val="auto"/>
                      <w:kern w:val="0"/>
                      <w:szCs w:val="21"/>
                    </w:rPr>
                    <w:t>间歇</w:t>
                  </w:r>
                </w:p>
              </w:tc>
            </w:tr>
            <w:tr w14:paraId="1CCE7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75150EA9">
                  <w:pPr>
                    <w:pStyle w:val="92"/>
                    <w:widowControl w:val="0"/>
                    <w:rPr>
                      <w:color w:val="auto"/>
                      <w:szCs w:val="21"/>
                    </w:rPr>
                  </w:pPr>
                  <w:r>
                    <w:rPr>
                      <w:color w:val="auto"/>
                      <w:szCs w:val="21"/>
                    </w:rPr>
                    <w:t>7</w:t>
                  </w:r>
                </w:p>
              </w:tc>
              <w:tc>
                <w:tcPr>
                  <w:tcW w:w="1238" w:type="pct"/>
                  <w:tcBorders>
                    <w:tl2br w:val="nil"/>
                    <w:tr2bl w:val="nil"/>
                  </w:tcBorders>
                  <w:vAlign w:val="center"/>
                </w:tcPr>
                <w:p w14:paraId="43E05AE9">
                  <w:pPr>
                    <w:jc w:val="center"/>
                    <w:rPr>
                      <w:color w:val="auto"/>
                      <w:kern w:val="0"/>
                      <w:szCs w:val="21"/>
                    </w:rPr>
                  </w:pPr>
                  <w:r>
                    <w:rPr>
                      <w:color w:val="auto"/>
                      <w:kern w:val="0"/>
                      <w:szCs w:val="21"/>
                    </w:rPr>
                    <w:t>自卸汽车</w:t>
                  </w:r>
                </w:p>
              </w:tc>
              <w:tc>
                <w:tcPr>
                  <w:tcW w:w="1038" w:type="pct"/>
                  <w:tcBorders>
                    <w:tl2br w:val="nil"/>
                    <w:tr2bl w:val="nil"/>
                  </w:tcBorders>
                  <w:vAlign w:val="center"/>
                </w:tcPr>
                <w:p w14:paraId="110C7DAE">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8</w:t>
                  </w:r>
                </w:p>
              </w:tc>
              <w:tc>
                <w:tcPr>
                  <w:tcW w:w="1449" w:type="pct"/>
                  <w:tcBorders>
                    <w:tl2br w:val="nil"/>
                    <w:tr2bl w:val="nil"/>
                  </w:tcBorders>
                  <w:vAlign w:val="center"/>
                </w:tcPr>
                <w:p w14:paraId="273E384E">
                  <w:pPr>
                    <w:pStyle w:val="92"/>
                    <w:widowControl w:val="0"/>
                    <w:rPr>
                      <w:color w:val="auto"/>
                      <w:szCs w:val="21"/>
                    </w:rPr>
                  </w:pPr>
                  <w:r>
                    <w:rPr>
                      <w:color w:val="auto"/>
                      <w:szCs w:val="21"/>
                    </w:rPr>
                    <w:t>95</w:t>
                  </w:r>
                </w:p>
              </w:tc>
              <w:tc>
                <w:tcPr>
                  <w:tcW w:w="842" w:type="pct"/>
                  <w:tcBorders>
                    <w:tl2br w:val="nil"/>
                    <w:tr2bl w:val="nil"/>
                  </w:tcBorders>
                  <w:vAlign w:val="center"/>
                </w:tcPr>
                <w:p w14:paraId="1902D5BD">
                  <w:pPr>
                    <w:jc w:val="center"/>
                    <w:rPr>
                      <w:color w:val="auto"/>
                      <w:kern w:val="0"/>
                      <w:szCs w:val="21"/>
                    </w:rPr>
                  </w:pPr>
                  <w:r>
                    <w:rPr>
                      <w:color w:val="auto"/>
                      <w:kern w:val="0"/>
                      <w:szCs w:val="21"/>
                    </w:rPr>
                    <w:t>间歇</w:t>
                  </w:r>
                </w:p>
              </w:tc>
            </w:tr>
            <w:tr w14:paraId="5897C6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38FDB15B">
                  <w:pPr>
                    <w:pStyle w:val="92"/>
                    <w:widowControl w:val="0"/>
                    <w:rPr>
                      <w:color w:val="auto"/>
                      <w:szCs w:val="21"/>
                    </w:rPr>
                  </w:pPr>
                  <w:r>
                    <w:rPr>
                      <w:color w:val="auto"/>
                      <w:szCs w:val="21"/>
                    </w:rPr>
                    <w:t>8</w:t>
                  </w:r>
                </w:p>
              </w:tc>
              <w:tc>
                <w:tcPr>
                  <w:tcW w:w="1238" w:type="pct"/>
                  <w:tcBorders>
                    <w:tl2br w:val="nil"/>
                    <w:tr2bl w:val="nil"/>
                  </w:tcBorders>
                  <w:vAlign w:val="center"/>
                </w:tcPr>
                <w:p w14:paraId="7789CCD1">
                  <w:pPr>
                    <w:jc w:val="center"/>
                    <w:rPr>
                      <w:color w:val="auto"/>
                      <w:kern w:val="0"/>
                      <w:szCs w:val="21"/>
                    </w:rPr>
                  </w:pPr>
                  <w:r>
                    <w:rPr>
                      <w:color w:val="auto"/>
                      <w:kern w:val="0"/>
                      <w:szCs w:val="21"/>
                    </w:rPr>
                    <w:t>载重汽车</w:t>
                  </w:r>
                </w:p>
              </w:tc>
              <w:tc>
                <w:tcPr>
                  <w:tcW w:w="1038" w:type="pct"/>
                  <w:tcBorders>
                    <w:tl2br w:val="nil"/>
                    <w:tr2bl w:val="nil"/>
                  </w:tcBorders>
                  <w:vAlign w:val="center"/>
                </w:tcPr>
                <w:p w14:paraId="7C83692E">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15</w:t>
                  </w:r>
                </w:p>
              </w:tc>
              <w:tc>
                <w:tcPr>
                  <w:tcW w:w="1449" w:type="pct"/>
                  <w:tcBorders>
                    <w:tl2br w:val="nil"/>
                    <w:tr2bl w:val="nil"/>
                  </w:tcBorders>
                  <w:vAlign w:val="center"/>
                </w:tcPr>
                <w:p w14:paraId="58670245">
                  <w:pPr>
                    <w:adjustRightInd w:val="0"/>
                    <w:jc w:val="center"/>
                    <w:rPr>
                      <w:color w:val="auto"/>
                      <w:szCs w:val="21"/>
                    </w:rPr>
                  </w:pPr>
                  <w:r>
                    <w:rPr>
                      <w:color w:val="auto"/>
                      <w:szCs w:val="21"/>
                    </w:rPr>
                    <w:t>96</w:t>
                  </w:r>
                </w:p>
              </w:tc>
              <w:tc>
                <w:tcPr>
                  <w:tcW w:w="842" w:type="pct"/>
                  <w:tcBorders>
                    <w:tl2br w:val="nil"/>
                    <w:tr2bl w:val="nil"/>
                  </w:tcBorders>
                  <w:vAlign w:val="center"/>
                </w:tcPr>
                <w:p w14:paraId="02CEF4F3">
                  <w:pPr>
                    <w:jc w:val="center"/>
                    <w:rPr>
                      <w:color w:val="auto"/>
                      <w:kern w:val="0"/>
                      <w:szCs w:val="21"/>
                    </w:rPr>
                  </w:pPr>
                  <w:r>
                    <w:rPr>
                      <w:color w:val="auto"/>
                      <w:kern w:val="0"/>
                      <w:szCs w:val="21"/>
                    </w:rPr>
                    <w:t>间歇</w:t>
                  </w:r>
                </w:p>
              </w:tc>
            </w:tr>
            <w:tr w14:paraId="487DD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51ABB261">
                  <w:pPr>
                    <w:pStyle w:val="92"/>
                    <w:widowControl w:val="0"/>
                    <w:rPr>
                      <w:color w:val="auto"/>
                      <w:szCs w:val="21"/>
                    </w:rPr>
                  </w:pPr>
                  <w:r>
                    <w:rPr>
                      <w:color w:val="auto"/>
                      <w:szCs w:val="21"/>
                    </w:rPr>
                    <w:t>9</w:t>
                  </w:r>
                </w:p>
              </w:tc>
              <w:tc>
                <w:tcPr>
                  <w:tcW w:w="1238" w:type="pct"/>
                  <w:tcBorders>
                    <w:tl2br w:val="nil"/>
                    <w:tr2bl w:val="nil"/>
                  </w:tcBorders>
                  <w:vAlign w:val="center"/>
                </w:tcPr>
                <w:p w14:paraId="42E7244E">
                  <w:pPr>
                    <w:jc w:val="center"/>
                    <w:rPr>
                      <w:color w:val="auto"/>
                      <w:kern w:val="0"/>
                      <w:szCs w:val="21"/>
                    </w:rPr>
                  </w:pPr>
                  <w:r>
                    <w:rPr>
                      <w:color w:val="auto"/>
                      <w:kern w:val="0"/>
                      <w:szCs w:val="21"/>
                    </w:rPr>
                    <w:t>钢筋弯曲机</w:t>
                  </w:r>
                </w:p>
              </w:tc>
              <w:tc>
                <w:tcPr>
                  <w:tcW w:w="1038" w:type="pct"/>
                  <w:tcBorders>
                    <w:tl2br w:val="nil"/>
                    <w:tr2bl w:val="nil"/>
                  </w:tcBorders>
                  <w:vAlign w:val="center"/>
                </w:tcPr>
                <w:p w14:paraId="3868A1D9">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1449" w:type="pct"/>
                  <w:tcBorders>
                    <w:tl2br w:val="nil"/>
                    <w:tr2bl w:val="nil"/>
                  </w:tcBorders>
                  <w:vAlign w:val="center"/>
                </w:tcPr>
                <w:p w14:paraId="2115CFAF">
                  <w:pPr>
                    <w:pStyle w:val="92"/>
                    <w:widowControl w:val="0"/>
                    <w:rPr>
                      <w:color w:val="auto"/>
                      <w:szCs w:val="21"/>
                    </w:rPr>
                  </w:pPr>
                  <w:r>
                    <w:rPr>
                      <w:color w:val="auto"/>
                      <w:szCs w:val="21"/>
                    </w:rPr>
                    <w:t>85</w:t>
                  </w:r>
                </w:p>
              </w:tc>
              <w:tc>
                <w:tcPr>
                  <w:tcW w:w="842" w:type="pct"/>
                  <w:tcBorders>
                    <w:tl2br w:val="nil"/>
                    <w:tr2bl w:val="nil"/>
                  </w:tcBorders>
                  <w:vAlign w:val="center"/>
                </w:tcPr>
                <w:p w14:paraId="5CCD3BD9">
                  <w:pPr>
                    <w:jc w:val="center"/>
                    <w:rPr>
                      <w:color w:val="auto"/>
                      <w:kern w:val="0"/>
                      <w:szCs w:val="21"/>
                    </w:rPr>
                  </w:pPr>
                  <w:r>
                    <w:rPr>
                      <w:color w:val="auto"/>
                      <w:kern w:val="0"/>
                      <w:szCs w:val="21"/>
                    </w:rPr>
                    <w:t>间歇</w:t>
                  </w:r>
                </w:p>
              </w:tc>
            </w:tr>
            <w:tr w14:paraId="26DF6B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1E4AC585">
                  <w:pPr>
                    <w:pStyle w:val="92"/>
                    <w:widowControl w:val="0"/>
                    <w:rPr>
                      <w:color w:val="auto"/>
                      <w:szCs w:val="21"/>
                    </w:rPr>
                  </w:pPr>
                  <w:r>
                    <w:rPr>
                      <w:color w:val="auto"/>
                      <w:szCs w:val="21"/>
                    </w:rPr>
                    <w:t>10</w:t>
                  </w:r>
                </w:p>
              </w:tc>
              <w:tc>
                <w:tcPr>
                  <w:tcW w:w="1238" w:type="pct"/>
                  <w:tcBorders>
                    <w:tl2br w:val="nil"/>
                    <w:tr2bl w:val="nil"/>
                  </w:tcBorders>
                  <w:vAlign w:val="center"/>
                </w:tcPr>
                <w:p w14:paraId="35883F15">
                  <w:pPr>
                    <w:jc w:val="center"/>
                    <w:rPr>
                      <w:color w:val="auto"/>
                      <w:kern w:val="0"/>
                      <w:szCs w:val="21"/>
                    </w:rPr>
                  </w:pPr>
                  <w:r>
                    <w:rPr>
                      <w:color w:val="auto"/>
                      <w:kern w:val="0"/>
                      <w:szCs w:val="21"/>
                    </w:rPr>
                    <w:t>钢筋切断机</w:t>
                  </w:r>
                </w:p>
              </w:tc>
              <w:tc>
                <w:tcPr>
                  <w:tcW w:w="1038" w:type="pct"/>
                  <w:tcBorders>
                    <w:tl2br w:val="nil"/>
                    <w:tr2bl w:val="nil"/>
                  </w:tcBorders>
                  <w:vAlign w:val="center"/>
                </w:tcPr>
                <w:p w14:paraId="46E8D235">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1449" w:type="pct"/>
                  <w:tcBorders>
                    <w:tl2br w:val="nil"/>
                    <w:tr2bl w:val="nil"/>
                  </w:tcBorders>
                  <w:vAlign w:val="center"/>
                </w:tcPr>
                <w:p w14:paraId="6CD52354">
                  <w:pPr>
                    <w:pStyle w:val="92"/>
                    <w:widowControl w:val="0"/>
                    <w:rPr>
                      <w:color w:val="auto"/>
                      <w:szCs w:val="21"/>
                    </w:rPr>
                  </w:pPr>
                  <w:r>
                    <w:rPr>
                      <w:color w:val="auto"/>
                      <w:szCs w:val="21"/>
                    </w:rPr>
                    <w:t>95</w:t>
                  </w:r>
                </w:p>
              </w:tc>
              <w:tc>
                <w:tcPr>
                  <w:tcW w:w="842" w:type="pct"/>
                  <w:tcBorders>
                    <w:tl2br w:val="nil"/>
                    <w:tr2bl w:val="nil"/>
                  </w:tcBorders>
                  <w:vAlign w:val="center"/>
                </w:tcPr>
                <w:p w14:paraId="47B932D2">
                  <w:pPr>
                    <w:jc w:val="center"/>
                    <w:rPr>
                      <w:color w:val="auto"/>
                      <w:kern w:val="0"/>
                      <w:szCs w:val="21"/>
                    </w:rPr>
                  </w:pPr>
                  <w:r>
                    <w:rPr>
                      <w:color w:val="auto"/>
                      <w:kern w:val="0"/>
                      <w:szCs w:val="21"/>
                    </w:rPr>
                    <w:t>间歇</w:t>
                  </w:r>
                </w:p>
              </w:tc>
            </w:tr>
            <w:tr w14:paraId="7C23D6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643CEB98">
                  <w:pPr>
                    <w:pStyle w:val="92"/>
                    <w:widowControl w:val="0"/>
                    <w:rPr>
                      <w:color w:val="auto"/>
                      <w:szCs w:val="21"/>
                    </w:rPr>
                  </w:pPr>
                  <w:r>
                    <w:rPr>
                      <w:color w:val="auto"/>
                      <w:szCs w:val="21"/>
                    </w:rPr>
                    <w:t>11</w:t>
                  </w:r>
                </w:p>
              </w:tc>
              <w:tc>
                <w:tcPr>
                  <w:tcW w:w="1238" w:type="pct"/>
                  <w:tcBorders>
                    <w:tl2br w:val="nil"/>
                    <w:tr2bl w:val="nil"/>
                  </w:tcBorders>
                  <w:vAlign w:val="center"/>
                </w:tcPr>
                <w:p w14:paraId="10270767">
                  <w:pPr>
                    <w:jc w:val="center"/>
                    <w:rPr>
                      <w:color w:val="auto"/>
                      <w:kern w:val="0"/>
                      <w:szCs w:val="21"/>
                    </w:rPr>
                  </w:pPr>
                  <w:r>
                    <w:rPr>
                      <w:color w:val="auto"/>
                      <w:kern w:val="0"/>
                      <w:szCs w:val="21"/>
                    </w:rPr>
                    <w:t>汽车起重机</w:t>
                  </w:r>
                </w:p>
              </w:tc>
              <w:tc>
                <w:tcPr>
                  <w:tcW w:w="1038" w:type="pct"/>
                  <w:tcBorders>
                    <w:tl2br w:val="nil"/>
                    <w:tr2bl w:val="nil"/>
                  </w:tcBorders>
                  <w:vAlign w:val="center"/>
                </w:tcPr>
                <w:p w14:paraId="4453C472">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w:t>
                  </w:r>
                </w:p>
              </w:tc>
              <w:tc>
                <w:tcPr>
                  <w:tcW w:w="1449" w:type="pct"/>
                  <w:tcBorders>
                    <w:tl2br w:val="nil"/>
                    <w:tr2bl w:val="nil"/>
                  </w:tcBorders>
                  <w:vAlign w:val="center"/>
                </w:tcPr>
                <w:p w14:paraId="5CA434EF">
                  <w:pPr>
                    <w:adjustRightInd w:val="0"/>
                    <w:jc w:val="center"/>
                    <w:rPr>
                      <w:color w:val="auto"/>
                      <w:szCs w:val="21"/>
                    </w:rPr>
                  </w:pPr>
                  <w:r>
                    <w:rPr>
                      <w:color w:val="auto"/>
                      <w:szCs w:val="21"/>
                    </w:rPr>
                    <w:t>96</w:t>
                  </w:r>
                </w:p>
              </w:tc>
              <w:tc>
                <w:tcPr>
                  <w:tcW w:w="842" w:type="pct"/>
                  <w:tcBorders>
                    <w:tl2br w:val="nil"/>
                    <w:tr2bl w:val="nil"/>
                  </w:tcBorders>
                  <w:vAlign w:val="center"/>
                </w:tcPr>
                <w:p w14:paraId="228FA7C4">
                  <w:pPr>
                    <w:jc w:val="center"/>
                    <w:rPr>
                      <w:color w:val="auto"/>
                      <w:kern w:val="0"/>
                      <w:szCs w:val="21"/>
                    </w:rPr>
                  </w:pPr>
                  <w:r>
                    <w:rPr>
                      <w:color w:val="auto"/>
                      <w:kern w:val="0"/>
                      <w:szCs w:val="21"/>
                    </w:rPr>
                    <w:t>间歇</w:t>
                  </w:r>
                </w:p>
              </w:tc>
            </w:tr>
            <w:tr w14:paraId="4540A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30" w:type="pct"/>
                  <w:tcBorders>
                    <w:tl2br w:val="nil"/>
                    <w:tr2bl w:val="nil"/>
                  </w:tcBorders>
                  <w:vAlign w:val="center"/>
                </w:tcPr>
                <w:p w14:paraId="05D9A3BA">
                  <w:pPr>
                    <w:pStyle w:val="92"/>
                    <w:widowControl w:val="0"/>
                    <w:rPr>
                      <w:color w:val="auto"/>
                      <w:szCs w:val="21"/>
                    </w:rPr>
                  </w:pPr>
                  <w:r>
                    <w:rPr>
                      <w:color w:val="auto"/>
                      <w:szCs w:val="21"/>
                    </w:rPr>
                    <w:t>12</w:t>
                  </w:r>
                </w:p>
              </w:tc>
              <w:tc>
                <w:tcPr>
                  <w:tcW w:w="1238" w:type="pct"/>
                  <w:tcBorders>
                    <w:tl2br w:val="nil"/>
                    <w:tr2bl w:val="nil"/>
                  </w:tcBorders>
                  <w:vAlign w:val="center"/>
                </w:tcPr>
                <w:p w14:paraId="096AC8DA">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风水（砂）枪</w:t>
                  </w:r>
                </w:p>
              </w:tc>
              <w:tc>
                <w:tcPr>
                  <w:tcW w:w="1038" w:type="pct"/>
                  <w:tcBorders>
                    <w:tl2br w:val="nil"/>
                    <w:tr2bl w:val="nil"/>
                  </w:tcBorders>
                  <w:vAlign w:val="center"/>
                </w:tcPr>
                <w:p w14:paraId="60A80219">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w:t>
                  </w:r>
                </w:p>
              </w:tc>
              <w:tc>
                <w:tcPr>
                  <w:tcW w:w="1449" w:type="pct"/>
                  <w:tcBorders>
                    <w:tl2br w:val="nil"/>
                    <w:tr2bl w:val="nil"/>
                  </w:tcBorders>
                  <w:vAlign w:val="center"/>
                </w:tcPr>
                <w:p w14:paraId="28656E0C">
                  <w:pPr>
                    <w:pStyle w:val="92"/>
                    <w:widowControl w:val="0"/>
                    <w:rPr>
                      <w:color w:val="auto"/>
                      <w:szCs w:val="21"/>
                    </w:rPr>
                  </w:pPr>
                  <w:r>
                    <w:rPr>
                      <w:color w:val="auto"/>
                      <w:szCs w:val="21"/>
                    </w:rPr>
                    <w:t>90</w:t>
                  </w:r>
                </w:p>
              </w:tc>
              <w:tc>
                <w:tcPr>
                  <w:tcW w:w="842" w:type="pct"/>
                  <w:tcBorders>
                    <w:tl2br w:val="nil"/>
                    <w:tr2bl w:val="nil"/>
                  </w:tcBorders>
                  <w:vAlign w:val="center"/>
                </w:tcPr>
                <w:p w14:paraId="563B8A97">
                  <w:pPr>
                    <w:jc w:val="center"/>
                    <w:rPr>
                      <w:color w:val="auto"/>
                      <w:kern w:val="0"/>
                      <w:szCs w:val="21"/>
                    </w:rPr>
                  </w:pPr>
                  <w:r>
                    <w:rPr>
                      <w:color w:val="auto"/>
                      <w:kern w:val="0"/>
                      <w:szCs w:val="21"/>
                    </w:rPr>
                    <w:t>间歇</w:t>
                  </w:r>
                </w:p>
              </w:tc>
            </w:tr>
          </w:tbl>
          <w:p w14:paraId="5B5DA39C">
            <w:pPr>
              <w:adjustRightInd w:val="0"/>
              <w:snapToGrid w:val="0"/>
              <w:spacing w:line="360" w:lineRule="auto"/>
              <w:ind w:firstLine="480" w:firstLineChars="200"/>
              <w:jc w:val="left"/>
              <w:rPr>
                <w:bCs/>
                <w:color w:val="auto"/>
                <w:sz w:val="24"/>
              </w:rPr>
            </w:pPr>
            <w:r>
              <w:rPr>
                <w:bCs/>
                <w:color w:val="auto"/>
                <w:sz w:val="24"/>
              </w:rPr>
              <w:t>本项目施工期的主要噪声来自施工机械和运输车辆产生的噪声，此噪声是暂时性的，随着施工期的结束，噪声影响也会消失。</w:t>
            </w:r>
          </w:p>
          <w:p w14:paraId="325A80F3">
            <w:pPr>
              <w:adjustRightInd w:val="0"/>
              <w:snapToGrid w:val="0"/>
              <w:spacing w:line="360" w:lineRule="auto"/>
              <w:ind w:firstLine="480" w:firstLineChars="200"/>
              <w:jc w:val="left"/>
              <w:rPr>
                <w:bCs/>
                <w:color w:val="auto"/>
                <w:sz w:val="24"/>
              </w:rPr>
            </w:pPr>
            <w:r>
              <w:rPr>
                <w:rFonts w:hint="eastAsia"/>
                <w:bCs/>
                <w:color w:val="auto"/>
                <w:sz w:val="24"/>
              </w:rPr>
              <w:t>3.2、</w:t>
            </w:r>
            <w:r>
              <w:rPr>
                <w:bCs/>
                <w:color w:val="auto"/>
                <w:sz w:val="24"/>
              </w:rPr>
              <w:t>噪声防治措施及环境影响分析</w:t>
            </w:r>
          </w:p>
          <w:p w14:paraId="5511A59F">
            <w:pPr>
              <w:adjustRightInd w:val="0"/>
              <w:snapToGrid w:val="0"/>
              <w:spacing w:line="360" w:lineRule="auto"/>
              <w:ind w:firstLine="480" w:firstLineChars="200"/>
              <w:jc w:val="left"/>
              <w:rPr>
                <w:bCs/>
                <w:color w:val="auto"/>
                <w:sz w:val="24"/>
              </w:rPr>
            </w:pPr>
            <w:r>
              <w:rPr>
                <w:bCs/>
                <w:color w:val="auto"/>
                <w:sz w:val="24"/>
              </w:rPr>
              <w:t>在施工设备无防护、露天施工的情况下，噪声随距离的衰减可按下式进行计算：</w:t>
            </w:r>
          </w:p>
          <w:p w14:paraId="210B9935">
            <w:pPr>
              <w:adjustRightInd w:val="0"/>
              <w:snapToGrid w:val="0"/>
              <w:spacing w:before="24" w:beforeLines="10" w:after="24" w:afterLines="10" w:line="259" w:lineRule="auto"/>
              <w:jc w:val="center"/>
              <w:rPr>
                <w:color w:val="auto"/>
                <w:kern w:val="0"/>
                <w:szCs w:val="21"/>
              </w:rPr>
            </w:pPr>
            <w:r>
              <w:rPr>
                <w:color w:val="auto"/>
                <w:kern w:val="0"/>
                <w:szCs w:val="21"/>
              </w:rPr>
              <w:drawing>
                <wp:inline distT="0" distB="0" distL="114300" distR="114300">
                  <wp:extent cx="2075815" cy="321310"/>
                  <wp:effectExtent l="0" t="0" r="635" b="254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4"/>
                          <a:stretch>
                            <a:fillRect/>
                          </a:stretch>
                        </pic:blipFill>
                        <pic:spPr>
                          <a:xfrm>
                            <a:off x="0" y="0"/>
                            <a:ext cx="2075815" cy="321310"/>
                          </a:xfrm>
                          <a:prstGeom prst="rect">
                            <a:avLst/>
                          </a:prstGeom>
                          <a:noFill/>
                          <a:ln>
                            <a:noFill/>
                          </a:ln>
                        </pic:spPr>
                      </pic:pic>
                    </a:graphicData>
                  </a:graphic>
                </wp:inline>
              </w:drawing>
            </w:r>
          </w:p>
          <w:p w14:paraId="550154ED">
            <w:pPr>
              <w:adjustRightInd w:val="0"/>
              <w:snapToGrid w:val="0"/>
              <w:spacing w:line="360" w:lineRule="auto"/>
              <w:ind w:firstLine="480" w:firstLineChars="200"/>
              <w:rPr>
                <w:bCs/>
                <w:color w:val="auto"/>
                <w:sz w:val="24"/>
              </w:rPr>
            </w:pPr>
            <w:r>
              <w:rPr>
                <w:bCs/>
                <w:color w:val="auto"/>
                <w:sz w:val="24"/>
              </w:rPr>
              <w:t>式中：Lp(r)——受声点声压级，dB（A）；</w:t>
            </w:r>
          </w:p>
          <w:p w14:paraId="2F23FDA9">
            <w:pPr>
              <w:adjustRightInd w:val="0"/>
              <w:snapToGrid w:val="0"/>
              <w:spacing w:line="360" w:lineRule="auto"/>
              <w:ind w:firstLine="480" w:firstLineChars="200"/>
              <w:rPr>
                <w:bCs/>
                <w:color w:val="auto"/>
                <w:sz w:val="24"/>
              </w:rPr>
            </w:pPr>
            <w:r>
              <w:rPr>
                <w:bCs/>
                <w:color w:val="auto"/>
                <w:sz w:val="24"/>
              </w:rPr>
              <w:t>L(r</w:t>
            </w:r>
            <w:r>
              <w:rPr>
                <w:bCs/>
                <w:color w:val="auto"/>
                <w:sz w:val="24"/>
                <w:vertAlign w:val="subscript"/>
              </w:rPr>
              <w:t>0</w:t>
            </w:r>
            <w:r>
              <w:rPr>
                <w:bCs/>
                <w:color w:val="auto"/>
                <w:sz w:val="24"/>
              </w:rPr>
              <w:t>)——参考点r</w:t>
            </w:r>
            <w:r>
              <w:rPr>
                <w:bCs/>
                <w:color w:val="auto"/>
                <w:sz w:val="24"/>
                <w:vertAlign w:val="subscript"/>
              </w:rPr>
              <w:t>0</w:t>
            </w:r>
            <w:r>
              <w:rPr>
                <w:bCs/>
                <w:color w:val="auto"/>
                <w:sz w:val="24"/>
              </w:rPr>
              <w:t>处声压级，dB（A）；</w:t>
            </w:r>
          </w:p>
          <w:p w14:paraId="12C71603">
            <w:pPr>
              <w:adjustRightInd w:val="0"/>
              <w:snapToGrid w:val="0"/>
              <w:spacing w:line="360" w:lineRule="auto"/>
              <w:ind w:firstLine="480" w:firstLineChars="200"/>
              <w:rPr>
                <w:bCs/>
                <w:color w:val="auto"/>
                <w:sz w:val="24"/>
              </w:rPr>
            </w:pPr>
            <w:r>
              <w:rPr>
                <w:bCs/>
                <w:color w:val="auto"/>
                <w:sz w:val="24"/>
              </w:rPr>
              <w:t>r0——受声点至声源距离，m；</w:t>
            </w:r>
          </w:p>
          <w:p w14:paraId="7AA42DDA">
            <w:pPr>
              <w:adjustRightInd w:val="0"/>
              <w:snapToGrid w:val="0"/>
              <w:spacing w:line="360" w:lineRule="auto"/>
              <w:ind w:firstLine="480" w:firstLineChars="200"/>
              <w:rPr>
                <w:bCs/>
                <w:color w:val="auto"/>
                <w:sz w:val="24"/>
              </w:rPr>
            </w:pPr>
            <w:r>
              <w:rPr>
                <w:bCs/>
                <w:color w:val="auto"/>
                <w:sz w:val="24"/>
              </w:rPr>
              <w:t>r——参考点至声源距离，m</w:t>
            </w:r>
            <w:r>
              <w:rPr>
                <w:rFonts w:hint="eastAsia"/>
                <w:bCs/>
                <w:color w:val="auto"/>
                <w:sz w:val="24"/>
              </w:rPr>
              <w:t>。</w:t>
            </w:r>
          </w:p>
          <w:p w14:paraId="07801051">
            <w:pPr>
              <w:adjustRightInd w:val="0"/>
              <w:snapToGrid w:val="0"/>
              <w:spacing w:line="360" w:lineRule="auto"/>
              <w:ind w:firstLine="480" w:firstLineChars="200"/>
              <w:rPr>
                <w:bCs/>
                <w:color w:val="auto"/>
                <w:sz w:val="24"/>
              </w:rPr>
            </w:pPr>
            <w:r>
              <w:rPr>
                <w:rFonts w:hint="eastAsia"/>
                <w:bCs/>
                <w:color w:val="auto"/>
                <w:sz w:val="24"/>
              </w:rPr>
              <w:t>在进行计算时，r</w:t>
            </w:r>
            <w:r>
              <w:rPr>
                <w:rFonts w:hint="eastAsia"/>
                <w:bCs/>
                <w:color w:val="auto"/>
                <w:sz w:val="24"/>
                <w:vertAlign w:val="subscript"/>
              </w:rPr>
              <w:t>0</w:t>
            </w:r>
            <w:r>
              <w:rPr>
                <w:rFonts w:hint="eastAsia"/>
                <w:bCs/>
                <w:color w:val="auto"/>
                <w:sz w:val="24"/>
              </w:rPr>
              <w:t>的值取 1m。</w:t>
            </w:r>
          </w:p>
          <w:p w14:paraId="56FE9A50">
            <w:pPr>
              <w:adjustRightInd w:val="0"/>
              <w:snapToGrid w:val="0"/>
              <w:spacing w:line="360" w:lineRule="auto"/>
              <w:ind w:firstLine="480" w:firstLineChars="200"/>
              <w:rPr>
                <w:bCs/>
                <w:color w:val="auto"/>
                <w:sz w:val="24"/>
              </w:rPr>
            </w:pPr>
            <w:r>
              <w:rPr>
                <w:rFonts w:hint="eastAsia"/>
                <w:bCs/>
                <w:color w:val="auto"/>
                <w:sz w:val="24"/>
              </w:rPr>
              <w:t>经计算，各种施工机械设备噪声随距离的衰减情况具体见下表。</w:t>
            </w:r>
          </w:p>
          <w:p w14:paraId="0072D352">
            <w:pPr>
              <w:adjustRightInd w:val="0"/>
              <w:snapToGrid w:val="0"/>
              <w:spacing w:before="24" w:beforeLines="10" w:after="24" w:afterLines="10" w:line="259" w:lineRule="auto"/>
              <w:jc w:val="center"/>
              <w:rPr>
                <w:b/>
                <w:bCs/>
                <w:color w:val="auto"/>
                <w:kern w:val="0"/>
                <w:szCs w:val="21"/>
              </w:rPr>
            </w:pPr>
            <w:r>
              <w:rPr>
                <w:b/>
                <w:bCs/>
                <w:color w:val="auto"/>
                <w:kern w:val="0"/>
                <w:szCs w:val="21"/>
              </w:rPr>
              <w:t>表4-</w:t>
            </w:r>
            <w:r>
              <w:rPr>
                <w:rFonts w:hint="eastAsia"/>
                <w:b/>
                <w:bCs/>
                <w:color w:val="auto"/>
                <w:kern w:val="0"/>
                <w:szCs w:val="21"/>
              </w:rPr>
              <w:t>6</w:t>
            </w:r>
            <w:r>
              <w:rPr>
                <w:b/>
                <w:bCs/>
                <w:color w:val="auto"/>
                <w:kern w:val="0"/>
                <w:szCs w:val="21"/>
              </w:rPr>
              <w:t xml:space="preserve"> </w:t>
            </w:r>
            <w:r>
              <w:rPr>
                <w:rFonts w:hint="eastAsia"/>
                <w:b/>
                <w:bCs/>
                <w:color w:val="auto"/>
                <w:kern w:val="0"/>
                <w:szCs w:val="21"/>
              </w:rPr>
              <w:t xml:space="preserve"> 各种施工机械在不同距离的</w:t>
            </w:r>
            <w:r>
              <w:rPr>
                <w:b/>
                <w:bCs/>
                <w:color w:val="auto"/>
                <w:kern w:val="0"/>
                <w:szCs w:val="21"/>
              </w:rPr>
              <w:t>噪声</w:t>
            </w:r>
            <w:r>
              <w:rPr>
                <w:rFonts w:hint="eastAsia"/>
                <w:b/>
                <w:bCs/>
                <w:color w:val="auto"/>
                <w:kern w:val="0"/>
                <w:szCs w:val="21"/>
              </w:rPr>
              <w:t>预测值</w:t>
            </w:r>
            <w:r>
              <w:rPr>
                <w:b/>
                <w:bCs/>
                <w:color w:val="auto"/>
                <w:kern w:val="0"/>
                <w:szCs w:val="21"/>
              </w:rPr>
              <w:t>一览表（单位：dB）</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02"/>
              <w:gridCol w:w="776"/>
              <w:gridCol w:w="496"/>
              <w:gridCol w:w="455"/>
              <w:gridCol w:w="549"/>
              <w:gridCol w:w="549"/>
              <w:gridCol w:w="549"/>
              <w:gridCol w:w="549"/>
              <w:gridCol w:w="549"/>
              <w:gridCol w:w="549"/>
              <w:gridCol w:w="549"/>
              <w:gridCol w:w="642"/>
              <w:gridCol w:w="642"/>
              <w:gridCol w:w="642"/>
            </w:tblGrid>
            <w:tr w14:paraId="004C00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69" w:hRule="atLeast"/>
              </w:trPr>
              <w:tc>
                <w:tcPr>
                  <w:tcW w:w="402" w:type="dxa"/>
                  <w:tcBorders>
                    <w:bottom w:val="single" w:color="auto" w:sz="4" w:space="0"/>
                  </w:tcBorders>
                  <w:vAlign w:val="center"/>
                </w:tcPr>
                <w:p w14:paraId="5021A59D">
                  <w:pPr>
                    <w:snapToGrid w:val="0"/>
                    <w:jc w:val="center"/>
                    <w:rPr>
                      <w:bCs/>
                      <w:color w:val="auto"/>
                      <w:szCs w:val="21"/>
                    </w:rPr>
                  </w:pPr>
                </w:p>
              </w:tc>
              <w:tc>
                <w:tcPr>
                  <w:tcW w:w="776" w:type="dxa"/>
                  <w:tcBorders>
                    <w:bottom w:val="single" w:color="auto" w:sz="4" w:space="0"/>
                  </w:tcBorders>
                  <w:vAlign w:val="center"/>
                </w:tcPr>
                <w:p w14:paraId="35DB540D">
                  <w:pPr>
                    <w:snapToGrid w:val="0"/>
                    <w:jc w:val="center"/>
                    <w:rPr>
                      <w:bCs/>
                      <w:color w:val="auto"/>
                      <w:szCs w:val="21"/>
                    </w:rPr>
                  </w:pPr>
                </w:p>
              </w:tc>
              <w:tc>
                <w:tcPr>
                  <w:tcW w:w="6720" w:type="dxa"/>
                  <w:gridSpan w:val="12"/>
                  <w:vAlign w:val="center"/>
                </w:tcPr>
                <w:p w14:paraId="3A3437C3">
                  <w:pPr>
                    <w:snapToGrid w:val="0"/>
                    <w:jc w:val="center"/>
                    <w:rPr>
                      <w:bCs/>
                      <w:color w:val="auto"/>
                      <w:szCs w:val="21"/>
                    </w:rPr>
                  </w:pPr>
                  <w:r>
                    <w:rPr>
                      <w:rFonts w:hint="eastAsia"/>
                      <w:bCs/>
                      <w:color w:val="auto"/>
                      <w:szCs w:val="21"/>
                    </w:rPr>
                    <w:t>距声源距离</w:t>
                  </w:r>
                </w:p>
              </w:tc>
            </w:tr>
            <w:tr w14:paraId="6223F9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02" w:type="dxa"/>
                  <w:tcBorders>
                    <w:top w:val="single" w:color="auto" w:sz="4" w:space="0"/>
                    <w:bottom w:val="single" w:color="auto" w:sz="4" w:space="0"/>
                  </w:tcBorders>
                  <w:vAlign w:val="center"/>
                </w:tcPr>
                <w:p w14:paraId="7EC73420">
                  <w:pPr>
                    <w:snapToGrid w:val="0"/>
                    <w:jc w:val="center"/>
                    <w:rPr>
                      <w:bCs/>
                      <w:color w:val="auto"/>
                      <w:szCs w:val="21"/>
                    </w:rPr>
                  </w:pPr>
                  <w:r>
                    <w:rPr>
                      <w:rFonts w:hint="eastAsia"/>
                      <w:bCs/>
                      <w:color w:val="auto"/>
                      <w:szCs w:val="21"/>
                    </w:rPr>
                    <w:t>序号</w:t>
                  </w:r>
                </w:p>
              </w:tc>
              <w:tc>
                <w:tcPr>
                  <w:tcW w:w="776" w:type="dxa"/>
                  <w:tcBorders>
                    <w:top w:val="single" w:color="auto" w:sz="4" w:space="0"/>
                    <w:bottom w:val="single" w:color="auto" w:sz="4" w:space="0"/>
                  </w:tcBorders>
                  <w:vAlign w:val="center"/>
                </w:tcPr>
                <w:p w14:paraId="3B279B4D">
                  <w:pPr>
                    <w:snapToGrid w:val="0"/>
                    <w:jc w:val="center"/>
                    <w:rPr>
                      <w:bCs/>
                      <w:color w:val="auto"/>
                      <w:szCs w:val="21"/>
                    </w:rPr>
                  </w:pPr>
                  <w:r>
                    <w:rPr>
                      <w:rFonts w:hint="eastAsia"/>
                      <w:bCs/>
                      <w:color w:val="auto"/>
                      <w:szCs w:val="21"/>
                    </w:rPr>
                    <w:t>声源</w:t>
                  </w:r>
                </w:p>
              </w:tc>
              <w:tc>
                <w:tcPr>
                  <w:tcW w:w="496" w:type="dxa"/>
                  <w:vAlign w:val="center"/>
                </w:tcPr>
                <w:p w14:paraId="797D9B95">
                  <w:pPr>
                    <w:snapToGrid w:val="0"/>
                    <w:jc w:val="center"/>
                    <w:rPr>
                      <w:bCs/>
                      <w:color w:val="auto"/>
                      <w:szCs w:val="21"/>
                    </w:rPr>
                  </w:pPr>
                  <w:r>
                    <w:rPr>
                      <w:rFonts w:hint="eastAsia"/>
                      <w:bCs/>
                      <w:color w:val="auto"/>
                      <w:szCs w:val="21"/>
                    </w:rPr>
                    <w:t>1m</w:t>
                  </w:r>
                </w:p>
              </w:tc>
              <w:tc>
                <w:tcPr>
                  <w:tcW w:w="455" w:type="dxa"/>
                  <w:vAlign w:val="center"/>
                </w:tcPr>
                <w:p w14:paraId="62C68F53">
                  <w:pPr>
                    <w:snapToGrid w:val="0"/>
                    <w:jc w:val="center"/>
                    <w:rPr>
                      <w:bCs/>
                      <w:color w:val="auto"/>
                      <w:szCs w:val="21"/>
                    </w:rPr>
                  </w:pPr>
                  <w:r>
                    <w:rPr>
                      <w:rFonts w:hint="eastAsia"/>
                      <w:bCs/>
                      <w:color w:val="auto"/>
                      <w:szCs w:val="21"/>
                    </w:rPr>
                    <w:t>5m</w:t>
                  </w:r>
                </w:p>
              </w:tc>
              <w:tc>
                <w:tcPr>
                  <w:tcW w:w="549" w:type="dxa"/>
                  <w:vAlign w:val="center"/>
                </w:tcPr>
                <w:p w14:paraId="76754814">
                  <w:pPr>
                    <w:snapToGrid w:val="0"/>
                    <w:jc w:val="center"/>
                    <w:rPr>
                      <w:bCs/>
                      <w:color w:val="auto"/>
                      <w:szCs w:val="21"/>
                    </w:rPr>
                  </w:pPr>
                  <w:r>
                    <w:rPr>
                      <w:rFonts w:hint="eastAsia"/>
                      <w:bCs/>
                      <w:color w:val="auto"/>
                      <w:szCs w:val="21"/>
                    </w:rPr>
                    <w:t>10m</w:t>
                  </w:r>
                </w:p>
              </w:tc>
              <w:tc>
                <w:tcPr>
                  <w:tcW w:w="549" w:type="dxa"/>
                  <w:vAlign w:val="center"/>
                </w:tcPr>
                <w:p w14:paraId="0C5B1ACF">
                  <w:pPr>
                    <w:snapToGrid w:val="0"/>
                    <w:jc w:val="center"/>
                    <w:rPr>
                      <w:bCs/>
                      <w:color w:val="auto"/>
                      <w:szCs w:val="21"/>
                    </w:rPr>
                  </w:pPr>
                  <w:r>
                    <w:rPr>
                      <w:rFonts w:hint="eastAsia"/>
                      <w:bCs/>
                      <w:color w:val="auto"/>
                      <w:szCs w:val="21"/>
                    </w:rPr>
                    <w:t>20m</w:t>
                  </w:r>
                </w:p>
              </w:tc>
              <w:tc>
                <w:tcPr>
                  <w:tcW w:w="549" w:type="dxa"/>
                  <w:vAlign w:val="center"/>
                </w:tcPr>
                <w:p w14:paraId="1E202E46">
                  <w:pPr>
                    <w:snapToGrid w:val="0"/>
                    <w:jc w:val="center"/>
                    <w:rPr>
                      <w:bCs/>
                      <w:color w:val="auto"/>
                      <w:szCs w:val="21"/>
                    </w:rPr>
                  </w:pPr>
                  <w:r>
                    <w:rPr>
                      <w:rFonts w:hint="eastAsia"/>
                      <w:bCs/>
                      <w:color w:val="auto"/>
                      <w:szCs w:val="21"/>
                    </w:rPr>
                    <w:t>30m</w:t>
                  </w:r>
                </w:p>
              </w:tc>
              <w:tc>
                <w:tcPr>
                  <w:tcW w:w="549" w:type="dxa"/>
                  <w:vAlign w:val="center"/>
                </w:tcPr>
                <w:p w14:paraId="539BFA50">
                  <w:pPr>
                    <w:snapToGrid w:val="0"/>
                    <w:jc w:val="center"/>
                    <w:rPr>
                      <w:bCs/>
                      <w:color w:val="auto"/>
                      <w:szCs w:val="21"/>
                    </w:rPr>
                  </w:pPr>
                  <w:r>
                    <w:rPr>
                      <w:rFonts w:hint="eastAsia"/>
                      <w:bCs/>
                      <w:color w:val="auto"/>
                      <w:szCs w:val="21"/>
                    </w:rPr>
                    <w:t>40m</w:t>
                  </w:r>
                </w:p>
              </w:tc>
              <w:tc>
                <w:tcPr>
                  <w:tcW w:w="549" w:type="dxa"/>
                  <w:vAlign w:val="center"/>
                </w:tcPr>
                <w:p w14:paraId="21DEA276">
                  <w:pPr>
                    <w:snapToGrid w:val="0"/>
                    <w:jc w:val="center"/>
                    <w:rPr>
                      <w:bCs/>
                      <w:color w:val="auto"/>
                      <w:szCs w:val="21"/>
                    </w:rPr>
                  </w:pPr>
                  <w:r>
                    <w:rPr>
                      <w:rFonts w:hint="eastAsia"/>
                      <w:bCs/>
                      <w:color w:val="auto"/>
                      <w:szCs w:val="21"/>
                    </w:rPr>
                    <w:t>50m</w:t>
                  </w:r>
                </w:p>
              </w:tc>
              <w:tc>
                <w:tcPr>
                  <w:tcW w:w="549" w:type="dxa"/>
                  <w:vAlign w:val="center"/>
                </w:tcPr>
                <w:p w14:paraId="750B42B5">
                  <w:pPr>
                    <w:snapToGrid w:val="0"/>
                    <w:jc w:val="center"/>
                    <w:rPr>
                      <w:bCs/>
                      <w:color w:val="auto"/>
                      <w:szCs w:val="21"/>
                    </w:rPr>
                  </w:pPr>
                  <w:r>
                    <w:rPr>
                      <w:rFonts w:hint="eastAsia"/>
                      <w:bCs/>
                      <w:color w:val="auto"/>
                      <w:szCs w:val="21"/>
                    </w:rPr>
                    <w:t>70m</w:t>
                  </w:r>
                </w:p>
              </w:tc>
              <w:tc>
                <w:tcPr>
                  <w:tcW w:w="549" w:type="dxa"/>
                  <w:vAlign w:val="center"/>
                </w:tcPr>
                <w:p w14:paraId="4C0B22A6">
                  <w:pPr>
                    <w:snapToGrid w:val="0"/>
                    <w:jc w:val="center"/>
                    <w:rPr>
                      <w:bCs/>
                      <w:color w:val="auto"/>
                      <w:szCs w:val="21"/>
                    </w:rPr>
                  </w:pPr>
                  <w:r>
                    <w:rPr>
                      <w:rFonts w:hint="eastAsia"/>
                      <w:bCs/>
                      <w:color w:val="auto"/>
                      <w:szCs w:val="21"/>
                    </w:rPr>
                    <w:t>90m</w:t>
                  </w:r>
                </w:p>
              </w:tc>
              <w:tc>
                <w:tcPr>
                  <w:tcW w:w="642" w:type="dxa"/>
                  <w:vAlign w:val="center"/>
                </w:tcPr>
                <w:p w14:paraId="623D0EBF">
                  <w:pPr>
                    <w:snapToGrid w:val="0"/>
                    <w:jc w:val="center"/>
                    <w:rPr>
                      <w:bCs/>
                      <w:color w:val="auto"/>
                      <w:szCs w:val="21"/>
                    </w:rPr>
                  </w:pPr>
                  <w:r>
                    <w:rPr>
                      <w:rFonts w:hint="eastAsia"/>
                      <w:bCs/>
                      <w:color w:val="auto"/>
                      <w:szCs w:val="21"/>
                    </w:rPr>
                    <w:t>120m</w:t>
                  </w:r>
                </w:p>
              </w:tc>
              <w:tc>
                <w:tcPr>
                  <w:tcW w:w="642" w:type="dxa"/>
                  <w:vAlign w:val="center"/>
                </w:tcPr>
                <w:p w14:paraId="5B6BAA6C">
                  <w:pPr>
                    <w:snapToGrid w:val="0"/>
                    <w:jc w:val="center"/>
                    <w:rPr>
                      <w:bCs/>
                      <w:color w:val="auto"/>
                      <w:szCs w:val="21"/>
                    </w:rPr>
                  </w:pPr>
                  <w:r>
                    <w:rPr>
                      <w:rFonts w:hint="eastAsia"/>
                      <w:bCs/>
                      <w:color w:val="auto"/>
                      <w:szCs w:val="21"/>
                    </w:rPr>
                    <w:t>170m</w:t>
                  </w:r>
                </w:p>
              </w:tc>
              <w:tc>
                <w:tcPr>
                  <w:tcW w:w="642" w:type="dxa"/>
                  <w:vAlign w:val="center"/>
                </w:tcPr>
                <w:p w14:paraId="4C75E6CC">
                  <w:pPr>
                    <w:snapToGrid w:val="0"/>
                    <w:jc w:val="center"/>
                    <w:rPr>
                      <w:bCs/>
                      <w:color w:val="auto"/>
                      <w:szCs w:val="21"/>
                    </w:rPr>
                  </w:pPr>
                  <w:r>
                    <w:rPr>
                      <w:rFonts w:hint="eastAsia"/>
                      <w:bCs/>
                      <w:color w:val="auto"/>
                      <w:szCs w:val="21"/>
                    </w:rPr>
                    <w:t>200m</w:t>
                  </w:r>
                </w:p>
              </w:tc>
            </w:tr>
            <w:tr w14:paraId="367728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02" w:type="dxa"/>
                  <w:tcBorders>
                    <w:top w:val="single" w:color="auto" w:sz="4" w:space="0"/>
                  </w:tcBorders>
                  <w:vAlign w:val="center"/>
                </w:tcPr>
                <w:p w14:paraId="19301157">
                  <w:pPr>
                    <w:snapToGrid w:val="0"/>
                    <w:jc w:val="center"/>
                    <w:rPr>
                      <w:bCs/>
                      <w:color w:val="auto"/>
                      <w:szCs w:val="21"/>
                    </w:rPr>
                  </w:pPr>
                  <w:r>
                    <w:rPr>
                      <w:rFonts w:hint="eastAsia"/>
                      <w:bCs/>
                      <w:color w:val="auto"/>
                      <w:szCs w:val="21"/>
                    </w:rPr>
                    <w:t>1</w:t>
                  </w:r>
                </w:p>
              </w:tc>
              <w:tc>
                <w:tcPr>
                  <w:tcW w:w="776" w:type="dxa"/>
                  <w:tcBorders>
                    <w:top w:val="single" w:color="auto" w:sz="4" w:space="0"/>
                  </w:tcBorders>
                  <w:vAlign w:val="center"/>
                </w:tcPr>
                <w:p w14:paraId="6415F5FE">
                  <w:pPr>
                    <w:jc w:val="center"/>
                    <w:rPr>
                      <w:color w:val="auto"/>
                      <w:kern w:val="0"/>
                      <w:szCs w:val="21"/>
                    </w:rPr>
                  </w:pPr>
                  <w:r>
                    <w:rPr>
                      <w:color w:val="auto"/>
                      <w:kern w:val="0"/>
                      <w:szCs w:val="21"/>
                    </w:rPr>
                    <w:t>单斗式挖掘机</w:t>
                  </w:r>
                </w:p>
              </w:tc>
              <w:tc>
                <w:tcPr>
                  <w:tcW w:w="496" w:type="dxa"/>
                  <w:vAlign w:val="center"/>
                </w:tcPr>
                <w:p w14:paraId="398B04BD">
                  <w:pPr>
                    <w:adjustRightInd w:val="0"/>
                    <w:jc w:val="center"/>
                    <w:rPr>
                      <w:color w:val="auto"/>
                      <w:szCs w:val="21"/>
                    </w:rPr>
                  </w:pPr>
                  <w:r>
                    <w:rPr>
                      <w:color w:val="auto"/>
                      <w:szCs w:val="21"/>
                    </w:rPr>
                    <w:t>102</w:t>
                  </w:r>
                </w:p>
              </w:tc>
              <w:tc>
                <w:tcPr>
                  <w:tcW w:w="455" w:type="dxa"/>
                  <w:vAlign w:val="center"/>
                </w:tcPr>
                <w:p w14:paraId="25419CFB">
                  <w:pPr>
                    <w:snapToGrid w:val="0"/>
                    <w:jc w:val="center"/>
                    <w:rPr>
                      <w:bCs/>
                      <w:color w:val="auto"/>
                      <w:szCs w:val="21"/>
                    </w:rPr>
                  </w:pPr>
                  <w:r>
                    <w:rPr>
                      <w:rFonts w:hint="eastAsia"/>
                      <w:bCs/>
                      <w:color w:val="auto"/>
                      <w:szCs w:val="21"/>
                    </w:rPr>
                    <w:t>88</w:t>
                  </w:r>
                </w:p>
              </w:tc>
              <w:tc>
                <w:tcPr>
                  <w:tcW w:w="549" w:type="dxa"/>
                  <w:vAlign w:val="center"/>
                </w:tcPr>
                <w:p w14:paraId="61300640">
                  <w:pPr>
                    <w:snapToGrid w:val="0"/>
                    <w:jc w:val="center"/>
                    <w:rPr>
                      <w:bCs/>
                      <w:color w:val="auto"/>
                      <w:szCs w:val="21"/>
                    </w:rPr>
                  </w:pPr>
                  <w:r>
                    <w:rPr>
                      <w:rFonts w:hint="eastAsia"/>
                      <w:bCs/>
                      <w:color w:val="auto"/>
                      <w:szCs w:val="21"/>
                    </w:rPr>
                    <w:t>82</w:t>
                  </w:r>
                </w:p>
              </w:tc>
              <w:tc>
                <w:tcPr>
                  <w:tcW w:w="549" w:type="dxa"/>
                  <w:vAlign w:val="center"/>
                </w:tcPr>
                <w:p w14:paraId="0A6CA084">
                  <w:pPr>
                    <w:snapToGrid w:val="0"/>
                    <w:jc w:val="center"/>
                    <w:rPr>
                      <w:bCs/>
                      <w:color w:val="auto"/>
                      <w:szCs w:val="21"/>
                    </w:rPr>
                  </w:pPr>
                  <w:r>
                    <w:rPr>
                      <w:rFonts w:hint="eastAsia"/>
                      <w:bCs/>
                      <w:color w:val="auto"/>
                      <w:szCs w:val="21"/>
                    </w:rPr>
                    <w:t>76</w:t>
                  </w:r>
                </w:p>
              </w:tc>
              <w:tc>
                <w:tcPr>
                  <w:tcW w:w="549" w:type="dxa"/>
                  <w:vAlign w:val="center"/>
                </w:tcPr>
                <w:p w14:paraId="0456A493">
                  <w:pPr>
                    <w:snapToGrid w:val="0"/>
                    <w:jc w:val="center"/>
                    <w:rPr>
                      <w:bCs/>
                      <w:color w:val="auto"/>
                      <w:szCs w:val="21"/>
                    </w:rPr>
                  </w:pPr>
                  <w:r>
                    <w:rPr>
                      <w:rFonts w:hint="eastAsia"/>
                      <w:bCs/>
                      <w:color w:val="auto"/>
                      <w:szCs w:val="21"/>
                    </w:rPr>
                    <w:t>72</w:t>
                  </w:r>
                </w:p>
              </w:tc>
              <w:tc>
                <w:tcPr>
                  <w:tcW w:w="549" w:type="dxa"/>
                  <w:vAlign w:val="center"/>
                </w:tcPr>
                <w:p w14:paraId="0AF44CDC">
                  <w:pPr>
                    <w:snapToGrid w:val="0"/>
                    <w:jc w:val="center"/>
                    <w:rPr>
                      <w:bCs/>
                      <w:color w:val="auto"/>
                      <w:szCs w:val="21"/>
                    </w:rPr>
                  </w:pPr>
                  <w:r>
                    <w:rPr>
                      <w:rFonts w:hint="eastAsia"/>
                      <w:bCs/>
                      <w:color w:val="auto"/>
                      <w:szCs w:val="21"/>
                    </w:rPr>
                    <w:t>70</w:t>
                  </w:r>
                </w:p>
              </w:tc>
              <w:tc>
                <w:tcPr>
                  <w:tcW w:w="549" w:type="dxa"/>
                  <w:vAlign w:val="center"/>
                </w:tcPr>
                <w:p w14:paraId="593542E7">
                  <w:pPr>
                    <w:snapToGrid w:val="0"/>
                    <w:jc w:val="center"/>
                    <w:rPr>
                      <w:bCs/>
                      <w:color w:val="auto"/>
                      <w:szCs w:val="21"/>
                    </w:rPr>
                  </w:pPr>
                  <w:r>
                    <w:rPr>
                      <w:rFonts w:hint="eastAsia"/>
                      <w:bCs/>
                      <w:color w:val="auto"/>
                      <w:szCs w:val="21"/>
                    </w:rPr>
                    <w:t>68</w:t>
                  </w:r>
                </w:p>
              </w:tc>
              <w:tc>
                <w:tcPr>
                  <w:tcW w:w="549" w:type="dxa"/>
                  <w:vAlign w:val="center"/>
                </w:tcPr>
                <w:p w14:paraId="6B546D7C">
                  <w:pPr>
                    <w:snapToGrid w:val="0"/>
                    <w:jc w:val="center"/>
                    <w:rPr>
                      <w:bCs/>
                      <w:color w:val="auto"/>
                      <w:szCs w:val="21"/>
                    </w:rPr>
                  </w:pPr>
                  <w:r>
                    <w:rPr>
                      <w:rFonts w:hint="eastAsia"/>
                      <w:bCs/>
                      <w:color w:val="auto"/>
                      <w:szCs w:val="21"/>
                    </w:rPr>
                    <w:t>65</w:t>
                  </w:r>
                </w:p>
              </w:tc>
              <w:tc>
                <w:tcPr>
                  <w:tcW w:w="549" w:type="dxa"/>
                  <w:vAlign w:val="center"/>
                </w:tcPr>
                <w:p w14:paraId="20F91886">
                  <w:pPr>
                    <w:snapToGrid w:val="0"/>
                    <w:jc w:val="center"/>
                    <w:rPr>
                      <w:bCs/>
                      <w:color w:val="auto"/>
                      <w:szCs w:val="21"/>
                    </w:rPr>
                  </w:pPr>
                  <w:r>
                    <w:rPr>
                      <w:rFonts w:hint="eastAsia"/>
                      <w:bCs/>
                      <w:color w:val="auto"/>
                      <w:szCs w:val="21"/>
                    </w:rPr>
                    <w:t>63</w:t>
                  </w:r>
                </w:p>
              </w:tc>
              <w:tc>
                <w:tcPr>
                  <w:tcW w:w="642" w:type="dxa"/>
                  <w:vAlign w:val="center"/>
                </w:tcPr>
                <w:p w14:paraId="0F2E8481">
                  <w:pPr>
                    <w:snapToGrid w:val="0"/>
                    <w:jc w:val="center"/>
                    <w:rPr>
                      <w:bCs/>
                      <w:color w:val="auto"/>
                      <w:szCs w:val="21"/>
                    </w:rPr>
                  </w:pPr>
                  <w:r>
                    <w:rPr>
                      <w:rFonts w:hint="eastAsia"/>
                      <w:bCs/>
                      <w:color w:val="auto"/>
                      <w:szCs w:val="21"/>
                    </w:rPr>
                    <w:t>60</w:t>
                  </w:r>
                </w:p>
              </w:tc>
              <w:tc>
                <w:tcPr>
                  <w:tcW w:w="642" w:type="dxa"/>
                  <w:vAlign w:val="center"/>
                </w:tcPr>
                <w:p w14:paraId="069E08B5">
                  <w:pPr>
                    <w:snapToGrid w:val="0"/>
                    <w:jc w:val="center"/>
                    <w:rPr>
                      <w:bCs/>
                      <w:color w:val="auto"/>
                      <w:szCs w:val="21"/>
                    </w:rPr>
                  </w:pPr>
                  <w:r>
                    <w:rPr>
                      <w:rFonts w:hint="eastAsia"/>
                      <w:bCs/>
                      <w:color w:val="auto"/>
                      <w:szCs w:val="21"/>
                    </w:rPr>
                    <w:t>57</w:t>
                  </w:r>
                </w:p>
              </w:tc>
              <w:tc>
                <w:tcPr>
                  <w:tcW w:w="642" w:type="dxa"/>
                  <w:vAlign w:val="center"/>
                </w:tcPr>
                <w:p w14:paraId="77C0B1EF">
                  <w:pPr>
                    <w:snapToGrid w:val="0"/>
                    <w:jc w:val="center"/>
                    <w:rPr>
                      <w:bCs/>
                      <w:color w:val="auto"/>
                      <w:szCs w:val="21"/>
                    </w:rPr>
                  </w:pPr>
                  <w:r>
                    <w:rPr>
                      <w:rFonts w:hint="eastAsia"/>
                      <w:bCs/>
                      <w:color w:val="auto"/>
                      <w:szCs w:val="21"/>
                    </w:rPr>
                    <w:t>56</w:t>
                  </w:r>
                </w:p>
              </w:tc>
            </w:tr>
            <w:tr w14:paraId="6A6336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02" w:type="dxa"/>
                  <w:vAlign w:val="center"/>
                </w:tcPr>
                <w:p w14:paraId="144BD2E9">
                  <w:pPr>
                    <w:snapToGrid w:val="0"/>
                    <w:jc w:val="center"/>
                    <w:rPr>
                      <w:bCs/>
                      <w:color w:val="auto"/>
                      <w:szCs w:val="21"/>
                    </w:rPr>
                  </w:pPr>
                  <w:r>
                    <w:rPr>
                      <w:rFonts w:hint="eastAsia"/>
                      <w:bCs/>
                      <w:color w:val="auto"/>
                      <w:szCs w:val="21"/>
                    </w:rPr>
                    <w:t>2</w:t>
                  </w:r>
                </w:p>
              </w:tc>
              <w:tc>
                <w:tcPr>
                  <w:tcW w:w="776" w:type="dxa"/>
                  <w:vAlign w:val="center"/>
                </w:tcPr>
                <w:p w14:paraId="3BE6E25A">
                  <w:pPr>
                    <w:jc w:val="center"/>
                    <w:rPr>
                      <w:color w:val="auto"/>
                      <w:kern w:val="0"/>
                      <w:szCs w:val="21"/>
                    </w:rPr>
                  </w:pPr>
                  <w:r>
                    <w:rPr>
                      <w:color w:val="auto"/>
                      <w:kern w:val="0"/>
                      <w:szCs w:val="21"/>
                    </w:rPr>
                    <w:t>推土机</w:t>
                  </w:r>
                </w:p>
              </w:tc>
              <w:tc>
                <w:tcPr>
                  <w:tcW w:w="496" w:type="dxa"/>
                  <w:vAlign w:val="center"/>
                </w:tcPr>
                <w:p w14:paraId="238668E5">
                  <w:pPr>
                    <w:adjustRightInd w:val="0"/>
                    <w:jc w:val="center"/>
                    <w:rPr>
                      <w:color w:val="auto"/>
                      <w:szCs w:val="21"/>
                    </w:rPr>
                  </w:pPr>
                  <w:r>
                    <w:rPr>
                      <w:color w:val="auto"/>
                      <w:szCs w:val="21"/>
                    </w:rPr>
                    <w:t>96</w:t>
                  </w:r>
                </w:p>
              </w:tc>
              <w:tc>
                <w:tcPr>
                  <w:tcW w:w="455" w:type="dxa"/>
                  <w:vAlign w:val="center"/>
                </w:tcPr>
                <w:p w14:paraId="7672D6A1">
                  <w:pPr>
                    <w:snapToGrid w:val="0"/>
                    <w:jc w:val="center"/>
                    <w:rPr>
                      <w:bCs/>
                      <w:color w:val="auto"/>
                      <w:szCs w:val="21"/>
                    </w:rPr>
                  </w:pPr>
                  <w:r>
                    <w:rPr>
                      <w:rFonts w:hint="eastAsia"/>
                      <w:bCs/>
                      <w:color w:val="auto"/>
                      <w:szCs w:val="21"/>
                    </w:rPr>
                    <w:t>82</w:t>
                  </w:r>
                </w:p>
              </w:tc>
              <w:tc>
                <w:tcPr>
                  <w:tcW w:w="549" w:type="dxa"/>
                  <w:vAlign w:val="center"/>
                </w:tcPr>
                <w:p w14:paraId="2EA0DC98">
                  <w:pPr>
                    <w:snapToGrid w:val="0"/>
                    <w:jc w:val="center"/>
                    <w:rPr>
                      <w:bCs/>
                      <w:color w:val="auto"/>
                      <w:szCs w:val="21"/>
                    </w:rPr>
                  </w:pPr>
                  <w:r>
                    <w:rPr>
                      <w:rFonts w:hint="eastAsia"/>
                      <w:bCs/>
                      <w:color w:val="auto"/>
                      <w:szCs w:val="21"/>
                    </w:rPr>
                    <w:t>76</w:t>
                  </w:r>
                </w:p>
              </w:tc>
              <w:tc>
                <w:tcPr>
                  <w:tcW w:w="549" w:type="dxa"/>
                  <w:vAlign w:val="center"/>
                </w:tcPr>
                <w:p w14:paraId="6C3B81AB">
                  <w:pPr>
                    <w:snapToGrid w:val="0"/>
                    <w:jc w:val="center"/>
                    <w:rPr>
                      <w:bCs/>
                      <w:color w:val="auto"/>
                      <w:szCs w:val="21"/>
                    </w:rPr>
                  </w:pPr>
                  <w:r>
                    <w:rPr>
                      <w:rFonts w:hint="eastAsia"/>
                      <w:bCs/>
                      <w:color w:val="auto"/>
                      <w:szCs w:val="21"/>
                    </w:rPr>
                    <w:t>70</w:t>
                  </w:r>
                </w:p>
              </w:tc>
              <w:tc>
                <w:tcPr>
                  <w:tcW w:w="549" w:type="dxa"/>
                  <w:vAlign w:val="center"/>
                </w:tcPr>
                <w:p w14:paraId="41EA5DC7">
                  <w:pPr>
                    <w:snapToGrid w:val="0"/>
                    <w:jc w:val="center"/>
                    <w:rPr>
                      <w:bCs/>
                      <w:color w:val="auto"/>
                      <w:szCs w:val="21"/>
                    </w:rPr>
                  </w:pPr>
                  <w:r>
                    <w:rPr>
                      <w:rFonts w:hint="eastAsia"/>
                      <w:bCs/>
                      <w:color w:val="auto"/>
                      <w:szCs w:val="21"/>
                    </w:rPr>
                    <w:t>66</w:t>
                  </w:r>
                </w:p>
              </w:tc>
              <w:tc>
                <w:tcPr>
                  <w:tcW w:w="549" w:type="dxa"/>
                  <w:vAlign w:val="center"/>
                </w:tcPr>
                <w:p w14:paraId="571C816B">
                  <w:pPr>
                    <w:snapToGrid w:val="0"/>
                    <w:jc w:val="center"/>
                    <w:rPr>
                      <w:bCs/>
                      <w:color w:val="auto"/>
                      <w:szCs w:val="21"/>
                    </w:rPr>
                  </w:pPr>
                  <w:r>
                    <w:rPr>
                      <w:rFonts w:hint="eastAsia"/>
                      <w:bCs/>
                      <w:color w:val="auto"/>
                      <w:szCs w:val="21"/>
                    </w:rPr>
                    <w:t>63</w:t>
                  </w:r>
                </w:p>
              </w:tc>
              <w:tc>
                <w:tcPr>
                  <w:tcW w:w="549" w:type="dxa"/>
                  <w:vAlign w:val="center"/>
                </w:tcPr>
                <w:p w14:paraId="7B9DD5D0">
                  <w:pPr>
                    <w:snapToGrid w:val="0"/>
                    <w:jc w:val="center"/>
                    <w:rPr>
                      <w:bCs/>
                      <w:color w:val="auto"/>
                      <w:szCs w:val="21"/>
                    </w:rPr>
                  </w:pPr>
                  <w:r>
                    <w:rPr>
                      <w:rFonts w:hint="eastAsia"/>
                      <w:bCs/>
                      <w:color w:val="auto"/>
                      <w:szCs w:val="21"/>
                    </w:rPr>
                    <w:t>62</w:t>
                  </w:r>
                </w:p>
              </w:tc>
              <w:tc>
                <w:tcPr>
                  <w:tcW w:w="549" w:type="dxa"/>
                  <w:vAlign w:val="center"/>
                </w:tcPr>
                <w:p w14:paraId="712074A3">
                  <w:pPr>
                    <w:snapToGrid w:val="0"/>
                    <w:jc w:val="center"/>
                    <w:rPr>
                      <w:bCs/>
                      <w:color w:val="auto"/>
                      <w:szCs w:val="21"/>
                    </w:rPr>
                  </w:pPr>
                  <w:r>
                    <w:rPr>
                      <w:rFonts w:hint="eastAsia"/>
                      <w:bCs/>
                      <w:color w:val="auto"/>
                      <w:szCs w:val="21"/>
                    </w:rPr>
                    <w:t>59</w:t>
                  </w:r>
                </w:p>
              </w:tc>
              <w:tc>
                <w:tcPr>
                  <w:tcW w:w="549" w:type="dxa"/>
                  <w:vAlign w:val="center"/>
                </w:tcPr>
                <w:p w14:paraId="05277699">
                  <w:pPr>
                    <w:snapToGrid w:val="0"/>
                    <w:jc w:val="center"/>
                    <w:rPr>
                      <w:bCs/>
                      <w:color w:val="auto"/>
                      <w:szCs w:val="21"/>
                    </w:rPr>
                  </w:pPr>
                  <w:r>
                    <w:rPr>
                      <w:rFonts w:hint="eastAsia"/>
                      <w:bCs/>
                      <w:color w:val="auto"/>
                      <w:szCs w:val="21"/>
                    </w:rPr>
                    <w:t>57</w:t>
                  </w:r>
                </w:p>
              </w:tc>
              <w:tc>
                <w:tcPr>
                  <w:tcW w:w="642" w:type="dxa"/>
                  <w:vAlign w:val="center"/>
                </w:tcPr>
                <w:p w14:paraId="55FD75EA">
                  <w:pPr>
                    <w:snapToGrid w:val="0"/>
                    <w:jc w:val="center"/>
                    <w:rPr>
                      <w:bCs/>
                      <w:color w:val="auto"/>
                      <w:szCs w:val="21"/>
                    </w:rPr>
                  </w:pPr>
                  <w:r>
                    <w:rPr>
                      <w:rFonts w:hint="eastAsia"/>
                      <w:bCs/>
                      <w:color w:val="auto"/>
                      <w:szCs w:val="21"/>
                    </w:rPr>
                    <w:t>54</w:t>
                  </w:r>
                </w:p>
              </w:tc>
              <w:tc>
                <w:tcPr>
                  <w:tcW w:w="642" w:type="dxa"/>
                  <w:vAlign w:val="center"/>
                </w:tcPr>
                <w:p w14:paraId="77A183E5">
                  <w:pPr>
                    <w:snapToGrid w:val="0"/>
                    <w:jc w:val="center"/>
                    <w:rPr>
                      <w:bCs/>
                      <w:color w:val="auto"/>
                      <w:szCs w:val="21"/>
                    </w:rPr>
                  </w:pPr>
                  <w:r>
                    <w:rPr>
                      <w:rFonts w:hint="eastAsia"/>
                      <w:bCs/>
                      <w:color w:val="auto"/>
                      <w:szCs w:val="21"/>
                    </w:rPr>
                    <w:t>51</w:t>
                  </w:r>
                </w:p>
              </w:tc>
              <w:tc>
                <w:tcPr>
                  <w:tcW w:w="642" w:type="dxa"/>
                  <w:vAlign w:val="center"/>
                </w:tcPr>
                <w:p w14:paraId="0A4DEBFE">
                  <w:pPr>
                    <w:snapToGrid w:val="0"/>
                    <w:jc w:val="center"/>
                    <w:rPr>
                      <w:bCs/>
                      <w:color w:val="auto"/>
                      <w:szCs w:val="21"/>
                    </w:rPr>
                  </w:pPr>
                  <w:r>
                    <w:rPr>
                      <w:rFonts w:hint="eastAsia"/>
                      <w:bCs/>
                      <w:color w:val="auto"/>
                      <w:szCs w:val="21"/>
                    </w:rPr>
                    <w:t>50</w:t>
                  </w:r>
                </w:p>
              </w:tc>
            </w:tr>
            <w:tr w14:paraId="0E2B24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02" w:type="dxa"/>
                  <w:vAlign w:val="center"/>
                </w:tcPr>
                <w:p w14:paraId="7B244FCB">
                  <w:pPr>
                    <w:snapToGrid w:val="0"/>
                    <w:jc w:val="center"/>
                    <w:rPr>
                      <w:bCs/>
                      <w:color w:val="auto"/>
                      <w:szCs w:val="21"/>
                    </w:rPr>
                  </w:pPr>
                  <w:r>
                    <w:rPr>
                      <w:rFonts w:hint="eastAsia"/>
                      <w:bCs/>
                      <w:color w:val="auto"/>
                      <w:szCs w:val="21"/>
                    </w:rPr>
                    <w:t>3</w:t>
                  </w:r>
                </w:p>
              </w:tc>
              <w:tc>
                <w:tcPr>
                  <w:tcW w:w="776" w:type="dxa"/>
                  <w:vAlign w:val="center"/>
                </w:tcPr>
                <w:p w14:paraId="3B162132">
                  <w:pPr>
                    <w:jc w:val="center"/>
                    <w:rPr>
                      <w:color w:val="auto"/>
                      <w:kern w:val="0"/>
                      <w:szCs w:val="21"/>
                    </w:rPr>
                  </w:pPr>
                  <w:r>
                    <w:rPr>
                      <w:color w:val="auto"/>
                      <w:kern w:val="0"/>
                      <w:szCs w:val="21"/>
                    </w:rPr>
                    <w:t>拖拉机</w:t>
                  </w:r>
                </w:p>
              </w:tc>
              <w:tc>
                <w:tcPr>
                  <w:tcW w:w="496" w:type="dxa"/>
                  <w:vAlign w:val="center"/>
                </w:tcPr>
                <w:p w14:paraId="5B045E25">
                  <w:pPr>
                    <w:pStyle w:val="92"/>
                    <w:widowControl w:val="0"/>
                    <w:rPr>
                      <w:color w:val="auto"/>
                      <w:szCs w:val="21"/>
                    </w:rPr>
                  </w:pPr>
                  <w:r>
                    <w:rPr>
                      <w:color w:val="auto"/>
                      <w:szCs w:val="21"/>
                    </w:rPr>
                    <w:t>95</w:t>
                  </w:r>
                </w:p>
              </w:tc>
              <w:tc>
                <w:tcPr>
                  <w:tcW w:w="455" w:type="dxa"/>
                  <w:vAlign w:val="center"/>
                </w:tcPr>
                <w:p w14:paraId="519C8942">
                  <w:pPr>
                    <w:snapToGrid w:val="0"/>
                    <w:jc w:val="center"/>
                    <w:rPr>
                      <w:bCs/>
                      <w:color w:val="auto"/>
                      <w:szCs w:val="21"/>
                    </w:rPr>
                  </w:pPr>
                  <w:r>
                    <w:rPr>
                      <w:rFonts w:hint="eastAsia"/>
                      <w:bCs/>
                      <w:color w:val="auto"/>
                      <w:szCs w:val="21"/>
                    </w:rPr>
                    <w:t>81</w:t>
                  </w:r>
                </w:p>
              </w:tc>
              <w:tc>
                <w:tcPr>
                  <w:tcW w:w="549" w:type="dxa"/>
                  <w:vAlign w:val="center"/>
                </w:tcPr>
                <w:p w14:paraId="7D4A7E51">
                  <w:pPr>
                    <w:snapToGrid w:val="0"/>
                    <w:jc w:val="center"/>
                    <w:rPr>
                      <w:bCs/>
                      <w:color w:val="auto"/>
                      <w:szCs w:val="21"/>
                    </w:rPr>
                  </w:pPr>
                  <w:r>
                    <w:rPr>
                      <w:rFonts w:hint="eastAsia"/>
                      <w:bCs/>
                      <w:color w:val="auto"/>
                      <w:szCs w:val="21"/>
                    </w:rPr>
                    <w:t>75</w:t>
                  </w:r>
                </w:p>
              </w:tc>
              <w:tc>
                <w:tcPr>
                  <w:tcW w:w="549" w:type="dxa"/>
                  <w:vAlign w:val="center"/>
                </w:tcPr>
                <w:p w14:paraId="2DDCE55C">
                  <w:pPr>
                    <w:snapToGrid w:val="0"/>
                    <w:jc w:val="center"/>
                    <w:rPr>
                      <w:bCs/>
                      <w:color w:val="auto"/>
                      <w:szCs w:val="21"/>
                    </w:rPr>
                  </w:pPr>
                  <w:r>
                    <w:rPr>
                      <w:rFonts w:hint="eastAsia"/>
                      <w:bCs/>
                      <w:color w:val="auto"/>
                      <w:szCs w:val="21"/>
                    </w:rPr>
                    <w:t>68</w:t>
                  </w:r>
                </w:p>
              </w:tc>
              <w:tc>
                <w:tcPr>
                  <w:tcW w:w="549" w:type="dxa"/>
                  <w:vAlign w:val="center"/>
                </w:tcPr>
                <w:p w14:paraId="0E57BEAF">
                  <w:pPr>
                    <w:snapToGrid w:val="0"/>
                    <w:jc w:val="center"/>
                    <w:rPr>
                      <w:bCs/>
                      <w:color w:val="auto"/>
                      <w:szCs w:val="21"/>
                    </w:rPr>
                  </w:pPr>
                  <w:r>
                    <w:rPr>
                      <w:rFonts w:hint="eastAsia"/>
                      <w:bCs/>
                      <w:color w:val="auto"/>
                      <w:szCs w:val="21"/>
                    </w:rPr>
                    <w:t>65</w:t>
                  </w:r>
                </w:p>
              </w:tc>
              <w:tc>
                <w:tcPr>
                  <w:tcW w:w="549" w:type="dxa"/>
                  <w:vAlign w:val="center"/>
                </w:tcPr>
                <w:p w14:paraId="573B0542">
                  <w:pPr>
                    <w:snapToGrid w:val="0"/>
                    <w:jc w:val="center"/>
                    <w:rPr>
                      <w:bCs/>
                      <w:color w:val="auto"/>
                      <w:szCs w:val="21"/>
                    </w:rPr>
                  </w:pPr>
                  <w:r>
                    <w:rPr>
                      <w:rFonts w:hint="eastAsia"/>
                      <w:bCs/>
                      <w:color w:val="auto"/>
                      <w:szCs w:val="21"/>
                    </w:rPr>
                    <w:t>62</w:t>
                  </w:r>
                </w:p>
              </w:tc>
              <w:tc>
                <w:tcPr>
                  <w:tcW w:w="549" w:type="dxa"/>
                  <w:vAlign w:val="center"/>
                </w:tcPr>
                <w:p w14:paraId="0E458BF9">
                  <w:pPr>
                    <w:snapToGrid w:val="0"/>
                    <w:jc w:val="center"/>
                    <w:rPr>
                      <w:bCs/>
                      <w:color w:val="auto"/>
                      <w:szCs w:val="21"/>
                    </w:rPr>
                  </w:pPr>
                  <w:r>
                    <w:rPr>
                      <w:rFonts w:hint="eastAsia"/>
                      <w:bCs/>
                      <w:color w:val="auto"/>
                      <w:szCs w:val="21"/>
                    </w:rPr>
                    <w:t>61</w:t>
                  </w:r>
                </w:p>
              </w:tc>
              <w:tc>
                <w:tcPr>
                  <w:tcW w:w="549" w:type="dxa"/>
                  <w:vAlign w:val="center"/>
                </w:tcPr>
                <w:p w14:paraId="1D177E84">
                  <w:pPr>
                    <w:snapToGrid w:val="0"/>
                    <w:jc w:val="center"/>
                    <w:rPr>
                      <w:bCs/>
                      <w:color w:val="auto"/>
                      <w:szCs w:val="21"/>
                    </w:rPr>
                  </w:pPr>
                  <w:r>
                    <w:rPr>
                      <w:rFonts w:hint="eastAsia"/>
                      <w:bCs/>
                      <w:color w:val="auto"/>
                      <w:szCs w:val="21"/>
                    </w:rPr>
                    <w:t>58</w:t>
                  </w:r>
                </w:p>
              </w:tc>
              <w:tc>
                <w:tcPr>
                  <w:tcW w:w="549" w:type="dxa"/>
                  <w:vAlign w:val="center"/>
                </w:tcPr>
                <w:p w14:paraId="295D4421">
                  <w:pPr>
                    <w:snapToGrid w:val="0"/>
                    <w:jc w:val="center"/>
                    <w:rPr>
                      <w:bCs/>
                      <w:color w:val="auto"/>
                      <w:szCs w:val="21"/>
                    </w:rPr>
                  </w:pPr>
                  <w:r>
                    <w:rPr>
                      <w:rFonts w:hint="eastAsia"/>
                      <w:bCs/>
                      <w:color w:val="auto"/>
                      <w:szCs w:val="21"/>
                    </w:rPr>
                    <w:t>56</w:t>
                  </w:r>
                </w:p>
              </w:tc>
              <w:tc>
                <w:tcPr>
                  <w:tcW w:w="642" w:type="dxa"/>
                  <w:vAlign w:val="center"/>
                </w:tcPr>
                <w:p w14:paraId="7A0B65F9">
                  <w:pPr>
                    <w:snapToGrid w:val="0"/>
                    <w:jc w:val="center"/>
                    <w:rPr>
                      <w:bCs/>
                      <w:color w:val="auto"/>
                      <w:szCs w:val="21"/>
                    </w:rPr>
                  </w:pPr>
                  <w:r>
                    <w:rPr>
                      <w:rFonts w:hint="eastAsia"/>
                      <w:bCs/>
                      <w:color w:val="auto"/>
                      <w:szCs w:val="21"/>
                    </w:rPr>
                    <w:t>53</w:t>
                  </w:r>
                </w:p>
              </w:tc>
              <w:tc>
                <w:tcPr>
                  <w:tcW w:w="642" w:type="dxa"/>
                  <w:vAlign w:val="center"/>
                </w:tcPr>
                <w:p w14:paraId="2254064F">
                  <w:pPr>
                    <w:snapToGrid w:val="0"/>
                    <w:jc w:val="center"/>
                    <w:rPr>
                      <w:bCs/>
                      <w:color w:val="auto"/>
                      <w:szCs w:val="21"/>
                    </w:rPr>
                  </w:pPr>
                  <w:r>
                    <w:rPr>
                      <w:rFonts w:hint="eastAsia"/>
                      <w:bCs/>
                      <w:color w:val="auto"/>
                      <w:szCs w:val="21"/>
                    </w:rPr>
                    <w:t>50</w:t>
                  </w:r>
                </w:p>
              </w:tc>
              <w:tc>
                <w:tcPr>
                  <w:tcW w:w="642" w:type="dxa"/>
                  <w:vAlign w:val="center"/>
                </w:tcPr>
                <w:p w14:paraId="0C82BA20">
                  <w:pPr>
                    <w:snapToGrid w:val="0"/>
                    <w:jc w:val="center"/>
                    <w:rPr>
                      <w:bCs/>
                      <w:color w:val="auto"/>
                      <w:szCs w:val="21"/>
                    </w:rPr>
                  </w:pPr>
                  <w:r>
                    <w:rPr>
                      <w:rFonts w:hint="eastAsia"/>
                      <w:bCs/>
                      <w:color w:val="auto"/>
                      <w:szCs w:val="21"/>
                    </w:rPr>
                    <w:t>49</w:t>
                  </w:r>
                </w:p>
              </w:tc>
            </w:tr>
            <w:tr w14:paraId="6058CC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4" w:hRule="atLeast"/>
              </w:trPr>
              <w:tc>
                <w:tcPr>
                  <w:tcW w:w="402" w:type="dxa"/>
                  <w:vAlign w:val="center"/>
                </w:tcPr>
                <w:p w14:paraId="282A225D">
                  <w:pPr>
                    <w:snapToGrid w:val="0"/>
                    <w:jc w:val="center"/>
                    <w:rPr>
                      <w:bCs/>
                      <w:color w:val="auto"/>
                      <w:szCs w:val="21"/>
                    </w:rPr>
                  </w:pPr>
                  <w:r>
                    <w:rPr>
                      <w:rFonts w:hint="eastAsia"/>
                      <w:bCs/>
                      <w:color w:val="auto"/>
                      <w:szCs w:val="21"/>
                    </w:rPr>
                    <w:t>4</w:t>
                  </w:r>
                </w:p>
              </w:tc>
              <w:tc>
                <w:tcPr>
                  <w:tcW w:w="776" w:type="dxa"/>
                  <w:vAlign w:val="center"/>
                </w:tcPr>
                <w:p w14:paraId="737521C0">
                  <w:pPr>
                    <w:jc w:val="center"/>
                    <w:textAlignment w:val="center"/>
                    <w:rPr>
                      <w:color w:val="auto"/>
                      <w:kern w:val="0"/>
                      <w:szCs w:val="21"/>
                    </w:rPr>
                  </w:pPr>
                  <w:r>
                    <w:rPr>
                      <w:color w:val="auto"/>
                      <w:kern w:val="0"/>
                      <w:szCs w:val="21"/>
                    </w:rPr>
                    <w:t>砂浆搅拌机</w:t>
                  </w:r>
                </w:p>
              </w:tc>
              <w:tc>
                <w:tcPr>
                  <w:tcW w:w="496" w:type="dxa"/>
                  <w:vAlign w:val="center"/>
                </w:tcPr>
                <w:p w14:paraId="6F9CA607">
                  <w:pPr>
                    <w:pStyle w:val="92"/>
                    <w:widowControl w:val="0"/>
                    <w:rPr>
                      <w:color w:val="auto"/>
                      <w:szCs w:val="21"/>
                    </w:rPr>
                  </w:pPr>
                  <w:r>
                    <w:rPr>
                      <w:color w:val="auto"/>
                      <w:szCs w:val="21"/>
                    </w:rPr>
                    <w:t>90</w:t>
                  </w:r>
                </w:p>
              </w:tc>
              <w:tc>
                <w:tcPr>
                  <w:tcW w:w="455" w:type="dxa"/>
                  <w:vAlign w:val="center"/>
                </w:tcPr>
                <w:p w14:paraId="679A4E4E">
                  <w:pPr>
                    <w:snapToGrid w:val="0"/>
                    <w:jc w:val="center"/>
                    <w:rPr>
                      <w:bCs/>
                      <w:color w:val="auto"/>
                      <w:szCs w:val="21"/>
                    </w:rPr>
                  </w:pPr>
                  <w:r>
                    <w:rPr>
                      <w:rFonts w:hint="eastAsia"/>
                      <w:bCs/>
                      <w:color w:val="auto"/>
                      <w:szCs w:val="21"/>
                    </w:rPr>
                    <w:t>76</w:t>
                  </w:r>
                </w:p>
              </w:tc>
              <w:tc>
                <w:tcPr>
                  <w:tcW w:w="549" w:type="dxa"/>
                  <w:vAlign w:val="center"/>
                </w:tcPr>
                <w:p w14:paraId="25BAF89A">
                  <w:pPr>
                    <w:snapToGrid w:val="0"/>
                    <w:jc w:val="center"/>
                    <w:rPr>
                      <w:bCs/>
                      <w:color w:val="auto"/>
                      <w:szCs w:val="21"/>
                    </w:rPr>
                  </w:pPr>
                  <w:r>
                    <w:rPr>
                      <w:rFonts w:hint="eastAsia"/>
                      <w:bCs/>
                      <w:color w:val="auto"/>
                      <w:szCs w:val="21"/>
                    </w:rPr>
                    <w:t>70</w:t>
                  </w:r>
                </w:p>
              </w:tc>
              <w:tc>
                <w:tcPr>
                  <w:tcW w:w="549" w:type="dxa"/>
                  <w:vAlign w:val="center"/>
                </w:tcPr>
                <w:p w14:paraId="10E005DD">
                  <w:pPr>
                    <w:snapToGrid w:val="0"/>
                    <w:jc w:val="center"/>
                    <w:rPr>
                      <w:bCs/>
                      <w:color w:val="auto"/>
                      <w:szCs w:val="21"/>
                    </w:rPr>
                  </w:pPr>
                  <w:r>
                    <w:rPr>
                      <w:rFonts w:hint="eastAsia"/>
                      <w:bCs/>
                      <w:color w:val="auto"/>
                      <w:szCs w:val="21"/>
                    </w:rPr>
                    <w:t>64</w:t>
                  </w:r>
                </w:p>
              </w:tc>
              <w:tc>
                <w:tcPr>
                  <w:tcW w:w="549" w:type="dxa"/>
                  <w:vAlign w:val="center"/>
                </w:tcPr>
                <w:p w14:paraId="7D4DA18F">
                  <w:pPr>
                    <w:snapToGrid w:val="0"/>
                    <w:jc w:val="center"/>
                    <w:rPr>
                      <w:bCs/>
                      <w:color w:val="auto"/>
                      <w:szCs w:val="21"/>
                    </w:rPr>
                  </w:pPr>
                  <w:r>
                    <w:rPr>
                      <w:rFonts w:hint="eastAsia"/>
                      <w:bCs/>
                      <w:color w:val="auto"/>
                      <w:szCs w:val="21"/>
                    </w:rPr>
                    <w:t>60</w:t>
                  </w:r>
                </w:p>
              </w:tc>
              <w:tc>
                <w:tcPr>
                  <w:tcW w:w="549" w:type="dxa"/>
                  <w:vAlign w:val="center"/>
                </w:tcPr>
                <w:p w14:paraId="263BE695">
                  <w:pPr>
                    <w:snapToGrid w:val="0"/>
                    <w:jc w:val="center"/>
                    <w:rPr>
                      <w:bCs/>
                      <w:color w:val="auto"/>
                      <w:szCs w:val="21"/>
                    </w:rPr>
                  </w:pPr>
                  <w:r>
                    <w:rPr>
                      <w:rFonts w:hint="eastAsia"/>
                      <w:bCs/>
                      <w:color w:val="auto"/>
                      <w:szCs w:val="21"/>
                    </w:rPr>
                    <w:t>58</w:t>
                  </w:r>
                </w:p>
              </w:tc>
              <w:tc>
                <w:tcPr>
                  <w:tcW w:w="549" w:type="dxa"/>
                  <w:vAlign w:val="center"/>
                </w:tcPr>
                <w:p w14:paraId="6309B0E0">
                  <w:pPr>
                    <w:snapToGrid w:val="0"/>
                    <w:jc w:val="center"/>
                    <w:rPr>
                      <w:bCs/>
                      <w:color w:val="auto"/>
                      <w:szCs w:val="21"/>
                    </w:rPr>
                  </w:pPr>
                  <w:r>
                    <w:rPr>
                      <w:rFonts w:hint="eastAsia"/>
                      <w:bCs/>
                      <w:color w:val="auto"/>
                      <w:szCs w:val="21"/>
                    </w:rPr>
                    <w:t>56</w:t>
                  </w:r>
                </w:p>
              </w:tc>
              <w:tc>
                <w:tcPr>
                  <w:tcW w:w="549" w:type="dxa"/>
                  <w:vAlign w:val="center"/>
                </w:tcPr>
                <w:p w14:paraId="05D37DE9">
                  <w:pPr>
                    <w:snapToGrid w:val="0"/>
                    <w:jc w:val="center"/>
                    <w:rPr>
                      <w:bCs/>
                      <w:color w:val="auto"/>
                      <w:szCs w:val="21"/>
                    </w:rPr>
                  </w:pPr>
                  <w:r>
                    <w:rPr>
                      <w:rFonts w:hint="eastAsia"/>
                      <w:bCs/>
                      <w:color w:val="auto"/>
                      <w:szCs w:val="21"/>
                    </w:rPr>
                    <w:t>53</w:t>
                  </w:r>
                </w:p>
              </w:tc>
              <w:tc>
                <w:tcPr>
                  <w:tcW w:w="549" w:type="dxa"/>
                  <w:vAlign w:val="center"/>
                </w:tcPr>
                <w:p w14:paraId="1D9202C7">
                  <w:pPr>
                    <w:snapToGrid w:val="0"/>
                    <w:jc w:val="center"/>
                    <w:rPr>
                      <w:bCs/>
                      <w:color w:val="auto"/>
                      <w:szCs w:val="21"/>
                    </w:rPr>
                  </w:pPr>
                  <w:r>
                    <w:rPr>
                      <w:rFonts w:hint="eastAsia"/>
                      <w:bCs/>
                      <w:color w:val="auto"/>
                      <w:szCs w:val="21"/>
                    </w:rPr>
                    <w:t>51</w:t>
                  </w:r>
                </w:p>
              </w:tc>
              <w:tc>
                <w:tcPr>
                  <w:tcW w:w="642" w:type="dxa"/>
                  <w:vAlign w:val="center"/>
                </w:tcPr>
                <w:p w14:paraId="05814970">
                  <w:pPr>
                    <w:snapToGrid w:val="0"/>
                    <w:jc w:val="center"/>
                    <w:rPr>
                      <w:bCs/>
                      <w:color w:val="auto"/>
                      <w:szCs w:val="21"/>
                    </w:rPr>
                  </w:pPr>
                  <w:r>
                    <w:rPr>
                      <w:rFonts w:hint="eastAsia"/>
                      <w:bCs/>
                      <w:color w:val="auto"/>
                      <w:szCs w:val="21"/>
                    </w:rPr>
                    <w:t>48</w:t>
                  </w:r>
                </w:p>
              </w:tc>
              <w:tc>
                <w:tcPr>
                  <w:tcW w:w="642" w:type="dxa"/>
                  <w:vAlign w:val="center"/>
                </w:tcPr>
                <w:p w14:paraId="4BEB098E">
                  <w:pPr>
                    <w:snapToGrid w:val="0"/>
                    <w:jc w:val="center"/>
                    <w:rPr>
                      <w:bCs/>
                      <w:color w:val="auto"/>
                      <w:szCs w:val="21"/>
                    </w:rPr>
                  </w:pPr>
                  <w:r>
                    <w:rPr>
                      <w:rFonts w:hint="eastAsia"/>
                      <w:bCs/>
                      <w:color w:val="auto"/>
                      <w:szCs w:val="21"/>
                    </w:rPr>
                    <w:t>45</w:t>
                  </w:r>
                </w:p>
              </w:tc>
              <w:tc>
                <w:tcPr>
                  <w:tcW w:w="642" w:type="dxa"/>
                  <w:vAlign w:val="center"/>
                </w:tcPr>
                <w:p w14:paraId="12DA6B73">
                  <w:pPr>
                    <w:snapToGrid w:val="0"/>
                    <w:jc w:val="center"/>
                    <w:rPr>
                      <w:bCs/>
                      <w:color w:val="auto"/>
                      <w:szCs w:val="21"/>
                    </w:rPr>
                  </w:pPr>
                  <w:r>
                    <w:rPr>
                      <w:rFonts w:hint="eastAsia"/>
                      <w:bCs/>
                      <w:color w:val="auto"/>
                      <w:szCs w:val="21"/>
                    </w:rPr>
                    <w:t>44</w:t>
                  </w:r>
                </w:p>
              </w:tc>
            </w:tr>
            <w:tr w14:paraId="46B430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4" w:hRule="atLeast"/>
              </w:trPr>
              <w:tc>
                <w:tcPr>
                  <w:tcW w:w="402" w:type="dxa"/>
                  <w:vAlign w:val="center"/>
                </w:tcPr>
                <w:p w14:paraId="49AE2821">
                  <w:pPr>
                    <w:snapToGrid w:val="0"/>
                    <w:jc w:val="center"/>
                    <w:rPr>
                      <w:bCs/>
                      <w:color w:val="auto"/>
                      <w:szCs w:val="21"/>
                    </w:rPr>
                  </w:pPr>
                  <w:r>
                    <w:rPr>
                      <w:rFonts w:hint="eastAsia"/>
                      <w:bCs/>
                      <w:color w:val="auto"/>
                      <w:szCs w:val="21"/>
                    </w:rPr>
                    <w:t>5</w:t>
                  </w:r>
                </w:p>
              </w:tc>
              <w:tc>
                <w:tcPr>
                  <w:tcW w:w="776" w:type="dxa"/>
                  <w:vAlign w:val="center"/>
                </w:tcPr>
                <w:p w14:paraId="39466151">
                  <w:pPr>
                    <w:jc w:val="center"/>
                    <w:textAlignment w:val="center"/>
                    <w:rPr>
                      <w:color w:val="auto"/>
                      <w:kern w:val="0"/>
                      <w:szCs w:val="21"/>
                    </w:rPr>
                  </w:pPr>
                  <w:r>
                    <w:rPr>
                      <w:color w:val="auto"/>
                      <w:kern w:val="0"/>
                      <w:szCs w:val="21"/>
                    </w:rPr>
                    <w:t>污水泵</w:t>
                  </w:r>
                </w:p>
              </w:tc>
              <w:tc>
                <w:tcPr>
                  <w:tcW w:w="496" w:type="dxa"/>
                  <w:vAlign w:val="center"/>
                </w:tcPr>
                <w:p w14:paraId="5C102668">
                  <w:pPr>
                    <w:adjustRightInd w:val="0"/>
                    <w:jc w:val="center"/>
                    <w:rPr>
                      <w:color w:val="auto"/>
                      <w:szCs w:val="21"/>
                    </w:rPr>
                  </w:pPr>
                  <w:r>
                    <w:rPr>
                      <w:color w:val="auto"/>
                      <w:szCs w:val="21"/>
                    </w:rPr>
                    <w:t>102</w:t>
                  </w:r>
                </w:p>
              </w:tc>
              <w:tc>
                <w:tcPr>
                  <w:tcW w:w="455" w:type="dxa"/>
                  <w:vAlign w:val="center"/>
                </w:tcPr>
                <w:p w14:paraId="729E56A5">
                  <w:pPr>
                    <w:snapToGrid w:val="0"/>
                    <w:jc w:val="center"/>
                    <w:rPr>
                      <w:bCs/>
                      <w:color w:val="auto"/>
                      <w:szCs w:val="21"/>
                    </w:rPr>
                  </w:pPr>
                  <w:r>
                    <w:rPr>
                      <w:rFonts w:hint="eastAsia"/>
                      <w:bCs/>
                      <w:color w:val="auto"/>
                      <w:szCs w:val="21"/>
                    </w:rPr>
                    <w:t>88</w:t>
                  </w:r>
                </w:p>
              </w:tc>
              <w:tc>
                <w:tcPr>
                  <w:tcW w:w="549" w:type="dxa"/>
                  <w:vAlign w:val="center"/>
                </w:tcPr>
                <w:p w14:paraId="3F6EE33D">
                  <w:pPr>
                    <w:snapToGrid w:val="0"/>
                    <w:jc w:val="center"/>
                    <w:rPr>
                      <w:bCs/>
                      <w:color w:val="auto"/>
                      <w:szCs w:val="21"/>
                    </w:rPr>
                  </w:pPr>
                  <w:r>
                    <w:rPr>
                      <w:rFonts w:hint="eastAsia"/>
                      <w:bCs/>
                      <w:color w:val="auto"/>
                      <w:szCs w:val="21"/>
                    </w:rPr>
                    <w:t>82</w:t>
                  </w:r>
                </w:p>
              </w:tc>
              <w:tc>
                <w:tcPr>
                  <w:tcW w:w="549" w:type="dxa"/>
                  <w:vAlign w:val="center"/>
                </w:tcPr>
                <w:p w14:paraId="1C107933">
                  <w:pPr>
                    <w:snapToGrid w:val="0"/>
                    <w:jc w:val="center"/>
                    <w:rPr>
                      <w:bCs/>
                      <w:color w:val="auto"/>
                      <w:szCs w:val="21"/>
                    </w:rPr>
                  </w:pPr>
                  <w:r>
                    <w:rPr>
                      <w:rFonts w:hint="eastAsia"/>
                      <w:bCs/>
                      <w:color w:val="auto"/>
                      <w:szCs w:val="21"/>
                    </w:rPr>
                    <w:t>76</w:t>
                  </w:r>
                </w:p>
              </w:tc>
              <w:tc>
                <w:tcPr>
                  <w:tcW w:w="549" w:type="dxa"/>
                  <w:vAlign w:val="center"/>
                </w:tcPr>
                <w:p w14:paraId="3F064B6E">
                  <w:pPr>
                    <w:snapToGrid w:val="0"/>
                    <w:jc w:val="center"/>
                    <w:rPr>
                      <w:bCs/>
                      <w:color w:val="auto"/>
                      <w:szCs w:val="21"/>
                    </w:rPr>
                  </w:pPr>
                  <w:r>
                    <w:rPr>
                      <w:rFonts w:hint="eastAsia"/>
                      <w:bCs/>
                      <w:color w:val="auto"/>
                      <w:szCs w:val="21"/>
                    </w:rPr>
                    <w:t>72</w:t>
                  </w:r>
                </w:p>
              </w:tc>
              <w:tc>
                <w:tcPr>
                  <w:tcW w:w="549" w:type="dxa"/>
                  <w:vAlign w:val="center"/>
                </w:tcPr>
                <w:p w14:paraId="6F8893C0">
                  <w:pPr>
                    <w:snapToGrid w:val="0"/>
                    <w:jc w:val="center"/>
                    <w:rPr>
                      <w:bCs/>
                      <w:color w:val="auto"/>
                      <w:szCs w:val="21"/>
                    </w:rPr>
                  </w:pPr>
                  <w:r>
                    <w:rPr>
                      <w:rFonts w:hint="eastAsia"/>
                      <w:bCs/>
                      <w:color w:val="auto"/>
                      <w:szCs w:val="21"/>
                    </w:rPr>
                    <w:t>70</w:t>
                  </w:r>
                </w:p>
              </w:tc>
              <w:tc>
                <w:tcPr>
                  <w:tcW w:w="549" w:type="dxa"/>
                  <w:vAlign w:val="center"/>
                </w:tcPr>
                <w:p w14:paraId="65990FF4">
                  <w:pPr>
                    <w:snapToGrid w:val="0"/>
                    <w:jc w:val="center"/>
                    <w:rPr>
                      <w:bCs/>
                      <w:color w:val="auto"/>
                      <w:szCs w:val="21"/>
                    </w:rPr>
                  </w:pPr>
                  <w:r>
                    <w:rPr>
                      <w:rFonts w:hint="eastAsia"/>
                      <w:bCs/>
                      <w:color w:val="auto"/>
                      <w:szCs w:val="21"/>
                    </w:rPr>
                    <w:t>68</w:t>
                  </w:r>
                </w:p>
              </w:tc>
              <w:tc>
                <w:tcPr>
                  <w:tcW w:w="549" w:type="dxa"/>
                  <w:vAlign w:val="center"/>
                </w:tcPr>
                <w:p w14:paraId="3C05F05D">
                  <w:pPr>
                    <w:snapToGrid w:val="0"/>
                    <w:jc w:val="center"/>
                    <w:rPr>
                      <w:bCs/>
                      <w:color w:val="auto"/>
                      <w:szCs w:val="21"/>
                    </w:rPr>
                  </w:pPr>
                  <w:r>
                    <w:rPr>
                      <w:rFonts w:hint="eastAsia"/>
                      <w:bCs/>
                      <w:color w:val="auto"/>
                      <w:szCs w:val="21"/>
                    </w:rPr>
                    <w:t>65</w:t>
                  </w:r>
                </w:p>
              </w:tc>
              <w:tc>
                <w:tcPr>
                  <w:tcW w:w="549" w:type="dxa"/>
                  <w:vAlign w:val="center"/>
                </w:tcPr>
                <w:p w14:paraId="4AE2E8C4">
                  <w:pPr>
                    <w:snapToGrid w:val="0"/>
                    <w:jc w:val="center"/>
                    <w:rPr>
                      <w:bCs/>
                      <w:color w:val="auto"/>
                      <w:szCs w:val="21"/>
                    </w:rPr>
                  </w:pPr>
                  <w:r>
                    <w:rPr>
                      <w:rFonts w:hint="eastAsia"/>
                      <w:bCs/>
                      <w:color w:val="auto"/>
                      <w:szCs w:val="21"/>
                    </w:rPr>
                    <w:t>63</w:t>
                  </w:r>
                </w:p>
              </w:tc>
              <w:tc>
                <w:tcPr>
                  <w:tcW w:w="642" w:type="dxa"/>
                  <w:vAlign w:val="center"/>
                </w:tcPr>
                <w:p w14:paraId="7E087DE4">
                  <w:pPr>
                    <w:snapToGrid w:val="0"/>
                    <w:jc w:val="center"/>
                    <w:rPr>
                      <w:bCs/>
                      <w:color w:val="auto"/>
                      <w:szCs w:val="21"/>
                    </w:rPr>
                  </w:pPr>
                  <w:r>
                    <w:rPr>
                      <w:rFonts w:hint="eastAsia"/>
                      <w:bCs/>
                      <w:color w:val="auto"/>
                      <w:szCs w:val="21"/>
                    </w:rPr>
                    <w:t>60</w:t>
                  </w:r>
                </w:p>
              </w:tc>
              <w:tc>
                <w:tcPr>
                  <w:tcW w:w="642" w:type="dxa"/>
                  <w:vAlign w:val="center"/>
                </w:tcPr>
                <w:p w14:paraId="26D29A1A">
                  <w:pPr>
                    <w:snapToGrid w:val="0"/>
                    <w:jc w:val="center"/>
                    <w:rPr>
                      <w:bCs/>
                      <w:color w:val="auto"/>
                      <w:szCs w:val="21"/>
                    </w:rPr>
                  </w:pPr>
                  <w:r>
                    <w:rPr>
                      <w:rFonts w:hint="eastAsia"/>
                      <w:bCs/>
                      <w:color w:val="auto"/>
                      <w:szCs w:val="21"/>
                    </w:rPr>
                    <w:t>57</w:t>
                  </w:r>
                </w:p>
              </w:tc>
              <w:tc>
                <w:tcPr>
                  <w:tcW w:w="642" w:type="dxa"/>
                  <w:vAlign w:val="center"/>
                </w:tcPr>
                <w:p w14:paraId="786E9E19">
                  <w:pPr>
                    <w:snapToGrid w:val="0"/>
                    <w:jc w:val="center"/>
                    <w:rPr>
                      <w:bCs/>
                      <w:color w:val="auto"/>
                      <w:szCs w:val="21"/>
                    </w:rPr>
                  </w:pPr>
                  <w:r>
                    <w:rPr>
                      <w:rFonts w:hint="eastAsia"/>
                      <w:bCs/>
                      <w:color w:val="auto"/>
                      <w:szCs w:val="21"/>
                    </w:rPr>
                    <w:t>56</w:t>
                  </w:r>
                </w:p>
              </w:tc>
            </w:tr>
            <w:tr w14:paraId="616997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4" w:hRule="atLeast"/>
              </w:trPr>
              <w:tc>
                <w:tcPr>
                  <w:tcW w:w="402" w:type="dxa"/>
                  <w:vAlign w:val="center"/>
                </w:tcPr>
                <w:p w14:paraId="09ADC055">
                  <w:pPr>
                    <w:snapToGrid w:val="0"/>
                    <w:jc w:val="center"/>
                    <w:rPr>
                      <w:bCs/>
                      <w:color w:val="auto"/>
                      <w:szCs w:val="21"/>
                    </w:rPr>
                  </w:pPr>
                  <w:r>
                    <w:rPr>
                      <w:rFonts w:hint="eastAsia"/>
                      <w:bCs/>
                      <w:color w:val="auto"/>
                      <w:szCs w:val="21"/>
                    </w:rPr>
                    <w:t>6</w:t>
                  </w:r>
                </w:p>
              </w:tc>
              <w:tc>
                <w:tcPr>
                  <w:tcW w:w="776" w:type="dxa"/>
                  <w:vAlign w:val="center"/>
                </w:tcPr>
                <w:p w14:paraId="69B845DB">
                  <w:pPr>
                    <w:jc w:val="center"/>
                    <w:rPr>
                      <w:color w:val="auto"/>
                      <w:kern w:val="0"/>
                      <w:szCs w:val="21"/>
                    </w:rPr>
                  </w:pPr>
                  <w:r>
                    <w:rPr>
                      <w:color w:val="auto"/>
                      <w:kern w:val="0"/>
                      <w:szCs w:val="21"/>
                    </w:rPr>
                    <w:t>振动器</w:t>
                  </w:r>
                </w:p>
              </w:tc>
              <w:tc>
                <w:tcPr>
                  <w:tcW w:w="496" w:type="dxa"/>
                  <w:vAlign w:val="center"/>
                </w:tcPr>
                <w:p w14:paraId="5D5CDF9D">
                  <w:pPr>
                    <w:pStyle w:val="92"/>
                    <w:widowControl w:val="0"/>
                    <w:rPr>
                      <w:color w:val="auto"/>
                      <w:szCs w:val="21"/>
                    </w:rPr>
                  </w:pPr>
                  <w:r>
                    <w:rPr>
                      <w:color w:val="auto"/>
                      <w:szCs w:val="21"/>
                    </w:rPr>
                    <w:t>95</w:t>
                  </w:r>
                </w:p>
              </w:tc>
              <w:tc>
                <w:tcPr>
                  <w:tcW w:w="455" w:type="dxa"/>
                  <w:vAlign w:val="center"/>
                </w:tcPr>
                <w:p w14:paraId="4EFB69F1">
                  <w:pPr>
                    <w:snapToGrid w:val="0"/>
                    <w:jc w:val="center"/>
                    <w:rPr>
                      <w:bCs/>
                      <w:color w:val="auto"/>
                      <w:szCs w:val="21"/>
                    </w:rPr>
                  </w:pPr>
                  <w:r>
                    <w:rPr>
                      <w:rFonts w:hint="eastAsia"/>
                      <w:bCs/>
                      <w:color w:val="auto"/>
                      <w:szCs w:val="21"/>
                    </w:rPr>
                    <w:t>81</w:t>
                  </w:r>
                </w:p>
              </w:tc>
              <w:tc>
                <w:tcPr>
                  <w:tcW w:w="549" w:type="dxa"/>
                  <w:vAlign w:val="center"/>
                </w:tcPr>
                <w:p w14:paraId="1E1C2F93">
                  <w:pPr>
                    <w:snapToGrid w:val="0"/>
                    <w:jc w:val="center"/>
                    <w:rPr>
                      <w:bCs/>
                      <w:color w:val="auto"/>
                      <w:szCs w:val="21"/>
                    </w:rPr>
                  </w:pPr>
                  <w:r>
                    <w:rPr>
                      <w:rFonts w:hint="eastAsia"/>
                      <w:bCs/>
                      <w:color w:val="auto"/>
                      <w:szCs w:val="21"/>
                    </w:rPr>
                    <w:t>75</w:t>
                  </w:r>
                </w:p>
              </w:tc>
              <w:tc>
                <w:tcPr>
                  <w:tcW w:w="549" w:type="dxa"/>
                  <w:vAlign w:val="center"/>
                </w:tcPr>
                <w:p w14:paraId="3A59D8E5">
                  <w:pPr>
                    <w:snapToGrid w:val="0"/>
                    <w:jc w:val="center"/>
                    <w:rPr>
                      <w:bCs/>
                      <w:color w:val="auto"/>
                      <w:szCs w:val="21"/>
                    </w:rPr>
                  </w:pPr>
                  <w:r>
                    <w:rPr>
                      <w:rFonts w:hint="eastAsia"/>
                      <w:bCs/>
                      <w:color w:val="auto"/>
                      <w:szCs w:val="21"/>
                    </w:rPr>
                    <w:t>68</w:t>
                  </w:r>
                </w:p>
              </w:tc>
              <w:tc>
                <w:tcPr>
                  <w:tcW w:w="549" w:type="dxa"/>
                  <w:vAlign w:val="center"/>
                </w:tcPr>
                <w:p w14:paraId="23E28F67">
                  <w:pPr>
                    <w:snapToGrid w:val="0"/>
                    <w:jc w:val="center"/>
                    <w:rPr>
                      <w:bCs/>
                      <w:color w:val="auto"/>
                      <w:szCs w:val="21"/>
                    </w:rPr>
                  </w:pPr>
                  <w:r>
                    <w:rPr>
                      <w:rFonts w:hint="eastAsia"/>
                      <w:bCs/>
                      <w:color w:val="auto"/>
                      <w:szCs w:val="21"/>
                    </w:rPr>
                    <w:t>65</w:t>
                  </w:r>
                </w:p>
              </w:tc>
              <w:tc>
                <w:tcPr>
                  <w:tcW w:w="549" w:type="dxa"/>
                  <w:vAlign w:val="center"/>
                </w:tcPr>
                <w:p w14:paraId="45A41D76">
                  <w:pPr>
                    <w:snapToGrid w:val="0"/>
                    <w:jc w:val="center"/>
                    <w:rPr>
                      <w:bCs/>
                      <w:color w:val="auto"/>
                      <w:szCs w:val="21"/>
                    </w:rPr>
                  </w:pPr>
                  <w:r>
                    <w:rPr>
                      <w:rFonts w:hint="eastAsia"/>
                      <w:bCs/>
                      <w:color w:val="auto"/>
                      <w:szCs w:val="21"/>
                    </w:rPr>
                    <w:t>62</w:t>
                  </w:r>
                </w:p>
              </w:tc>
              <w:tc>
                <w:tcPr>
                  <w:tcW w:w="549" w:type="dxa"/>
                  <w:vAlign w:val="center"/>
                </w:tcPr>
                <w:p w14:paraId="440B16CD">
                  <w:pPr>
                    <w:snapToGrid w:val="0"/>
                    <w:jc w:val="center"/>
                    <w:rPr>
                      <w:bCs/>
                      <w:color w:val="auto"/>
                      <w:szCs w:val="21"/>
                    </w:rPr>
                  </w:pPr>
                  <w:r>
                    <w:rPr>
                      <w:rFonts w:hint="eastAsia"/>
                      <w:bCs/>
                      <w:color w:val="auto"/>
                      <w:szCs w:val="21"/>
                    </w:rPr>
                    <w:t>61</w:t>
                  </w:r>
                </w:p>
              </w:tc>
              <w:tc>
                <w:tcPr>
                  <w:tcW w:w="549" w:type="dxa"/>
                  <w:vAlign w:val="center"/>
                </w:tcPr>
                <w:p w14:paraId="787695A1">
                  <w:pPr>
                    <w:snapToGrid w:val="0"/>
                    <w:jc w:val="center"/>
                    <w:rPr>
                      <w:bCs/>
                      <w:color w:val="auto"/>
                      <w:szCs w:val="21"/>
                    </w:rPr>
                  </w:pPr>
                  <w:r>
                    <w:rPr>
                      <w:rFonts w:hint="eastAsia"/>
                      <w:bCs/>
                      <w:color w:val="auto"/>
                      <w:szCs w:val="21"/>
                    </w:rPr>
                    <w:t>58</w:t>
                  </w:r>
                </w:p>
              </w:tc>
              <w:tc>
                <w:tcPr>
                  <w:tcW w:w="549" w:type="dxa"/>
                  <w:vAlign w:val="center"/>
                </w:tcPr>
                <w:p w14:paraId="7857358D">
                  <w:pPr>
                    <w:snapToGrid w:val="0"/>
                    <w:jc w:val="center"/>
                    <w:rPr>
                      <w:bCs/>
                      <w:color w:val="auto"/>
                      <w:szCs w:val="21"/>
                    </w:rPr>
                  </w:pPr>
                  <w:r>
                    <w:rPr>
                      <w:rFonts w:hint="eastAsia"/>
                      <w:bCs/>
                      <w:color w:val="auto"/>
                      <w:szCs w:val="21"/>
                    </w:rPr>
                    <w:t>56</w:t>
                  </w:r>
                </w:p>
              </w:tc>
              <w:tc>
                <w:tcPr>
                  <w:tcW w:w="642" w:type="dxa"/>
                  <w:vAlign w:val="center"/>
                </w:tcPr>
                <w:p w14:paraId="44AE4A00">
                  <w:pPr>
                    <w:snapToGrid w:val="0"/>
                    <w:jc w:val="center"/>
                    <w:rPr>
                      <w:bCs/>
                      <w:color w:val="auto"/>
                      <w:szCs w:val="21"/>
                    </w:rPr>
                  </w:pPr>
                  <w:r>
                    <w:rPr>
                      <w:rFonts w:hint="eastAsia"/>
                      <w:bCs/>
                      <w:color w:val="auto"/>
                      <w:szCs w:val="21"/>
                    </w:rPr>
                    <w:t>53</w:t>
                  </w:r>
                </w:p>
              </w:tc>
              <w:tc>
                <w:tcPr>
                  <w:tcW w:w="642" w:type="dxa"/>
                  <w:vAlign w:val="center"/>
                </w:tcPr>
                <w:p w14:paraId="6D59AB81">
                  <w:pPr>
                    <w:snapToGrid w:val="0"/>
                    <w:jc w:val="center"/>
                    <w:rPr>
                      <w:bCs/>
                      <w:color w:val="auto"/>
                      <w:szCs w:val="21"/>
                    </w:rPr>
                  </w:pPr>
                  <w:r>
                    <w:rPr>
                      <w:rFonts w:hint="eastAsia"/>
                      <w:bCs/>
                      <w:color w:val="auto"/>
                      <w:szCs w:val="21"/>
                    </w:rPr>
                    <w:t>50</w:t>
                  </w:r>
                </w:p>
              </w:tc>
              <w:tc>
                <w:tcPr>
                  <w:tcW w:w="642" w:type="dxa"/>
                  <w:vAlign w:val="center"/>
                </w:tcPr>
                <w:p w14:paraId="241554F9">
                  <w:pPr>
                    <w:snapToGrid w:val="0"/>
                    <w:jc w:val="center"/>
                    <w:rPr>
                      <w:bCs/>
                      <w:color w:val="auto"/>
                      <w:szCs w:val="21"/>
                    </w:rPr>
                  </w:pPr>
                  <w:r>
                    <w:rPr>
                      <w:rFonts w:hint="eastAsia"/>
                      <w:bCs/>
                      <w:color w:val="auto"/>
                      <w:szCs w:val="21"/>
                    </w:rPr>
                    <w:t>49</w:t>
                  </w:r>
                </w:p>
              </w:tc>
            </w:tr>
            <w:tr w14:paraId="3C6D16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2AE69299">
                  <w:pPr>
                    <w:snapToGrid w:val="0"/>
                    <w:jc w:val="center"/>
                    <w:rPr>
                      <w:bCs/>
                      <w:color w:val="auto"/>
                      <w:szCs w:val="21"/>
                    </w:rPr>
                  </w:pPr>
                  <w:r>
                    <w:rPr>
                      <w:rFonts w:hint="eastAsia"/>
                      <w:bCs/>
                      <w:color w:val="auto"/>
                      <w:szCs w:val="21"/>
                    </w:rPr>
                    <w:t>7</w:t>
                  </w:r>
                </w:p>
              </w:tc>
              <w:tc>
                <w:tcPr>
                  <w:tcW w:w="776" w:type="dxa"/>
                  <w:vAlign w:val="center"/>
                </w:tcPr>
                <w:p w14:paraId="6A92C3C8">
                  <w:pPr>
                    <w:jc w:val="center"/>
                    <w:rPr>
                      <w:color w:val="auto"/>
                      <w:kern w:val="0"/>
                      <w:szCs w:val="21"/>
                    </w:rPr>
                  </w:pPr>
                  <w:r>
                    <w:rPr>
                      <w:color w:val="auto"/>
                      <w:kern w:val="0"/>
                      <w:szCs w:val="21"/>
                    </w:rPr>
                    <w:t>自卸汽车</w:t>
                  </w:r>
                </w:p>
              </w:tc>
              <w:tc>
                <w:tcPr>
                  <w:tcW w:w="496" w:type="dxa"/>
                  <w:vAlign w:val="center"/>
                </w:tcPr>
                <w:p w14:paraId="1B6DC572">
                  <w:pPr>
                    <w:pStyle w:val="92"/>
                    <w:widowControl w:val="0"/>
                    <w:rPr>
                      <w:color w:val="auto"/>
                      <w:szCs w:val="21"/>
                    </w:rPr>
                  </w:pPr>
                  <w:r>
                    <w:rPr>
                      <w:color w:val="auto"/>
                      <w:szCs w:val="21"/>
                    </w:rPr>
                    <w:t>95</w:t>
                  </w:r>
                </w:p>
              </w:tc>
              <w:tc>
                <w:tcPr>
                  <w:tcW w:w="455" w:type="dxa"/>
                  <w:vAlign w:val="center"/>
                </w:tcPr>
                <w:p w14:paraId="5D3C6E92">
                  <w:pPr>
                    <w:snapToGrid w:val="0"/>
                    <w:jc w:val="center"/>
                    <w:rPr>
                      <w:bCs/>
                      <w:color w:val="auto"/>
                      <w:szCs w:val="21"/>
                    </w:rPr>
                  </w:pPr>
                  <w:r>
                    <w:rPr>
                      <w:rFonts w:hint="eastAsia"/>
                      <w:bCs/>
                      <w:color w:val="auto"/>
                      <w:szCs w:val="21"/>
                    </w:rPr>
                    <w:t>81</w:t>
                  </w:r>
                </w:p>
              </w:tc>
              <w:tc>
                <w:tcPr>
                  <w:tcW w:w="549" w:type="dxa"/>
                  <w:vAlign w:val="center"/>
                </w:tcPr>
                <w:p w14:paraId="726AADCE">
                  <w:pPr>
                    <w:snapToGrid w:val="0"/>
                    <w:jc w:val="center"/>
                    <w:rPr>
                      <w:bCs/>
                      <w:color w:val="auto"/>
                      <w:szCs w:val="21"/>
                    </w:rPr>
                  </w:pPr>
                  <w:r>
                    <w:rPr>
                      <w:rFonts w:hint="eastAsia"/>
                      <w:bCs/>
                      <w:color w:val="auto"/>
                      <w:szCs w:val="21"/>
                    </w:rPr>
                    <w:t>75</w:t>
                  </w:r>
                </w:p>
              </w:tc>
              <w:tc>
                <w:tcPr>
                  <w:tcW w:w="549" w:type="dxa"/>
                  <w:vAlign w:val="center"/>
                </w:tcPr>
                <w:p w14:paraId="019A9EB7">
                  <w:pPr>
                    <w:snapToGrid w:val="0"/>
                    <w:jc w:val="center"/>
                    <w:rPr>
                      <w:bCs/>
                      <w:color w:val="auto"/>
                      <w:szCs w:val="21"/>
                    </w:rPr>
                  </w:pPr>
                  <w:r>
                    <w:rPr>
                      <w:rFonts w:hint="eastAsia"/>
                      <w:bCs/>
                      <w:color w:val="auto"/>
                      <w:szCs w:val="21"/>
                    </w:rPr>
                    <w:t>68</w:t>
                  </w:r>
                </w:p>
              </w:tc>
              <w:tc>
                <w:tcPr>
                  <w:tcW w:w="549" w:type="dxa"/>
                  <w:vAlign w:val="center"/>
                </w:tcPr>
                <w:p w14:paraId="23C79518">
                  <w:pPr>
                    <w:snapToGrid w:val="0"/>
                    <w:jc w:val="center"/>
                    <w:rPr>
                      <w:bCs/>
                      <w:color w:val="auto"/>
                      <w:szCs w:val="21"/>
                    </w:rPr>
                  </w:pPr>
                  <w:r>
                    <w:rPr>
                      <w:rFonts w:hint="eastAsia"/>
                      <w:bCs/>
                      <w:color w:val="auto"/>
                      <w:szCs w:val="21"/>
                    </w:rPr>
                    <w:t>65</w:t>
                  </w:r>
                </w:p>
              </w:tc>
              <w:tc>
                <w:tcPr>
                  <w:tcW w:w="549" w:type="dxa"/>
                  <w:vAlign w:val="center"/>
                </w:tcPr>
                <w:p w14:paraId="3AAF7F8E">
                  <w:pPr>
                    <w:snapToGrid w:val="0"/>
                    <w:jc w:val="center"/>
                    <w:rPr>
                      <w:bCs/>
                      <w:color w:val="auto"/>
                      <w:szCs w:val="21"/>
                    </w:rPr>
                  </w:pPr>
                  <w:r>
                    <w:rPr>
                      <w:rFonts w:hint="eastAsia"/>
                      <w:bCs/>
                      <w:color w:val="auto"/>
                      <w:szCs w:val="21"/>
                    </w:rPr>
                    <w:t>62</w:t>
                  </w:r>
                </w:p>
              </w:tc>
              <w:tc>
                <w:tcPr>
                  <w:tcW w:w="549" w:type="dxa"/>
                  <w:vAlign w:val="center"/>
                </w:tcPr>
                <w:p w14:paraId="79BD34A6">
                  <w:pPr>
                    <w:snapToGrid w:val="0"/>
                    <w:jc w:val="center"/>
                    <w:rPr>
                      <w:bCs/>
                      <w:color w:val="auto"/>
                      <w:szCs w:val="21"/>
                    </w:rPr>
                  </w:pPr>
                  <w:r>
                    <w:rPr>
                      <w:rFonts w:hint="eastAsia"/>
                      <w:bCs/>
                      <w:color w:val="auto"/>
                      <w:szCs w:val="21"/>
                    </w:rPr>
                    <w:t>61</w:t>
                  </w:r>
                </w:p>
              </w:tc>
              <w:tc>
                <w:tcPr>
                  <w:tcW w:w="549" w:type="dxa"/>
                  <w:vAlign w:val="center"/>
                </w:tcPr>
                <w:p w14:paraId="6A99C687">
                  <w:pPr>
                    <w:snapToGrid w:val="0"/>
                    <w:jc w:val="center"/>
                    <w:rPr>
                      <w:bCs/>
                      <w:color w:val="auto"/>
                      <w:szCs w:val="21"/>
                    </w:rPr>
                  </w:pPr>
                  <w:r>
                    <w:rPr>
                      <w:rFonts w:hint="eastAsia"/>
                      <w:bCs/>
                      <w:color w:val="auto"/>
                      <w:szCs w:val="21"/>
                    </w:rPr>
                    <w:t>58</w:t>
                  </w:r>
                </w:p>
              </w:tc>
              <w:tc>
                <w:tcPr>
                  <w:tcW w:w="549" w:type="dxa"/>
                  <w:vAlign w:val="center"/>
                </w:tcPr>
                <w:p w14:paraId="28621D8F">
                  <w:pPr>
                    <w:snapToGrid w:val="0"/>
                    <w:jc w:val="center"/>
                    <w:rPr>
                      <w:bCs/>
                      <w:color w:val="auto"/>
                      <w:szCs w:val="21"/>
                    </w:rPr>
                  </w:pPr>
                  <w:r>
                    <w:rPr>
                      <w:rFonts w:hint="eastAsia"/>
                      <w:bCs/>
                      <w:color w:val="auto"/>
                      <w:szCs w:val="21"/>
                    </w:rPr>
                    <w:t>56</w:t>
                  </w:r>
                </w:p>
              </w:tc>
              <w:tc>
                <w:tcPr>
                  <w:tcW w:w="642" w:type="dxa"/>
                  <w:vAlign w:val="center"/>
                </w:tcPr>
                <w:p w14:paraId="5714BBBB">
                  <w:pPr>
                    <w:snapToGrid w:val="0"/>
                    <w:jc w:val="center"/>
                    <w:rPr>
                      <w:bCs/>
                      <w:color w:val="auto"/>
                      <w:szCs w:val="21"/>
                    </w:rPr>
                  </w:pPr>
                  <w:r>
                    <w:rPr>
                      <w:rFonts w:hint="eastAsia"/>
                      <w:bCs/>
                      <w:color w:val="auto"/>
                      <w:szCs w:val="21"/>
                    </w:rPr>
                    <w:t>53</w:t>
                  </w:r>
                </w:p>
              </w:tc>
              <w:tc>
                <w:tcPr>
                  <w:tcW w:w="642" w:type="dxa"/>
                  <w:vAlign w:val="center"/>
                </w:tcPr>
                <w:p w14:paraId="5172EB65">
                  <w:pPr>
                    <w:snapToGrid w:val="0"/>
                    <w:jc w:val="center"/>
                    <w:rPr>
                      <w:bCs/>
                      <w:color w:val="auto"/>
                      <w:szCs w:val="21"/>
                    </w:rPr>
                  </w:pPr>
                  <w:r>
                    <w:rPr>
                      <w:rFonts w:hint="eastAsia"/>
                      <w:bCs/>
                      <w:color w:val="auto"/>
                      <w:szCs w:val="21"/>
                    </w:rPr>
                    <w:t>50</w:t>
                  </w:r>
                </w:p>
              </w:tc>
              <w:tc>
                <w:tcPr>
                  <w:tcW w:w="642" w:type="dxa"/>
                  <w:vAlign w:val="center"/>
                </w:tcPr>
                <w:p w14:paraId="40BD6233">
                  <w:pPr>
                    <w:snapToGrid w:val="0"/>
                    <w:jc w:val="center"/>
                    <w:rPr>
                      <w:bCs/>
                      <w:color w:val="auto"/>
                      <w:szCs w:val="21"/>
                    </w:rPr>
                  </w:pPr>
                  <w:r>
                    <w:rPr>
                      <w:rFonts w:hint="eastAsia"/>
                      <w:bCs/>
                      <w:color w:val="auto"/>
                      <w:szCs w:val="21"/>
                    </w:rPr>
                    <w:t>49</w:t>
                  </w:r>
                </w:p>
              </w:tc>
            </w:tr>
            <w:tr w14:paraId="6DF4DB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4007A2ED">
                  <w:pPr>
                    <w:snapToGrid w:val="0"/>
                    <w:jc w:val="center"/>
                    <w:rPr>
                      <w:bCs/>
                      <w:color w:val="auto"/>
                      <w:szCs w:val="21"/>
                    </w:rPr>
                  </w:pPr>
                  <w:r>
                    <w:rPr>
                      <w:rFonts w:hint="eastAsia"/>
                      <w:bCs/>
                      <w:color w:val="auto"/>
                      <w:szCs w:val="21"/>
                    </w:rPr>
                    <w:t>8</w:t>
                  </w:r>
                </w:p>
              </w:tc>
              <w:tc>
                <w:tcPr>
                  <w:tcW w:w="776" w:type="dxa"/>
                  <w:vAlign w:val="center"/>
                </w:tcPr>
                <w:p w14:paraId="0002274F">
                  <w:pPr>
                    <w:jc w:val="center"/>
                    <w:rPr>
                      <w:color w:val="auto"/>
                      <w:kern w:val="0"/>
                      <w:szCs w:val="21"/>
                    </w:rPr>
                  </w:pPr>
                  <w:r>
                    <w:rPr>
                      <w:color w:val="auto"/>
                      <w:kern w:val="0"/>
                      <w:szCs w:val="21"/>
                    </w:rPr>
                    <w:t>载重汽车</w:t>
                  </w:r>
                </w:p>
              </w:tc>
              <w:tc>
                <w:tcPr>
                  <w:tcW w:w="496" w:type="dxa"/>
                  <w:vAlign w:val="center"/>
                </w:tcPr>
                <w:p w14:paraId="6DAAA091">
                  <w:pPr>
                    <w:adjustRightInd w:val="0"/>
                    <w:jc w:val="center"/>
                    <w:rPr>
                      <w:color w:val="auto"/>
                      <w:szCs w:val="21"/>
                    </w:rPr>
                  </w:pPr>
                  <w:r>
                    <w:rPr>
                      <w:color w:val="auto"/>
                      <w:szCs w:val="21"/>
                    </w:rPr>
                    <w:t>96</w:t>
                  </w:r>
                </w:p>
              </w:tc>
              <w:tc>
                <w:tcPr>
                  <w:tcW w:w="455" w:type="dxa"/>
                  <w:vAlign w:val="center"/>
                </w:tcPr>
                <w:p w14:paraId="45DED496">
                  <w:pPr>
                    <w:snapToGrid w:val="0"/>
                    <w:jc w:val="center"/>
                    <w:rPr>
                      <w:bCs/>
                      <w:color w:val="auto"/>
                      <w:szCs w:val="21"/>
                    </w:rPr>
                  </w:pPr>
                  <w:r>
                    <w:rPr>
                      <w:rFonts w:hint="eastAsia"/>
                      <w:bCs/>
                      <w:color w:val="auto"/>
                      <w:szCs w:val="21"/>
                    </w:rPr>
                    <w:t>82</w:t>
                  </w:r>
                </w:p>
              </w:tc>
              <w:tc>
                <w:tcPr>
                  <w:tcW w:w="549" w:type="dxa"/>
                  <w:vAlign w:val="center"/>
                </w:tcPr>
                <w:p w14:paraId="108E5423">
                  <w:pPr>
                    <w:snapToGrid w:val="0"/>
                    <w:jc w:val="center"/>
                    <w:rPr>
                      <w:bCs/>
                      <w:color w:val="auto"/>
                      <w:szCs w:val="21"/>
                    </w:rPr>
                  </w:pPr>
                  <w:r>
                    <w:rPr>
                      <w:rFonts w:hint="eastAsia"/>
                      <w:bCs/>
                      <w:color w:val="auto"/>
                      <w:szCs w:val="21"/>
                    </w:rPr>
                    <w:t>76</w:t>
                  </w:r>
                </w:p>
              </w:tc>
              <w:tc>
                <w:tcPr>
                  <w:tcW w:w="549" w:type="dxa"/>
                  <w:vAlign w:val="center"/>
                </w:tcPr>
                <w:p w14:paraId="3F3E8DCB">
                  <w:pPr>
                    <w:snapToGrid w:val="0"/>
                    <w:jc w:val="center"/>
                    <w:rPr>
                      <w:bCs/>
                      <w:color w:val="auto"/>
                      <w:szCs w:val="21"/>
                    </w:rPr>
                  </w:pPr>
                  <w:r>
                    <w:rPr>
                      <w:rFonts w:hint="eastAsia"/>
                      <w:bCs/>
                      <w:color w:val="auto"/>
                      <w:szCs w:val="21"/>
                    </w:rPr>
                    <w:t>70</w:t>
                  </w:r>
                </w:p>
              </w:tc>
              <w:tc>
                <w:tcPr>
                  <w:tcW w:w="549" w:type="dxa"/>
                  <w:vAlign w:val="center"/>
                </w:tcPr>
                <w:p w14:paraId="5DD27EBC">
                  <w:pPr>
                    <w:snapToGrid w:val="0"/>
                    <w:jc w:val="center"/>
                    <w:rPr>
                      <w:bCs/>
                      <w:color w:val="auto"/>
                      <w:szCs w:val="21"/>
                    </w:rPr>
                  </w:pPr>
                  <w:r>
                    <w:rPr>
                      <w:rFonts w:hint="eastAsia"/>
                      <w:bCs/>
                      <w:color w:val="auto"/>
                      <w:szCs w:val="21"/>
                    </w:rPr>
                    <w:t>66</w:t>
                  </w:r>
                </w:p>
              </w:tc>
              <w:tc>
                <w:tcPr>
                  <w:tcW w:w="549" w:type="dxa"/>
                  <w:vAlign w:val="center"/>
                </w:tcPr>
                <w:p w14:paraId="6F54D1E7">
                  <w:pPr>
                    <w:snapToGrid w:val="0"/>
                    <w:jc w:val="center"/>
                    <w:rPr>
                      <w:bCs/>
                      <w:color w:val="auto"/>
                      <w:szCs w:val="21"/>
                    </w:rPr>
                  </w:pPr>
                  <w:r>
                    <w:rPr>
                      <w:rFonts w:hint="eastAsia"/>
                      <w:bCs/>
                      <w:color w:val="auto"/>
                      <w:szCs w:val="21"/>
                    </w:rPr>
                    <w:t>63</w:t>
                  </w:r>
                </w:p>
              </w:tc>
              <w:tc>
                <w:tcPr>
                  <w:tcW w:w="549" w:type="dxa"/>
                  <w:vAlign w:val="center"/>
                </w:tcPr>
                <w:p w14:paraId="2405826E">
                  <w:pPr>
                    <w:snapToGrid w:val="0"/>
                    <w:jc w:val="center"/>
                    <w:rPr>
                      <w:bCs/>
                      <w:color w:val="auto"/>
                      <w:szCs w:val="21"/>
                    </w:rPr>
                  </w:pPr>
                  <w:r>
                    <w:rPr>
                      <w:rFonts w:hint="eastAsia"/>
                      <w:bCs/>
                      <w:color w:val="auto"/>
                      <w:szCs w:val="21"/>
                    </w:rPr>
                    <w:t>62</w:t>
                  </w:r>
                </w:p>
              </w:tc>
              <w:tc>
                <w:tcPr>
                  <w:tcW w:w="549" w:type="dxa"/>
                  <w:vAlign w:val="center"/>
                </w:tcPr>
                <w:p w14:paraId="02698504">
                  <w:pPr>
                    <w:snapToGrid w:val="0"/>
                    <w:jc w:val="center"/>
                    <w:rPr>
                      <w:bCs/>
                      <w:color w:val="auto"/>
                      <w:szCs w:val="21"/>
                    </w:rPr>
                  </w:pPr>
                  <w:r>
                    <w:rPr>
                      <w:rFonts w:hint="eastAsia"/>
                      <w:bCs/>
                      <w:color w:val="auto"/>
                      <w:szCs w:val="21"/>
                    </w:rPr>
                    <w:t>59</w:t>
                  </w:r>
                </w:p>
              </w:tc>
              <w:tc>
                <w:tcPr>
                  <w:tcW w:w="549" w:type="dxa"/>
                  <w:vAlign w:val="center"/>
                </w:tcPr>
                <w:p w14:paraId="25208FC5">
                  <w:pPr>
                    <w:snapToGrid w:val="0"/>
                    <w:jc w:val="center"/>
                    <w:rPr>
                      <w:bCs/>
                      <w:color w:val="auto"/>
                      <w:szCs w:val="21"/>
                    </w:rPr>
                  </w:pPr>
                  <w:r>
                    <w:rPr>
                      <w:rFonts w:hint="eastAsia"/>
                      <w:bCs/>
                      <w:color w:val="auto"/>
                      <w:szCs w:val="21"/>
                    </w:rPr>
                    <w:t>56</w:t>
                  </w:r>
                </w:p>
              </w:tc>
              <w:tc>
                <w:tcPr>
                  <w:tcW w:w="642" w:type="dxa"/>
                  <w:vAlign w:val="center"/>
                </w:tcPr>
                <w:p w14:paraId="6D383D93">
                  <w:pPr>
                    <w:snapToGrid w:val="0"/>
                    <w:jc w:val="center"/>
                    <w:rPr>
                      <w:bCs/>
                      <w:color w:val="auto"/>
                      <w:szCs w:val="21"/>
                    </w:rPr>
                  </w:pPr>
                  <w:r>
                    <w:rPr>
                      <w:rFonts w:hint="eastAsia"/>
                      <w:bCs/>
                      <w:color w:val="auto"/>
                      <w:szCs w:val="21"/>
                    </w:rPr>
                    <w:t>54</w:t>
                  </w:r>
                </w:p>
              </w:tc>
              <w:tc>
                <w:tcPr>
                  <w:tcW w:w="642" w:type="dxa"/>
                  <w:vAlign w:val="center"/>
                </w:tcPr>
                <w:p w14:paraId="219F2C69">
                  <w:pPr>
                    <w:snapToGrid w:val="0"/>
                    <w:jc w:val="center"/>
                    <w:rPr>
                      <w:bCs/>
                      <w:color w:val="auto"/>
                      <w:szCs w:val="21"/>
                    </w:rPr>
                  </w:pPr>
                  <w:r>
                    <w:rPr>
                      <w:rFonts w:hint="eastAsia"/>
                      <w:bCs/>
                      <w:color w:val="auto"/>
                      <w:szCs w:val="21"/>
                    </w:rPr>
                    <w:t>51</w:t>
                  </w:r>
                </w:p>
              </w:tc>
              <w:tc>
                <w:tcPr>
                  <w:tcW w:w="642" w:type="dxa"/>
                  <w:vAlign w:val="center"/>
                </w:tcPr>
                <w:p w14:paraId="7277834B">
                  <w:pPr>
                    <w:snapToGrid w:val="0"/>
                    <w:jc w:val="center"/>
                    <w:rPr>
                      <w:bCs/>
                      <w:color w:val="auto"/>
                      <w:szCs w:val="21"/>
                    </w:rPr>
                  </w:pPr>
                  <w:r>
                    <w:rPr>
                      <w:rFonts w:hint="eastAsia"/>
                      <w:bCs/>
                      <w:color w:val="auto"/>
                      <w:szCs w:val="21"/>
                    </w:rPr>
                    <w:t>50</w:t>
                  </w:r>
                </w:p>
              </w:tc>
            </w:tr>
            <w:tr w14:paraId="09720F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65982550">
                  <w:pPr>
                    <w:snapToGrid w:val="0"/>
                    <w:jc w:val="center"/>
                    <w:rPr>
                      <w:bCs/>
                      <w:color w:val="auto"/>
                      <w:szCs w:val="21"/>
                    </w:rPr>
                  </w:pPr>
                  <w:r>
                    <w:rPr>
                      <w:rFonts w:hint="eastAsia"/>
                      <w:bCs/>
                      <w:color w:val="auto"/>
                      <w:szCs w:val="21"/>
                    </w:rPr>
                    <w:t>9</w:t>
                  </w:r>
                </w:p>
              </w:tc>
              <w:tc>
                <w:tcPr>
                  <w:tcW w:w="776" w:type="dxa"/>
                  <w:vAlign w:val="center"/>
                </w:tcPr>
                <w:p w14:paraId="18DC4D99">
                  <w:pPr>
                    <w:jc w:val="center"/>
                    <w:rPr>
                      <w:color w:val="auto"/>
                      <w:kern w:val="0"/>
                      <w:szCs w:val="21"/>
                    </w:rPr>
                  </w:pPr>
                  <w:r>
                    <w:rPr>
                      <w:color w:val="auto"/>
                      <w:kern w:val="0"/>
                      <w:szCs w:val="21"/>
                    </w:rPr>
                    <w:t>钢筋弯曲机</w:t>
                  </w:r>
                </w:p>
              </w:tc>
              <w:tc>
                <w:tcPr>
                  <w:tcW w:w="496" w:type="dxa"/>
                  <w:vAlign w:val="center"/>
                </w:tcPr>
                <w:p w14:paraId="5699B0C3">
                  <w:pPr>
                    <w:pStyle w:val="92"/>
                    <w:widowControl w:val="0"/>
                    <w:rPr>
                      <w:color w:val="auto"/>
                      <w:szCs w:val="21"/>
                    </w:rPr>
                  </w:pPr>
                  <w:r>
                    <w:rPr>
                      <w:color w:val="auto"/>
                      <w:szCs w:val="21"/>
                    </w:rPr>
                    <w:t>85</w:t>
                  </w:r>
                </w:p>
              </w:tc>
              <w:tc>
                <w:tcPr>
                  <w:tcW w:w="455" w:type="dxa"/>
                  <w:vAlign w:val="center"/>
                </w:tcPr>
                <w:p w14:paraId="611EFBEF">
                  <w:pPr>
                    <w:snapToGrid w:val="0"/>
                    <w:jc w:val="center"/>
                    <w:rPr>
                      <w:bCs/>
                      <w:color w:val="auto"/>
                      <w:szCs w:val="21"/>
                    </w:rPr>
                  </w:pPr>
                  <w:r>
                    <w:rPr>
                      <w:rFonts w:hint="eastAsia"/>
                      <w:bCs/>
                      <w:color w:val="auto"/>
                      <w:szCs w:val="21"/>
                    </w:rPr>
                    <w:t>71</w:t>
                  </w:r>
                </w:p>
              </w:tc>
              <w:tc>
                <w:tcPr>
                  <w:tcW w:w="549" w:type="dxa"/>
                  <w:vAlign w:val="center"/>
                </w:tcPr>
                <w:p w14:paraId="7CB3EA85">
                  <w:pPr>
                    <w:snapToGrid w:val="0"/>
                    <w:jc w:val="center"/>
                    <w:rPr>
                      <w:bCs/>
                      <w:color w:val="auto"/>
                      <w:szCs w:val="21"/>
                    </w:rPr>
                  </w:pPr>
                  <w:r>
                    <w:rPr>
                      <w:rFonts w:hint="eastAsia"/>
                      <w:bCs/>
                      <w:color w:val="auto"/>
                      <w:szCs w:val="21"/>
                    </w:rPr>
                    <w:t>65</w:t>
                  </w:r>
                </w:p>
              </w:tc>
              <w:tc>
                <w:tcPr>
                  <w:tcW w:w="549" w:type="dxa"/>
                  <w:vAlign w:val="center"/>
                </w:tcPr>
                <w:p w14:paraId="1D38E355">
                  <w:pPr>
                    <w:snapToGrid w:val="0"/>
                    <w:jc w:val="center"/>
                    <w:rPr>
                      <w:bCs/>
                      <w:color w:val="auto"/>
                      <w:szCs w:val="21"/>
                    </w:rPr>
                  </w:pPr>
                  <w:r>
                    <w:rPr>
                      <w:rFonts w:hint="eastAsia"/>
                      <w:bCs/>
                      <w:color w:val="auto"/>
                      <w:szCs w:val="21"/>
                    </w:rPr>
                    <w:t>59</w:t>
                  </w:r>
                </w:p>
              </w:tc>
              <w:tc>
                <w:tcPr>
                  <w:tcW w:w="549" w:type="dxa"/>
                  <w:vAlign w:val="center"/>
                </w:tcPr>
                <w:p w14:paraId="2A7606D3">
                  <w:pPr>
                    <w:snapToGrid w:val="0"/>
                    <w:jc w:val="center"/>
                    <w:rPr>
                      <w:bCs/>
                      <w:color w:val="auto"/>
                      <w:szCs w:val="21"/>
                    </w:rPr>
                  </w:pPr>
                  <w:r>
                    <w:rPr>
                      <w:rFonts w:hint="eastAsia"/>
                      <w:bCs/>
                      <w:color w:val="auto"/>
                      <w:szCs w:val="21"/>
                    </w:rPr>
                    <w:t>55</w:t>
                  </w:r>
                </w:p>
              </w:tc>
              <w:tc>
                <w:tcPr>
                  <w:tcW w:w="549" w:type="dxa"/>
                  <w:vAlign w:val="center"/>
                </w:tcPr>
                <w:p w14:paraId="0CF0A96B">
                  <w:pPr>
                    <w:snapToGrid w:val="0"/>
                    <w:jc w:val="center"/>
                    <w:rPr>
                      <w:bCs/>
                      <w:color w:val="auto"/>
                      <w:szCs w:val="21"/>
                    </w:rPr>
                  </w:pPr>
                  <w:r>
                    <w:rPr>
                      <w:rFonts w:hint="eastAsia"/>
                      <w:bCs/>
                      <w:color w:val="auto"/>
                      <w:szCs w:val="21"/>
                    </w:rPr>
                    <w:t>53</w:t>
                  </w:r>
                </w:p>
              </w:tc>
              <w:tc>
                <w:tcPr>
                  <w:tcW w:w="549" w:type="dxa"/>
                  <w:vAlign w:val="center"/>
                </w:tcPr>
                <w:p w14:paraId="07A01C68">
                  <w:pPr>
                    <w:snapToGrid w:val="0"/>
                    <w:jc w:val="center"/>
                    <w:rPr>
                      <w:bCs/>
                      <w:color w:val="auto"/>
                      <w:szCs w:val="21"/>
                    </w:rPr>
                  </w:pPr>
                  <w:r>
                    <w:rPr>
                      <w:rFonts w:hint="eastAsia"/>
                      <w:bCs/>
                      <w:color w:val="auto"/>
                      <w:szCs w:val="21"/>
                    </w:rPr>
                    <w:t>51</w:t>
                  </w:r>
                </w:p>
              </w:tc>
              <w:tc>
                <w:tcPr>
                  <w:tcW w:w="549" w:type="dxa"/>
                  <w:vAlign w:val="center"/>
                </w:tcPr>
                <w:p w14:paraId="246E6D8B">
                  <w:pPr>
                    <w:snapToGrid w:val="0"/>
                    <w:jc w:val="center"/>
                    <w:rPr>
                      <w:bCs/>
                      <w:color w:val="auto"/>
                      <w:szCs w:val="21"/>
                    </w:rPr>
                  </w:pPr>
                  <w:r>
                    <w:rPr>
                      <w:rFonts w:hint="eastAsia"/>
                      <w:bCs/>
                      <w:color w:val="auto"/>
                      <w:szCs w:val="21"/>
                    </w:rPr>
                    <w:t>48</w:t>
                  </w:r>
                </w:p>
              </w:tc>
              <w:tc>
                <w:tcPr>
                  <w:tcW w:w="549" w:type="dxa"/>
                  <w:vAlign w:val="center"/>
                </w:tcPr>
                <w:p w14:paraId="3B6D23F8">
                  <w:pPr>
                    <w:snapToGrid w:val="0"/>
                    <w:jc w:val="center"/>
                    <w:rPr>
                      <w:bCs/>
                      <w:color w:val="auto"/>
                      <w:szCs w:val="21"/>
                    </w:rPr>
                  </w:pPr>
                  <w:r>
                    <w:rPr>
                      <w:rFonts w:hint="eastAsia"/>
                      <w:bCs/>
                      <w:color w:val="auto"/>
                      <w:szCs w:val="21"/>
                    </w:rPr>
                    <w:t>46</w:t>
                  </w:r>
                </w:p>
              </w:tc>
              <w:tc>
                <w:tcPr>
                  <w:tcW w:w="642" w:type="dxa"/>
                  <w:vAlign w:val="center"/>
                </w:tcPr>
                <w:p w14:paraId="6509BCF4">
                  <w:pPr>
                    <w:snapToGrid w:val="0"/>
                    <w:jc w:val="center"/>
                    <w:rPr>
                      <w:bCs/>
                      <w:color w:val="auto"/>
                      <w:szCs w:val="21"/>
                    </w:rPr>
                  </w:pPr>
                  <w:r>
                    <w:rPr>
                      <w:rFonts w:hint="eastAsia"/>
                      <w:bCs/>
                      <w:color w:val="auto"/>
                      <w:szCs w:val="21"/>
                    </w:rPr>
                    <w:t>43</w:t>
                  </w:r>
                </w:p>
              </w:tc>
              <w:tc>
                <w:tcPr>
                  <w:tcW w:w="642" w:type="dxa"/>
                  <w:vAlign w:val="center"/>
                </w:tcPr>
                <w:p w14:paraId="41A2D101">
                  <w:pPr>
                    <w:snapToGrid w:val="0"/>
                    <w:jc w:val="center"/>
                    <w:rPr>
                      <w:bCs/>
                      <w:color w:val="auto"/>
                      <w:szCs w:val="21"/>
                    </w:rPr>
                  </w:pPr>
                  <w:r>
                    <w:rPr>
                      <w:rFonts w:hint="eastAsia"/>
                      <w:bCs/>
                      <w:color w:val="auto"/>
                      <w:szCs w:val="21"/>
                    </w:rPr>
                    <w:t>40</w:t>
                  </w:r>
                </w:p>
              </w:tc>
              <w:tc>
                <w:tcPr>
                  <w:tcW w:w="642" w:type="dxa"/>
                  <w:vAlign w:val="center"/>
                </w:tcPr>
                <w:p w14:paraId="1E38F094">
                  <w:pPr>
                    <w:snapToGrid w:val="0"/>
                    <w:jc w:val="center"/>
                    <w:rPr>
                      <w:bCs/>
                      <w:color w:val="auto"/>
                      <w:szCs w:val="21"/>
                    </w:rPr>
                  </w:pPr>
                  <w:r>
                    <w:rPr>
                      <w:rFonts w:hint="eastAsia"/>
                      <w:bCs/>
                      <w:color w:val="auto"/>
                      <w:szCs w:val="21"/>
                    </w:rPr>
                    <w:t>39</w:t>
                  </w:r>
                </w:p>
              </w:tc>
            </w:tr>
            <w:tr w14:paraId="46908D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77D2CBC7">
                  <w:pPr>
                    <w:snapToGrid w:val="0"/>
                    <w:jc w:val="center"/>
                    <w:rPr>
                      <w:bCs/>
                      <w:color w:val="auto"/>
                      <w:szCs w:val="21"/>
                    </w:rPr>
                  </w:pPr>
                  <w:r>
                    <w:rPr>
                      <w:rFonts w:hint="eastAsia"/>
                      <w:bCs/>
                      <w:color w:val="auto"/>
                      <w:szCs w:val="21"/>
                    </w:rPr>
                    <w:t>10</w:t>
                  </w:r>
                </w:p>
              </w:tc>
              <w:tc>
                <w:tcPr>
                  <w:tcW w:w="776" w:type="dxa"/>
                  <w:vAlign w:val="center"/>
                </w:tcPr>
                <w:p w14:paraId="6CE096BD">
                  <w:pPr>
                    <w:jc w:val="center"/>
                    <w:rPr>
                      <w:color w:val="auto"/>
                      <w:kern w:val="0"/>
                      <w:szCs w:val="21"/>
                    </w:rPr>
                  </w:pPr>
                  <w:r>
                    <w:rPr>
                      <w:color w:val="auto"/>
                      <w:kern w:val="0"/>
                      <w:szCs w:val="21"/>
                    </w:rPr>
                    <w:t>钢筋切断机</w:t>
                  </w:r>
                </w:p>
              </w:tc>
              <w:tc>
                <w:tcPr>
                  <w:tcW w:w="496" w:type="dxa"/>
                  <w:vAlign w:val="center"/>
                </w:tcPr>
                <w:p w14:paraId="7F03BDD4">
                  <w:pPr>
                    <w:pStyle w:val="92"/>
                    <w:widowControl w:val="0"/>
                    <w:rPr>
                      <w:color w:val="auto"/>
                      <w:szCs w:val="21"/>
                    </w:rPr>
                  </w:pPr>
                  <w:r>
                    <w:rPr>
                      <w:color w:val="auto"/>
                      <w:szCs w:val="21"/>
                    </w:rPr>
                    <w:t>95</w:t>
                  </w:r>
                </w:p>
              </w:tc>
              <w:tc>
                <w:tcPr>
                  <w:tcW w:w="455" w:type="dxa"/>
                  <w:vAlign w:val="center"/>
                </w:tcPr>
                <w:p w14:paraId="4D9660E1">
                  <w:pPr>
                    <w:snapToGrid w:val="0"/>
                    <w:jc w:val="center"/>
                    <w:rPr>
                      <w:bCs/>
                      <w:color w:val="auto"/>
                      <w:szCs w:val="21"/>
                    </w:rPr>
                  </w:pPr>
                  <w:r>
                    <w:rPr>
                      <w:rFonts w:hint="eastAsia"/>
                      <w:bCs/>
                      <w:color w:val="auto"/>
                      <w:szCs w:val="21"/>
                    </w:rPr>
                    <w:t>81</w:t>
                  </w:r>
                </w:p>
              </w:tc>
              <w:tc>
                <w:tcPr>
                  <w:tcW w:w="549" w:type="dxa"/>
                  <w:vAlign w:val="center"/>
                </w:tcPr>
                <w:p w14:paraId="1D0F831D">
                  <w:pPr>
                    <w:snapToGrid w:val="0"/>
                    <w:jc w:val="center"/>
                    <w:rPr>
                      <w:bCs/>
                      <w:color w:val="auto"/>
                      <w:szCs w:val="21"/>
                    </w:rPr>
                  </w:pPr>
                  <w:r>
                    <w:rPr>
                      <w:rFonts w:hint="eastAsia"/>
                      <w:bCs/>
                      <w:color w:val="auto"/>
                      <w:szCs w:val="21"/>
                    </w:rPr>
                    <w:t>75</w:t>
                  </w:r>
                </w:p>
              </w:tc>
              <w:tc>
                <w:tcPr>
                  <w:tcW w:w="549" w:type="dxa"/>
                  <w:vAlign w:val="center"/>
                </w:tcPr>
                <w:p w14:paraId="7725AE2C">
                  <w:pPr>
                    <w:snapToGrid w:val="0"/>
                    <w:jc w:val="center"/>
                    <w:rPr>
                      <w:bCs/>
                      <w:color w:val="auto"/>
                      <w:szCs w:val="21"/>
                    </w:rPr>
                  </w:pPr>
                  <w:r>
                    <w:rPr>
                      <w:rFonts w:hint="eastAsia"/>
                      <w:bCs/>
                      <w:color w:val="auto"/>
                      <w:szCs w:val="21"/>
                    </w:rPr>
                    <w:t>68</w:t>
                  </w:r>
                </w:p>
              </w:tc>
              <w:tc>
                <w:tcPr>
                  <w:tcW w:w="549" w:type="dxa"/>
                  <w:vAlign w:val="center"/>
                </w:tcPr>
                <w:p w14:paraId="7B97C87D">
                  <w:pPr>
                    <w:snapToGrid w:val="0"/>
                    <w:jc w:val="center"/>
                    <w:rPr>
                      <w:bCs/>
                      <w:color w:val="auto"/>
                      <w:szCs w:val="21"/>
                    </w:rPr>
                  </w:pPr>
                  <w:r>
                    <w:rPr>
                      <w:rFonts w:hint="eastAsia"/>
                      <w:bCs/>
                      <w:color w:val="auto"/>
                      <w:szCs w:val="21"/>
                    </w:rPr>
                    <w:t>65</w:t>
                  </w:r>
                </w:p>
              </w:tc>
              <w:tc>
                <w:tcPr>
                  <w:tcW w:w="549" w:type="dxa"/>
                  <w:vAlign w:val="center"/>
                </w:tcPr>
                <w:p w14:paraId="08F36304">
                  <w:pPr>
                    <w:snapToGrid w:val="0"/>
                    <w:jc w:val="center"/>
                    <w:rPr>
                      <w:bCs/>
                      <w:color w:val="auto"/>
                      <w:szCs w:val="21"/>
                    </w:rPr>
                  </w:pPr>
                  <w:r>
                    <w:rPr>
                      <w:rFonts w:hint="eastAsia"/>
                      <w:bCs/>
                      <w:color w:val="auto"/>
                      <w:szCs w:val="21"/>
                    </w:rPr>
                    <w:t>62</w:t>
                  </w:r>
                </w:p>
              </w:tc>
              <w:tc>
                <w:tcPr>
                  <w:tcW w:w="549" w:type="dxa"/>
                  <w:vAlign w:val="center"/>
                </w:tcPr>
                <w:p w14:paraId="7C2A50D0">
                  <w:pPr>
                    <w:snapToGrid w:val="0"/>
                    <w:jc w:val="center"/>
                    <w:rPr>
                      <w:bCs/>
                      <w:color w:val="auto"/>
                      <w:szCs w:val="21"/>
                    </w:rPr>
                  </w:pPr>
                  <w:r>
                    <w:rPr>
                      <w:rFonts w:hint="eastAsia"/>
                      <w:bCs/>
                      <w:color w:val="auto"/>
                      <w:szCs w:val="21"/>
                    </w:rPr>
                    <w:t>61</w:t>
                  </w:r>
                </w:p>
              </w:tc>
              <w:tc>
                <w:tcPr>
                  <w:tcW w:w="549" w:type="dxa"/>
                  <w:vAlign w:val="center"/>
                </w:tcPr>
                <w:p w14:paraId="7E6B3CE3">
                  <w:pPr>
                    <w:snapToGrid w:val="0"/>
                    <w:jc w:val="center"/>
                    <w:rPr>
                      <w:bCs/>
                      <w:color w:val="auto"/>
                      <w:szCs w:val="21"/>
                    </w:rPr>
                  </w:pPr>
                  <w:r>
                    <w:rPr>
                      <w:rFonts w:hint="eastAsia"/>
                      <w:bCs/>
                      <w:color w:val="auto"/>
                      <w:szCs w:val="21"/>
                    </w:rPr>
                    <w:t>58</w:t>
                  </w:r>
                </w:p>
              </w:tc>
              <w:tc>
                <w:tcPr>
                  <w:tcW w:w="549" w:type="dxa"/>
                  <w:vAlign w:val="center"/>
                </w:tcPr>
                <w:p w14:paraId="730BBE15">
                  <w:pPr>
                    <w:snapToGrid w:val="0"/>
                    <w:jc w:val="center"/>
                    <w:rPr>
                      <w:bCs/>
                      <w:color w:val="auto"/>
                      <w:szCs w:val="21"/>
                    </w:rPr>
                  </w:pPr>
                  <w:r>
                    <w:rPr>
                      <w:rFonts w:hint="eastAsia"/>
                      <w:bCs/>
                      <w:color w:val="auto"/>
                      <w:szCs w:val="21"/>
                    </w:rPr>
                    <w:t>56</w:t>
                  </w:r>
                </w:p>
              </w:tc>
              <w:tc>
                <w:tcPr>
                  <w:tcW w:w="642" w:type="dxa"/>
                  <w:vAlign w:val="center"/>
                </w:tcPr>
                <w:p w14:paraId="248821F1">
                  <w:pPr>
                    <w:snapToGrid w:val="0"/>
                    <w:jc w:val="center"/>
                    <w:rPr>
                      <w:bCs/>
                      <w:color w:val="auto"/>
                      <w:szCs w:val="21"/>
                    </w:rPr>
                  </w:pPr>
                  <w:r>
                    <w:rPr>
                      <w:rFonts w:hint="eastAsia"/>
                      <w:bCs/>
                      <w:color w:val="auto"/>
                      <w:szCs w:val="21"/>
                    </w:rPr>
                    <w:t>53</w:t>
                  </w:r>
                </w:p>
              </w:tc>
              <w:tc>
                <w:tcPr>
                  <w:tcW w:w="642" w:type="dxa"/>
                  <w:vAlign w:val="center"/>
                </w:tcPr>
                <w:p w14:paraId="158AED33">
                  <w:pPr>
                    <w:snapToGrid w:val="0"/>
                    <w:jc w:val="center"/>
                    <w:rPr>
                      <w:bCs/>
                      <w:color w:val="auto"/>
                      <w:szCs w:val="21"/>
                    </w:rPr>
                  </w:pPr>
                  <w:r>
                    <w:rPr>
                      <w:rFonts w:hint="eastAsia"/>
                      <w:bCs/>
                      <w:color w:val="auto"/>
                      <w:szCs w:val="21"/>
                    </w:rPr>
                    <w:t>50</w:t>
                  </w:r>
                </w:p>
              </w:tc>
              <w:tc>
                <w:tcPr>
                  <w:tcW w:w="642" w:type="dxa"/>
                  <w:vAlign w:val="center"/>
                </w:tcPr>
                <w:p w14:paraId="0DBA7E6B">
                  <w:pPr>
                    <w:snapToGrid w:val="0"/>
                    <w:jc w:val="center"/>
                    <w:rPr>
                      <w:bCs/>
                      <w:color w:val="auto"/>
                      <w:szCs w:val="21"/>
                    </w:rPr>
                  </w:pPr>
                  <w:r>
                    <w:rPr>
                      <w:rFonts w:hint="eastAsia"/>
                      <w:bCs/>
                      <w:color w:val="auto"/>
                      <w:szCs w:val="21"/>
                    </w:rPr>
                    <w:t>49</w:t>
                  </w:r>
                </w:p>
              </w:tc>
            </w:tr>
            <w:tr w14:paraId="7C6610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32A00E17">
                  <w:pPr>
                    <w:snapToGrid w:val="0"/>
                    <w:jc w:val="center"/>
                    <w:rPr>
                      <w:bCs/>
                      <w:color w:val="auto"/>
                      <w:szCs w:val="21"/>
                    </w:rPr>
                  </w:pPr>
                  <w:r>
                    <w:rPr>
                      <w:rFonts w:hint="eastAsia"/>
                      <w:bCs/>
                      <w:color w:val="auto"/>
                      <w:szCs w:val="21"/>
                    </w:rPr>
                    <w:t>11</w:t>
                  </w:r>
                </w:p>
              </w:tc>
              <w:tc>
                <w:tcPr>
                  <w:tcW w:w="776" w:type="dxa"/>
                  <w:vAlign w:val="center"/>
                </w:tcPr>
                <w:p w14:paraId="41494CEA">
                  <w:pPr>
                    <w:jc w:val="center"/>
                    <w:rPr>
                      <w:color w:val="auto"/>
                      <w:kern w:val="0"/>
                      <w:szCs w:val="21"/>
                    </w:rPr>
                  </w:pPr>
                  <w:r>
                    <w:rPr>
                      <w:color w:val="auto"/>
                      <w:kern w:val="0"/>
                      <w:szCs w:val="21"/>
                    </w:rPr>
                    <w:t>汽车起重机</w:t>
                  </w:r>
                </w:p>
              </w:tc>
              <w:tc>
                <w:tcPr>
                  <w:tcW w:w="496" w:type="dxa"/>
                  <w:vAlign w:val="center"/>
                </w:tcPr>
                <w:p w14:paraId="34188E91">
                  <w:pPr>
                    <w:adjustRightInd w:val="0"/>
                    <w:jc w:val="center"/>
                    <w:rPr>
                      <w:color w:val="auto"/>
                      <w:szCs w:val="21"/>
                    </w:rPr>
                  </w:pPr>
                  <w:r>
                    <w:rPr>
                      <w:color w:val="auto"/>
                      <w:szCs w:val="21"/>
                    </w:rPr>
                    <w:t>96</w:t>
                  </w:r>
                </w:p>
              </w:tc>
              <w:tc>
                <w:tcPr>
                  <w:tcW w:w="455" w:type="dxa"/>
                  <w:vAlign w:val="center"/>
                </w:tcPr>
                <w:p w14:paraId="2D22172F">
                  <w:pPr>
                    <w:snapToGrid w:val="0"/>
                    <w:jc w:val="center"/>
                    <w:rPr>
                      <w:bCs/>
                      <w:color w:val="auto"/>
                      <w:szCs w:val="21"/>
                    </w:rPr>
                  </w:pPr>
                  <w:r>
                    <w:rPr>
                      <w:rFonts w:hint="eastAsia"/>
                      <w:bCs/>
                      <w:color w:val="auto"/>
                      <w:szCs w:val="21"/>
                    </w:rPr>
                    <w:t>82</w:t>
                  </w:r>
                </w:p>
              </w:tc>
              <w:tc>
                <w:tcPr>
                  <w:tcW w:w="549" w:type="dxa"/>
                  <w:vAlign w:val="center"/>
                </w:tcPr>
                <w:p w14:paraId="0FE03CFF">
                  <w:pPr>
                    <w:snapToGrid w:val="0"/>
                    <w:jc w:val="center"/>
                    <w:rPr>
                      <w:bCs/>
                      <w:color w:val="auto"/>
                      <w:szCs w:val="21"/>
                    </w:rPr>
                  </w:pPr>
                  <w:r>
                    <w:rPr>
                      <w:rFonts w:hint="eastAsia"/>
                      <w:bCs/>
                      <w:color w:val="auto"/>
                      <w:szCs w:val="21"/>
                    </w:rPr>
                    <w:t>76</w:t>
                  </w:r>
                </w:p>
              </w:tc>
              <w:tc>
                <w:tcPr>
                  <w:tcW w:w="549" w:type="dxa"/>
                  <w:vAlign w:val="center"/>
                </w:tcPr>
                <w:p w14:paraId="2890AABA">
                  <w:pPr>
                    <w:snapToGrid w:val="0"/>
                    <w:jc w:val="center"/>
                    <w:rPr>
                      <w:bCs/>
                      <w:color w:val="auto"/>
                      <w:szCs w:val="21"/>
                    </w:rPr>
                  </w:pPr>
                  <w:r>
                    <w:rPr>
                      <w:rFonts w:hint="eastAsia"/>
                      <w:bCs/>
                      <w:color w:val="auto"/>
                      <w:szCs w:val="21"/>
                    </w:rPr>
                    <w:t>70</w:t>
                  </w:r>
                </w:p>
              </w:tc>
              <w:tc>
                <w:tcPr>
                  <w:tcW w:w="549" w:type="dxa"/>
                  <w:vAlign w:val="center"/>
                </w:tcPr>
                <w:p w14:paraId="50F25BDD">
                  <w:pPr>
                    <w:snapToGrid w:val="0"/>
                    <w:jc w:val="center"/>
                    <w:rPr>
                      <w:bCs/>
                      <w:color w:val="auto"/>
                      <w:szCs w:val="21"/>
                    </w:rPr>
                  </w:pPr>
                  <w:r>
                    <w:rPr>
                      <w:rFonts w:hint="eastAsia"/>
                      <w:bCs/>
                      <w:color w:val="auto"/>
                      <w:szCs w:val="21"/>
                    </w:rPr>
                    <w:t>66</w:t>
                  </w:r>
                </w:p>
              </w:tc>
              <w:tc>
                <w:tcPr>
                  <w:tcW w:w="549" w:type="dxa"/>
                  <w:vAlign w:val="center"/>
                </w:tcPr>
                <w:p w14:paraId="7CBB1342">
                  <w:pPr>
                    <w:snapToGrid w:val="0"/>
                    <w:jc w:val="center"/>
                    <w:rPr>
                      <w:bCs/>
                      <w:color w:val="auto"/>
                      <w:szCs w:val="21"/>
                    </w:rPr>
                  </w:pPr>
                  <w:r>
                    <w:rPr>
                      <w:rFonts w:hint="eastAsia"/>
                      <w:bCs/>
                      <w:color w:val="auto"/>
                      <w:szCs w:val="21"/>
                    </w:rPr>
                    <w:t>63</w:t>
                  </w:r>
                </w:p>
              </w:tc>
              <w:tc>
                <w:tcPr>
                  <w:tcW w:w="549" w:type="dxa"/>
                  <w:vAlign w:val="center"/>
                </w:tcPr>
                <w:p w14:paraId="2FDED359">
                  <w:pPr>
                    <w:snapToGrid w:val="0"/>
                    <w:jc w:val="center"/>
                    <w:rPr>
                      <w:bCs/>
                      <w:color w:val="auto"/>
                      <w:szCs w:val="21"/>
                    </w:rPr>
                  </w:pPr>
                  <w:r>
                    <w:rPr>
                      <w:rFonts w:hint="eastAsia"/>
                      <w:bCs/>
                      <w:color w:val="auto"/>
                      <w:szCs w:val="21"/>
                    </w:rPr>
                    <w:t>62</w:t>
                  </w:r>
                </w:p>
              </w:tc>
              <w:tc>
                <w:tcPr>
                  <w:tcW w:w="549" w:type="dxa"/>
                  <w:vAlign w:val="center"/>
                </w:tcPr>
                <w:p w14:paraId="125EC74A">
                  <w:pPr>
                    <w:snapToGrid w:val="0"/>
                    <w:jc w:val="center"/>
                    <w:rPr>
                      <w:bCs/>
                      <w:color w:val="auto"/>
                      <w:szCs w:val="21"/>
                    </w:rPr>
                  </w:pPr>
                  <w:r>
                    <w:rPr>
                      <w:rFonts w:hint="eastAsia"/>
                      <w:bCs/>
                      <w:color w:val="auto"/>
                      <w:szCs w:val="21"/>
                    </w:rPr>
                    <w:t>59</w:t>
                  </w:r>
                </w:p>
              </w:tc>
              <w:tc>
                <w:tcPr>
                  <w:tcW w:w="549" w:type="dxa"/>
                  <w:vAlign w:val="center"/>
                </w:tcPr>
                <w:p w14:paraId="59102012">
                  <w:pPr>
                    <w:snapToGrid w:val="0"/>
                    <w:jc w:val="center"/>
                    <w:rPr>
                      <w:bCs/>
                      <w:color w:val="auto"/>
                      <w:szCs w:val="21"/>
                    </w:rPr>
                  </w:pPr>
                  <w:r>
                    <w:rPr>
                      <w:rFonts w:hint="eastAsia"/>
                      <w:bCs/>
                      <w:color w:val="auto"/>
                      <w:szCs w:val="21"/>
                    </w:rPr>
                    <w:t>56</w:t>
                  </w:r>
                </w:p>
              </w:tc>
              <w:tc>
                <w:tcPr>
                  <w:tcW w:w="642" w:type="dxa"/>
                  <w:vAlign w:val="center"/>
                </w:tcPr>
                <w:p w14:paraId="5AAB4999">
                  <w:pPr>
                    <w:snapToGrid w:val="0"/>
                    <w:jc w:val="center"/>
                    <w:rPr>
                      <w:bCs/>
                      <w:color w:val="auto"/>
                      <w:szCs w:val="21"/>
                    </w:rPr>
                  </w:pPr>
                  <w:r>
                    <w:rPr>
                      <w:rFonts w:hint="eastAsia"/>
                      <w:bCs/>
                      <w:color w:val="auto"/>
                      <w:szCs w:val="21"/>
                    </w:rPr>
                    <w:t>54</w:t>
                  </w:r>
                </w:p>
              </w:tc>
              <w:tc>
                <w:tcPr>
                  <w:tcW w:w="642" w:type="dxa"/>
                  <w:vAlign w:val="center"/>
                </w:tcPr>
                <w:p w14:paraId="78336478">
                  <w:pPr>
                    <w:snapToGrid w:val="0"/>
                    <w:jc w:val="center"/>
                    <w:rPr>
                      <w:bCs/>
                      <w:color w:val="auto"/>
                      <w:szCs w:val="21"/>
                    </w:rPr>
                  </w:pPr>
                  <w:r>
                    <w:rPr>
                      <w:rFonts w:hint="eastAsia"/>
                      <w:bCs/>
                      <w:color w:val="auto"/>
                      <w:szCs w:val="21"/>
                    </w:rPr>
                    <w:t>51</w:t>
                  </w:r>
                </w:p>
              </w:tc>
              <w:tc>
                <w:tcPr>
                  <w:tcW w:w="642" w:type="dxa"/>
                  <w:vAlign w:val="center"/>
                </w:tcPr>
                <w:p w14:paraId="66A25364">
                  <w:pPr>
                    <w:snapToGrid w:val="0"/>
                    <w:jc w:val="center"/>
                    <w:rPr>
                      <w:bCs/>
                      <w:color w:val="auto"/>
                      <w:szCs w:val="21"/>
                    </w:rPr>
                  </w:pPr>
                  <w:r>
                    <w:rPr>
                      <w:rFonts w:hint="eastAsia"/>
                      <w:bCs/>
                      <w:color w:val="auto"/>
                      <w:szCs w:val="21"/>
                    </w:rPr>
                    <w:t>50</w:t>
                  </w:r>
                </w:p>
              </w:tc>
            </w:tr>
            <w:tr w14:paraId="1BE0FA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402" w:type="dxa"/>
                  <w:vAlign w:val="center"/>
                </w:tcPr>
                <w:p w14:paraId="72998AAA">
                  <w:pPr>
                    <w:snapToGrid w:val="0"/>
                    <w:jc w:val="center"/>
                    <w:rPr>
                      <w:bCs/>
                      <w:color w:val="auto"/>
                      <w:szCs w:val="21"/>
                    </w:rPr>
                  </w:pPr>
                  <w:r>
                    <w:rPr>
                      <w:rFonts w:hint="eastAsia"/>
                      <w:bCs/>
                      <w:color w:val="auto"/>
                      <w:szCs w:val="21"/>
                    </w:rPr>
                    <w:t>12</w:t>
                  </w:r>
                </w:p>
              </w:tc>
              <w:tc>
                <w:tcPr>
                  <w:tcW w:w="776" w:type="dxa"/>
                  <w:vAlign w:val="center"/>
                </w:tcPr>
                <w:p w14:paraId="07699E5D">
                  <w:pPr>
                    <w:pStyle w:val="78"/>
                    <w:widowControl w:val="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风水（砂）枪</w:t>
                  </w:r>
                </w:p>
              </w:tc>
              <w:tc>
                <w:tcPr>
                  <w:tcW w:w="496" w:type="dxa"/>
                  <w:vAlign w:val="center"/>
                </w:tcPr>
                <w:p w14:paraId="79ECF9F9">
                  <w:pPr>
                    <w:pStyle w:val="92"/>
                    <w:widowControl w:val="0"/>
                    <w:rPr>
                      <w:color w:val="auto"/>
                      <w:szCs w:val="21"/>
                    </w:rPr>
                  </w:pPr>
                  <w:r>
                    <w:rPr>
                      <w:color w:val="auto"/>
                      <w:szCs w:val="21"/>
                    </w:rPr>
                    <w:t>90</w:t>
                  </w:r>
                </w:p>
              </w:tc>
              <w:tc>
                <w:tcPr>
                  <w:tcW w:w="455" w:type="dxa"/>
                  <w:vAlign w:val="center"/>
                </w:tcPr>
                <w:p w14:paraId="133EBB66">
                  <w:pPr>
                    <w:snapToGrid w:val="0"/>
                    <w:jc w:val="center"/>
                    <w:rPr>
                      <w:bCs/>
                      <w:color w:val="auto"/>
                      <w:szCs w:val="21"/>
                    </w:rPr>
                  </w:pPr>
                  <w:r>
                    <w:rPr>
                      <w:rFonts w:hint="eastAsia"/>
                      <w:bCs/>
                      <w:color w:val="auto"/>
                      <w:szCs w:val="21"/>
                    </w:rPr>
                    <w:t>76</w:t>
                  </w:r>
                </w:p>
              </w:tc>
              <w:tc>
                <w:tcPr>
                  <w:tcW w:w="549" w:type="dxa"/>
                  <w:vAlign w:val="center"/>
                </w:tcPr>
                <w:p w14:paraId="68A7E7EF">
                  <w:pPr>
                    <w:snapToGrid w:val="0"/>
                    <w:jc w:val="center"/>
                    <w:rPr>
                      <w:bCs/>
                      <w:color w:val="auto"/>
                      <w:szCs w:val="21"/>
                    </w:rPr>
                  </w:pPr>
                  <w:r>
                    <w:rPr>
                      <w:rFonts w:hint="eastAsia"/>
                      <w:bCs/>
                      <w:color w:val="auto"/>
                      <w:szCs w:val="21"/>
                    </w:rPr>
                    <w:t>70</w:t>
                  </w:r>
                </w:p>
              </w:tc>
              <w:tc>
                <w:tcPr>
                  <w:tcW w:w="549" w:type="dxa"/>
                  <w:vAlign w:val="center"/>
                </w:tcPr>
                <w:p w14:paraId="0C79984A">
                  <w:pPr>
                    <w:snapToGrid w:val="0"/>
                    <w:jc w:val="center"/>
                    <w:rPr>
                      <w:bCs/>
                      <w:color w:val="auto"/>
                      <w:szCs w:val="21"/>
                    </w:rPr>
                  </w:pPr>
                  <w:r>
                    <w:rPr>
                      <w:rFonts w:hint="eastAsia"/>
                      <w:bCs/>
                      <w:color w:val="auto"/>
                      <w:szCs w:val="21"/>
                    </w:rPr>
                    <w:t>64</w:t>
                  </w:r>
                </w:p>
              </w:tc>
              <w:tc>
                <w:tcPr>
                  <w:tcW w:w="549" w:type="dxa"/>
                  <w:vAlign w:val="center"/>
                </w:tcPr>
                <w:p w14:paraId="2FD407E8">
                  <w:pPr>
                    <w:snapToGrid w:val="0"/>
                    <w:jc w:val="center"/>
                    <w:rPr>
                      <w:bCs/>
                      <w:color w:val="auto"/>
                      <w:szCs w:val="21"/>
                    </w:rPr>
                  </w:pPr>
                  <w:r>
                    <w:rPr>
                      <w:rFonts w:hint="eastAsia"/>
                      <w:bCs/>
                      <w:color w:val="auto"/>
                      <w:szCs w:val="21"/>
                    </w:rPr>
                    <w:t>60</w:t>
                  </w:r>
                </w:p>
              </w:tc>
              <w:tc>
                <w:tcPr>
                  <w:tcW w:w="549" w:type="dxa"/>
                  <w:vAlign w:val="center"/>
                </w:tcPr>
                <w:p w14:paraId="74400B85">
                  <w:pPr>
                    <w:snapToGrid w:val="0"/>
                    <w:jc w:val="center"/>
                    <w:rPr>
                      <w:bCs/>
                      <w:color w:val="auto"/>
                      <w:szCs w:val="21"/>
                    </w:rPr>
                  </w:pPr>
                  <w:r>
                    <w:rPr>
                      <w:rFonts w:hint="eastAsia"/>
                      <w:bCs/>
                      <w:color w:val="auto"/>
                      <w:szCs w:val="21"/>
                    </w:rPr>
                    <w:t>58</w:t>
                  </w:r>
                </w:p>
              </w:tc>
              <w:tc>
                <w:tcPr>
                  <w:tcW w:w="549" w:type="dxa"/>
                  <w:vAlign w:val="center"/>
                </w:tcPr>
                <w:p w14:paraId="5806EF04">
                  <w:pPr>
                    <w:snapToGrid w:val="0"/>
                    <w:jc w:val="center"/>
                    <w:rPr>
                      <w:bCs/>
                      <w:color w:val="auto"/>
                      <w:szCs w:val="21"/>
                    </w:rPr>
                  </w:pPr>
                  <w:r>
                    <w:rPr>
                      <w:rFonts w:hint="eastAsia"/>
                      <w:bCs/>
                      <w:color w:val="auto"/>
                      <w:szCs w:val="21"/>
                    </w:rPr>
                    <w:t>56</w:t>
                  </w:r>
                </w:p>
              </w:tc>
              <w:tc>
                <w:tcPr>
                  <w:tcW w:w="549" w:type="dxa"/>
                  <w:vAlign w:val="center"/>
                </w:tcPr>
                <w:p w14:paraId="1D0C567B">
                  <w:pPr>
                    <w:snapToGrid w:val="0"/>
                    <w:jc w:val="center"/>
                    <w:rPr>
                      <w:bCs/>
                      <w:color w:val="auto"/>
                      <w:szCs w:val="21"/>
                    </w:rPr>
                  </w:pPr>
                  <w:r>
                    <w:rPr>
                      <w:rFonts w:hint="eastAsia"/>
                      <w:bCs/>
                      <w:color w:val="auto"/>
                      <w:szCs w:val="21"/>
                    </w:rPr>
                    <w:t>53</w:t>
                  </w:r>
                </w:p>
              </w:tc>
              <w:tc>
                <w:tcPr>
                  <w:tcW w:w="549" w:type="dxa"/>
                  <w:vAlign w:val="center"/>
                </w:tcPr>
                <w:p w14:paraId="7D5E60FB">
                  <w:pPr>
                    <w:snapToGrid w:val="0"/>
                    <w:jc w:val="center"/>
                    <w:rPr>
                      <w:bCs/>
                      <w:color w:val="auto"/>
                      <w:szCs w:val="21"/>
                    </w:rPr>
                  </w:pPr>
                  <w:r>
                    <w:rPr>
                      <w:rFonts w:hint="eastAsia"/>
                      <w:bCs/>
                      <w:color w:val="auto"/>
                      <w:szCs w:val="21"/>
                    </w:rPr>
                    <w:t>51</w:t>
                  </w:r>
                </w:p>
              </w:tc>
              <w:tc>
                <w:tcPr>
                  <w:tcW w:w="642" w:type="dxa"/>
                  <w:vAlign w:val="center"/>
                </w:tcPr>
                <w:p w14:paraId="28BB7525">
                  <w:pPr>
                    <w:snapToGrid w:val="0"/>
                    <w:jc w:val="center"/>
                    <w:rPr>
                      <w:bCs/>
                      <w:color w:val="auto"/>
                      <w:szCs w:val="21"/>
                    </w:rPr>
                  </w:pPr>
                  <w:r>
                    <w:rPr>
                      <w:rFonts w:hint="eastAsia"/>
                      <w:bCs/>
                      <w:color w:val="auto"/>
                      <w:szCs w:val="21"/>
                    </w:rPr>
                    <w:t>48</w:t>
                  </w:r>
                </w:p>
              </w:tc>
              <w:tc>
                <w:tcPr>
                  <w:tcW w:w="642" w:type="dxa"/>
                  <w:vAlign w:val="center"/>
                </w:tcPr>
                <w:p w14:paraId="3A89DEF0">
                  <w:pPr>
                    <w:snapToGrid w:val="0"/>
                    <w:jc w:val="center"/>
                    <w:rPr>
                      <w:bCs/>
                      <w:color w:val="auto"/>
                      <w:szCs w:val="21"/>
                    </w:rPr>
                  </w:pPr>
                  <w:r>
                    <w:rPr>
                      <w:rFonts w:hint="eastAsia"/>
                      <w:bCs/>
                      <w:color w:val="auto"/>
                      <w:szCs w:val="21"/>
                    </w:rPr>
                    <w:t>45</w:t>
                  </w:r>
                </w:p>
              </w:tc>
              <w:tc>
                <w:tcPr>
                  <w:tcW w:w="642" w:type="dxa"/>
                  <w:vAlign w:val="center"/>
                </w:tcPr>
                <w:p w14:paraId="563A7680">
                  <w:pPr>
                    <w:snapToGrid w:val="0"/>
                    <w:jc w:val="center"/>
                    <w:rPr>
                      <w:bCs/>
                      <w:color w:val="auto"/>
                      <w:szCs w:val="21"/>
                    </w:rPr>
                  </w:pPr>
                  <w:r>
                    <w:rPr>
                      <w:rFonts w:hint="eastAsia"/>
                      <w:bCs/>
                      <w:color w:val="auto"/>
                      <w:szCs w:val="21"/>
                    </w:rPr>
                    <w:t>44</w:t>
                  </w:r>
                </w:p>
              </w:tc>
            </w:tr>
          </w:tbl>
          <w:p w14:paraId="20E84723">
            <w:pPr>
              <w:adjustRightInd w:val="0"/>
              <w:snapToGrid w:val="0"/>
              <w:spacing w:line="360" w:lineRule="auto"/>
              <w:ind w:firstLine="480" w:firstLineChars="200"/>
              <w:rPr>
                <w:bCs/>
                <w:color w:val="auto"/>
                <w:sz w:val="24"/>
              </w:rPr>
            </w:pPr>
            <w:r>
              <w:rPr>
                <w:rFonts w:hint="eastAsia"/>
                <w:bCs/>
                <w:color w:val="auto"/>
                <w:sz w:val="24"/>
              </w:rPr>
              <w:t>由上表可知，</w:t>
            </w:r>
            <w:r>
              <w:rPr>
                <w:bCs/>
                <w:color w:val="auto"/>
                <w:sz w:val="24"/>
              </w:rPr>
              <w:t>各种施工机械设备在不计房屋、树木、空气等因素的影响下，经距离自然衰减后，在施工范围</w:t>
            </w:r>
            <w:r>
              <w:rPr>
                <w:rFonts w:hint="eastAsia"/>
                <w:bCs/>
                <w:color w:val="auto"/>
                <w:sz w:val="24"/>
              </w:rPr>
              <w:t>50m</w:t>
            </w:r>
            <w:r>
              <w:rPr>
                <w:bCs/>
                <w:color w:val="auto"/>
                <w:sz w:val="24"/>
              </w:rPr>
              <w:t>处，噪声值</w:t>
            </w:r>
            <w:r>
              <w:rPr>
                <w:rFonts w:hint="eastAsia"/>
                <w:bCs/>
                <w:color w:val="auto"/>
                <w:sz w:val="24"/>
              </w:rPr>
              <w:t>可</w:t>
            </w:r>
            <w:r>
              <w:rPr>
                <w:bCs/>
                <w:color w:val="auto"/>
                <w:sz w:val="24"/>
              </w:rPr>
              <w:t>满足《建筑施工场界环境噪声排放标准》（GB12523-2011）</w:t>
            </w:r>
            <w:r>
              <w:rPr>
                <w:rFonts w:hint="eastAsia"/>
                <w:bCs/>
                <w:color w:val="auto"/>
                <w:sz w:val="24"/>
              </w:rPr>
              <w:t>表1</w:t>
            </w:r>
            <w:r>
              <w:rPr>
                <w:bCs/>
                <w:color w:val="auto"/>
                <w:sz w:val="24"/>
              </w:rPr>
              <w:t>标准限值要求</w:t>
            </w:r>
            <w:r>
              <w:rPr>
                <w:rFonts w:hint="eastAsia"/>
                <w:bCs/>
                <w:color w:val="auto"/>
                <w:sz w:val="24"/>
              </w:rPr>
              <w:t>（昼间70</w:t>
            </w:r>
            <w:r>
              <w:rPr>
                <w:bCs/>
                <w:color w:val="auto"/>
                <w:sz w:val="24"/>
              </w:rPr>
              <w:t>dB(A)</w:t>
            </w:r>
            <w:r>
              <w:rPr>
                <w:rFonts w:hint="eastAsia"/>
                <w:bCs/>
                <w:color w:val="auto"/>
                <w:sz w:val="24"/>
              </w:rPr>
              <w:t>）</w:t>
            </w:r>
            <w:r>
              <w:rPr>
                <w:bCs/>
                <w:color w:val="auto"/>
                <w:sz w:val="24"/>
              </w:rPr>
              <w:t>。</w:t>
            </w:r>
          </w:p>
          <w:p w14:paraId="09FDD552">
            <w:pPr>
              <w:pStyle w:val="93"/>
              <w:rPr>
                <w:color w:val="auto"/>
              </w:rPr>
            </w:pPr>
            <w:r>
              <w:rPr>
                <w:rFonts w:hint="eastAsia"/>
                <w:color w:val="auto"/>
              </w:rPr>
              <w:t>工程中使用的施工机械大部分为移动源，其中运输车辆移动范围较大。从噪声源可以看出，施工机械对不同距离的敏感区声环境有一定影响，本项目敏感点主要位于西北侧，为保证居民不受施工噪声影响应采取相应措施并合理安排施工时间，确保居民居住范围内噪声值满足《声环境质量标准》(GB3096-2008)中2类标准。</w:t>
            </w:r>
          </w:p>
          <w:p w14:paraId="69ED68D4">
            <w:pPr>
              <w:spacing w:line="360" w:lineRule="auto"/>
              <w:ind w:firstLine="482" w:firstLineChars="200"/>
              <w:rPr>
                <w:b/>
                <w:bCs/>
                <w:color w:val="auto"/>
                <w:kern w:val="0"/>
                <w:sz w:val="24"/>
                <w:lang w:bidi="ar"/>
              </w:rPr>
            </w:pPr>
            <w:r>
              <w:rPr>
                <w:b/>
                <w:bCs/>
                <w:color w:val="auto"/>
                <w:kern w:val="0"/>
                <w:sz w:val="24"/>
                <w:lang w:bidi="ar"/>
              </w:rPr>
              <w:t>4、固废</w:t>
            </w:r>
          </w:p>
          <w:p w14:paraId="53DB7624">
            <w:pPr>
              <w:spacing w:line="360" w:lineRule="auto"/>
              <w:ind w:firstLine="480" w:firstLineChars="200"/>
              <w:rPr>
                <w:color w:val="auto"/>
                <w:kern w:val="0"/>
                <w:sz w:val="24"/>
                <w:lang w:bidi="ar"/>
              </w:rPr>
            </w:pPr>
            <w:r>
              <w:rPr>
                <w:rFonts w:hint="eastAsia"/>
                <w:color w:val="auto"/>
                <w:kern w:val="0"/>
                <w:sz w:val="24"/>
                <w:lang w:bidi="ar"/>
              </w:rPr>
              <w:t>本项目厂区内不设置机修区域，</w:t>
            </w:r>
            <w:r>
              <w:rPr>
                <w:color w:val="auto"/>
                <w:kern w:val="0"/>
                <w:sz w:val="24"/>
                <w:lang w:bidi="ar"/>
              </w:rPr>
              <w:t>施工期所产生的固体废物主要为清淤淤泥、</w:t>
            </w:r>
            <w:r>
              <w:rPr>
                <w:rFonts w:hint="eastAsia"/>
                <w:color w:val="auto"/>
                <w:kern w:val="0"/>
                <w:sz w:val="24"/>
                <w:lang w:bidi="ar"/>
              </w:rPr>
              <w:t>废弃物、</w:t>
            </w:r>
            <w:r>
              <w:rPr>
                <w:color w:val="auto"/>
                <w:kern w:val="0"/>
                <w:sz w:val="24"/>
                <w:lang w:bidi="ar"/>
              </w:rPr>
              <w:t>施工人员的生活垃圾。</w:t>
            </w:r>
          </w:p>
          <w:p w14:paraId="255016DA">
            <w:pPr>
              <w:spacing w:line="360" w:lineRule="auto"/>
              <w:ind w:firstLine="480" w:firstLineChars="200"/>
              <w:rPr>
                <w:color w:val="auto"/>
                <w:kern w:val="0"/>
                <w:sz w:val="24"/>
                <w:lang w:bidi="ar"/>
              </w:rPr>
            </w:pPr>
            <w:r>
              <w:rPr>
                <w:color w:val="auto"/>
                <w:kern w:val="0"/>
                <w:sz w:val="24"/>
                <w:lang w:bidi="ar"/>
              </w:rPr>
              <w:t>（1）清淤淤泥</w:t>
            </w:r>
          </w:p>
          <w:p w14:paraId="0C895F86">
            <w:pPr>
              <w:spacing w:line="360" w:lineRule="auto"/>
              <w:ind w:firstLine="480" w:firstLineChars="200"/>
              <w:rPr>
                <w:color w:val="auto"/>
                <w:sz w:val="24"/>
              </w:rPr>
            </w:pPr>
            <w:r>
              <w:rPr>
                <w:color w:val="auto"/>
                <w:sz w:val="24"/>
              </w:rPr>
              <w:t>项目</w:t>
            </w:r>
            <w:r>
              <w:rPr>
                <w:rFonts w:hint="eastAsia"/>
                <w:color w:val="auto"/>
                <w:sz w:val="24"/>
              </w:rPr>
              <w:t>池塘清淤淤泥量共计</w:t>
            </w:r>
            <w:r>
              <w:rPr>
                <w:color w:val="auto"/>
                <w:sz w:val="24"/>
              </w:rPr>
              <w:t>8000m³，</w:t>
            </w:r>
            <w:r>
              <w:rPr>
                <w:rFonts w:hint="eastAsia"/>
                <w:color w:val="auto"/>
                <w:sz w:val="24"/>
              </w:rPr>
              <w:t>建设单位拟在鱼塘东南方向找一处合适的空闲地，淤泥临时堆土场，清淤淤泥在</w:t>
            </w:r>
            <w:r>
              <w:rPr>
                <w:color w:val="auto"/>
                <w:sz w:val="24"/>
              </w:rPr>
              <w:t>进行翻晒改良后用于</w:t>
            </w:r>
            <w:r>
              <w:rPr>
                <w:rFonts w:hint="eastAsia"/>
                <w:color w:val="auto"/>
                <w:sz w:val="24"/>
              </w:rPr>
              <w:t>池塘</w:t>
            </w:r>
            <w:r>
              <w:rPr>
                <w:color w:val="auto"/>
                <w:sz w:val="24"/>
              </w:rPr>
              <w:t>边坡回填</w:t>
            </w:r>
            <w:r>
              <w:rPr>
                <w:rFonts w:hint="eastAsia"/>
                <w:color w:val="auto"/>
                <w:sz w:val="24"/>
              </w:rPr>
              <w:t>、</w:t>
            </w:r>
            <w:r>
              <w:rPr>
                <w:color w:val="auto"/>
                <w:sz w:val="24"/>
              </w:rPr>
              <w:t>农田道路、田埂加固加高等综合</w:t>
            </w:r>
            <w:r>
              <w:rPr>
                <w:rFonts w:hint="eastAsia"/>
                <w:color w:val="auto"/>
                <w:sz w:val="24"/>
              </w:rPr>
              <w:t>利用。</w:t>
            </w:r>
          </w:p>
          <w:p w14:paraId="0D223F3F">
            <w:pPr>
              <w:adjustRightInd w:val="0"/>
              <w:snapToGrid w:val="0"/>
              <w:spacing w:line="360" w:lineRule="auto"/>
              <w:ind w:firstLine="480" w:firstLineChars="200"/>
              <w:rPr>
                <w:bCs/>
                <w:color w:val="auto"/>
                <w:sz w:val="24"/>
              </w:rPr>
            </w:pPr>
            <w:r>
              <w:rPr>
                <w:color w:val="auto"/>
                <w:kern w:val="0"/>
                <w:sz w:val="24"/>
                <w:lang w:bidi="ar"/>
              </w:rPr>
              <w:t>（2）</w:t>
            </w:r>
            <w:r>
              <w:rPr>
                <w:bCs/>
                <w:color w:val="auto"/>
                <w:sz w:val="24"/>
              </w:rPr>
              <w:t>施工废弃物</w:t>
            </w:r>
          </w:p>
          <w:p w14:paraId="75E103C3">
            <w:pPr>
              <w:spacing w:line="360" w:lineRule="auto"/>
              <w:ind w:firstLine="480" w:firstLineChars="200"/>
              <w:rPr>
                <w:color w:val="auto"/>
                <w:kern w:val="0"/>
                <w:sz w:val="24"/>
                <w:lang w:bidi="ar"/>
              </w:rPr>
            </w:pPr>
            <w:r>
              <w:rPr>
                <w:bCs/>
                <w:color w:val="auto"/>
                <w:sz w:val="24"/>
              </w:rPr>
              <w:t>施工过程中会有一些废弃的包装材料</w:t>
            </w:r>
            <w:r>
              <w:rPr>
                <w:rFonts w:hint="eastAsia"/>
                <w:bCs/>
                <w:color w:val="auto"/>
                <w:sz w:val="24"/>
              </w:rPr>
              <w:t>，产生量为0.5t，</w:t>
            </w:r>
            <w:r>
              <w:rPr>
                <w:bCs/>
                <w:color w:val="auto"/>
                <w:sz w:val="24"/>
              </w:rPr>
              <w:t>分类收集后外运至附近垃圾中转站统一处理。</w:t>
            </w:r>
          </w:p>
          <w:p w14:paraId="545A52AA">
            <w:pPr>
              <w:spacing w:line="360" w:lineRule="auto"/>
              <w:ind w:firstLine="480" w:firstLineChars="200"/>
              <w:rPr>
                <w:color w:val="auto"/>
                <w:kern w:val="0"/>
                <w:sz w:val="24"/>
                <w:lang w:bidi="ar"/>
              </w:rPr>
            </w:pPr>
            <w:r>
              <w:rPr>
                <w:rFonts w:hint="eastAsia"/>
                <w:color w:val="auto"/>
                <w:kern w:val="0"/>
                <w:sz w:val="24"/>
                <w:lang w:bidi="ar"/>
              </w:rPr>
              <w:t>（3）</w:t>
            </w:r>
            <w:r>
              <w:rPr>
                <w:color w:val="auto"/>
                <w:kern w:val="0"/>
                <w:sz w:val="24"/>
                <w:lang w:bidi="ar"/>
              </w:rPr>
              <w:t>生活垃圾</w:t>
            </w:r>
          </w:p>
          <w:p w14:paraId="2822234B">
            <w:pPr>
              <w:spacing w:line="360" w:lineRule="auto"/>
              <w:ind w:firstLine="480" w:firstLineChars="200"/>
              <w:rPr>
                <w:color w:val="auto"/>
              </w:rPr>
            </w:pPr>
            <w:r>
              <w:rPr>
                <w:color w:val="auto"/>
                <w:kern w:val="0"/>
                <w:sz w:val="24"/>
                <w:lang w:bidi="ar"/>
              </w:rPr>
              <w:t>根据工程规模和施工进度安排，高峰期的施工人数为30人。按人均0.5kg/d的生活垃圾量估算，施工高峰期的生活垃圾量为15kg/d。工程施工期间产生的生活垃圾严禁乱抛乱丢，随地倾倒，生活垃圾统一收集后由地方环卫部门定期清运进行无害化处理，对环境的影响较小。</w:t>
            </w:r>
          </w:p>
        </w:tc>
      </w:tr>
      <w:tr w14:paraId="5F745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4" w:hRule="atLeast"/>
          <w:jc w:val="center"/>
        </w:trPr>
        <w:tc>
          <w:tcPr>
            <w:tcW w:w="427" w:type="dxa"/>
            <w:tcMar>
              <w:left w:w="28" w:type="dxa"/>
              <w:right w:w="28" w:type="dxa"/>
            </w:tcMar>
            <w:vAlign w:val="center"/>
          </w:tcPr>
          <w:p w14:paraId="57862EB1">
            <w:pPr>
              <w:widowControl/>
              <w:adjustRightInd w:val="0"/>
              <w:snapToGrid w:val="0"/>
              <w:jc w:val="center"/>
              <w:rPr>
                <w:rFonts w:hint="eastAsia" w:ascii="宋体" w:hAnsi="宋体" w:cs="宋体"/>
                <w:bCs/>
                <w:color w:val="auto"/>
                <w:szCs w:val="21"/>
              </w:rPr>
            </w:pPr>
            <w:r>
              <w:rPr>
                <w:rFonts w:hint="eastAsia" w:ascii="宋体" w:hAnsi="宋体" w:cs="宋体"/>
                <w:bCs/>
                <w:color w:val="auto"/>
                <w:spacing w:val="10"/>
                <w:sz w:val="24"/>
              </w:rPr>
              <w:t>运营期生态环境影响分析</w:t>
            </w:r>
          </w:p>
        </w:tc>
        <w:tc>
          <w:tcPr>
            <w:tcW w:w="8015" w:type="dxa"/>
          </w:tcPr>
          <w:p w14:paraId="51BA26FF">
            <w:pPr>
              <w:adjustRightInd w:val="0"/>
              <w:snapToGrid w:val="0"/>
              <w:spacing w:line="360" w:lineRule="auto"/>
              <w:ind w:firstLine="480" w:firstLineChars="200"/>
              <w:rPr>
                <w:color w:val="auto"/>
                <w:sz w:val="24"/>
              </w:rPr>
            </w:pPr>
            <w:bookmarkStart w:id="30" w:name="_Toc29734"/>
            <w:r>
              <w:rPr>
                <w:rFonts w:hint="eastAsia"/>
                <w:color w:val="auto"/>
                <w:sz w:val="24"/>
              </w:rPr>
              <w:t>项目运营期环境影响包括鱼塘在运营期间造成的生态环境影响和环境污染影响。</w:t>
            </w:r>
          </w:p>
          <w:bookmarkEnd w:id="30"/>
          <w:p w14:paraId="6D76F7A6">
            <w:pPr>
              <w:adjustRightInd w:val="0"/>
              <w:snapToGrid w:val="0"/>
              <w:spacing w:line="360" w:lineRule="auto"/>
              <w:rPr>
                <w:b/>
                <w:bCs/>
                <w:color w:val="auto"/>
                <w:sz w:val="24"/>
              </w:rPr>
            </w:pPr>
            <w:r>
              <w:rPr>
                <w:rFonts w:hint="eastAsia"/>
                <w:b/>
                <w:bCs/>
                <w:color w:val="auto"/>
                <w:sz w:val="24"/>
              </w:rPr>
              <w:t>1、生态环境影响分析</w:t>
            </w:r>
          </w:p>
          <w:p w14:paraId="0807948B">
            <w:pPr>
              <w:adjustRightInd w:val="0"/>
              <w:snapToGrid w:val="0"/>
              <w:spacing w:line="360" w:lineRule="auto"/>
              <w:ind w:firstLine="480" w:firstLineChars="200"/>
              <w:rPr>
                <w:color w:val="auto"/>
                <w:sz w:val="24"/>
              </w:rPr>
            </w:pPr>
            <w:r>
              <w:rPr>
                <w:rFonts w:hint="eastAsia"/>
                <w:color w:val="auto"/>
                <w:sz w:val="24"/>
              </w:rPr>
              <w:t>项目是对原有散户鱼塘进行升级改造，建设池塘工程化循环水养殖场，取代散户不规范养殖，拟建工程运行期不会新增占地、破坏植被，相反随着临时施工区等区域植被的恢复，以及护坡上植被的生长，工程对周边植被的影响逐渐降低。项目生态环境影响包括水生生物、区域生物多样性。</w:t>
            </w:r>
          </w:p>
          <w:p w14:paraId="25DA4814">
            <w:pPr>
              <w:adjustRightInd w:val="0"/>
              <w:snapToGrid w:val="0"/>
              <w:spacing w:line="360" w:lineRule="auto"/>
              <w:ind w:firstLine="480" w:firstLineChars="200"/>
              <w:rPr>
                <w:color w:val="auto"/>
                <w:sz w:val="24"/>
              </w:rPr>
            </w:pPr>
            <w:r>
              <w:rPr>
                <w:color w:val="auto"/>
                <w:sz w:val="24"/>
              </w:rPr>
              <w:t>（</w:t>
            </w:r>
            <w:r>
              <w:rPr>
                <w:rFonts w:hint="eastAsia"/>
                <w:color w:val="auto"/>
                <w:sz w:val="24"/>
              </w:rPr>
              <w:t>1</w:t>
            </w:r>
            <w:r>
              <w:rPr>
                <w:color w:val="auto"/>
                <w:sz w:val="24"/>
              </w:rPr>
              <w:t>）</w:t>
            </w:r>
            <w:r>
              <w:rPr>
                <w:rFonts w:hint="eastAsia"/>
                <w:color w:val="auto"/>
                <w:sz w:val="24"/>
              </w:rPr>
              <w:t>水生生物影响</w:t>
            </w:r>
          </w:p>
          <w:p w14:paraId="420BE7DB">
            <w:pPr>
              <w:spacing w:line="360" w:lineRule="auto"/>
              <w:ind w:firstLine="480" w:firstLineChars="200"/>
              <w:rPr>
                <w:color w:val="auto"/>
                <w:sz w:val="24"/>
              </w:rPr>
            </w:pPr>
            <w:r>
              <w:rPr>
                <w:color w:val="auto"/>
                <w:kern w:val="0"/>
                <w:sz w:val="24"/>
              </w:rPr>
              <w:t>本项目没有新建的建筑物，涉及的建筑物工程均为原址改建或加固，不会对江湖连通性造成新的阻隔。本项目评价区周边除洞庭湖外较大的湖泊有采桑湖，采桑湖与周边水系相连，其中本工程位于采桑湖与洞庭湖之间，本工程仅对现状鱼塘进行改建，现有建构筑物进行加固，工程实施后，其运行不改变现状水塘用途，不改变水流去向，不增加径流量，也不增加污染物排放，工程运行水生态影响整体较小。水体流动性增强，水生生境的连通功能将增加，对鱼类的迁移和种质资源的交流将产生有利影响。</w:t>
            </w:r>
          </w:p>
          <w:p w14:paraId="5DCA8610">
            <w:pPr>
              <w:adjustRightInd w:val="0"/>
              <w:snapToGrid w:val="0"/>
              <w:spacing w:line="360" w:lineRule="auto"/>
              <w:ind w:firstLine="480" w:firstLineChars="200"/>
              <w:rPr>
                <w:color w:val="auto"/>
                <w:sz w:val="24"/>
              </w:rPr>
            </w:pPr>
            <w:r>
              <w:rPr>
                <w:color w:val="auto"/>
                <w:sz w:val="24"/>
              </w:rPr>
              <w:t>（</w:t>
            </w:r>
            <w:r>
              <w:rPr>
                <w:rFonts w:hint="eastAsia"/>
                <w:color w:val="auto"/>
                <w:sz w:val="24"/>
              </w:rPr>
              <w:t>2</w:t>
            </w:r>
            <w:r>
              <w:rPr>
                <w:color w:val="auto"/>
                <w:sz w:val="24"/>
              </w:rPr>
              <w:t>）区域生物多样性</w:t>
            </w:r>
          </w:p>
          <w:p w14:paraId="3D85F4EC">
            <w:pPr>
              <w:adjustRightInd w:val="0"/>
              <w:snapToGrid w:val="0"/>
              <w:spacing w:line="360" w:lineRule="auto"/>
              <w:ind w:firstLine="480" w:firstLineChars="200"/>
              <w:rPr>
                <w:b/>
                <w:bCs/>
                <w:color w:val="auto"/>
                <w:sz w:val="28"/>
                <w:szCs w:val="21"/>
              </w:rPr>
            </w:pPr>
            <w:r>
              <w:rPr>
                <w:color w:val="auto"/>
                <w:sz w:val="24"/>
              </w:rPr>
              <w:t>物种多样性是构成生态系统多样性的基础，也是使生态系统趋于稳定的重要因素。项目范围植被物种均为自然植被和区域常见、分布广泛</w:t>
            </w:r>
            <w:r>
              <w:rPr>
                <w:rFonts w:hint="eastAsia"/>
                <w:color w:val="auto"/>
                <w:sz w:val="24"/>
              </w:rPr>
              <w:t>物种</w:t>
            </w:r>
            <w:r>
              <w:rPr>
                <w:color w:val="auto"/>
                <w:sz w:val="24"/>
              </w:rPr>
              <w:t>，组成结构较为简单。工程建设导致部分栖息地面积</w:t>
            </w:r>
            <w:r>
              <w:rPr>
                <w:rFonts w:hint="eastAsia"/>
                <w:color w:val="auto"/>
                <w:sz w:val="24"/>
              </w:rPr>
              <w:t>减少</w:t>
            </w:r>
            <w:r>
              <w:rPr>
                <w:color w:val="auto"/>
                <w:sz w:val="24"/>
              </w:rPr>
              <w:t>，可能会使动物分布发生改变，对生物多样性造成影响；</w:t>
            </w:r>
          </w:p>
          <w:p w14:paraId="5711C4CB">
            <w:pPr>
              <w:adjustRightInd w:val="0"/>
              <w:snapToGrid w:val="0"/>
              <w:spacing w:line="360" w:lineRule="auto"/>
              <w:rPr>
                <w:b/>
                <w:bCs/>
                <w:color w:val="auto"/>
                <w:sz w:val="24"/>
              </w:rPr>
            </w:pPr>
            <w:r>
              <w:rPr>
                <w:b/>
                <w:bCs/>
                <w:color w:val="auto"/>
                <w:sz w:val="24"/>
              </w:rPr>
              <w:t>2、大气环境影响分析</w:t>
            </w:r>
          </w:p>
          <w:p w14:paraId="5FB78F63">
            <w:pPr>
              <w:spacing w:line="360" w:lineRule="auto"/>
              <w:rPr>
                <w:b/>
                <w:bCs/>
                <w:color w:val="auto"/>
                <w:kern w:val="0"/>
                <w:sz w:val="24"/>
                <w:highlight w:val="red"/>
                <w:lang w:bidi="ar"/>
              </w:rPr>
            </w:pPr>
            <w:r>
              <w:rPr>
                <w:b/>
                <w:bCs/>
                <w:color w:val="auto"/>
                <w:kern w:val="0"/>
                <w:sz w:val="24"/>
                <w:lang w:bidi="ar"/>
              </w:rPr>
              <w:t>2.1、废气污染源</w:t>
            </w:r>
            <w:r>
              <w:rPr>
                <w:rFonts w:hint="eastAsia"/>
                <w:b/>
                <w:bCs/>
                <w:color w:val="auto"/>
                <w:kern w:val="0"/>
                <w:sz w:val="24"/>
                <w:lang w:bidi="ar"/>
              </w:rPr>
              <w:t>强</w:t>
            </w:r>
          </w:p>
          <w:p w14:paraId="2004BB88">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本项目大气污染物主要为鱼塘养殖恶臭及柴油发电机尾气。</w:t>
            </w:r>
          </w:p>
          <w:p w14:paraId="709B1FD4">
            <w:pPr>
              <w:widowControl/>
              <w:spacing w:line="360" w:lineRule="auto"/>
              <w:ind w:firstLine="482" w:firstLineChars="200"/>
              <w:jc w:val="left"/>
              <w:rPr>
                <w:rFonts w:hint="eastAsia" w:ascii="宋体" w:hAnsi="宋体" w:cs="宋体"/>
                <w:b/>
                <w:bCs/>
                <w:color w:val="auto"/>
                <w:kern w:val="0"/>
                <w:sz w:val="24"/>
                <w:lang w:bidi="ar"/>
              </w:rPr>
            </w:pPr>
            <w:r>
              <w:rPr>
                <w:rFonts w:hint="eastAsia" w:ascii="宋体" w:hAnsi="宋体" w:cs="宋体"/>
                <w:b/>
                <w:bCs/>
                <w:color w:val="auto"/>
                <w:kern w:val="0"/>
                <w:sz w:val="24"/>
                <w:lang w:bidi="ar"/>
              </w:rPr>
              <w:t>（1）恶臭气体</w:t>
            </w:r>
          </w:p>
          <w:p w14:paraId="0A20F68A">
            <w:pPr>
              <w:widowControl/>
              <w:spacing w:line="360" w:lineRule="auto"/>
              <w:ind w:firstLine="480" w:firstLineChars="200"/>
              <w:jc w:val="left"/>
              <w:rPr>
                <w:color w:val="auto"/>
                <w:kern w:val="0"/>
                <w:sz w:val="24"/>
                <w:lang w:bidi="ar"/>
              </w:rPr>
            </w:pPr>
            <w:r>
              <w:rPr>
                <w:color w:val="auto"/>
                <w:kern w:val="0"/>
                <w:sz w:val="24"/>
                <w:lang w:bidi="ar"/>
              </w:rPr>
              <w:t>鱼塘养殖恶臭的核心来源是水体及底泥中的有机物分解，主要可分为三大类</w:t>
            </w:r>
            <w:r>
              <w:rPr>
                <w:rFonts w:hint="eastAsia"/>
                <w:color w:val="auto"/>
                <w:kern w:val="0"/>
                <w:sz w:val="24"/>
                <w:lang w:bidi="ar"/>
              </w:rPr>
              <w:t>：①</w:t>
            </w:r>
            <w:r>
              <w:rPr>
                <w:color w:val="auto"/>
                <w:kern w:val="0"/>
                <w:sz w:val="24"/>
                <w:lang w:bidi="ar"/>
              </w:rPr>
              <w:t>养殖鱼类的粪便在水体中被微生物分解，会产生氨、硫化氢、吲哚等恶臭气体</w:t>
            </w:r>
            <w:r>
              <w:rPr>
                <w:rFonts w:hint="eastAsia"/>
                <w:color w:val="auto"/>
                <w:kern w:val="0"/>
                <w:sz w:val="24"/>
                <w:lang w:bidi="ar"/>
              </w:rPr>
              <w:t>；②</w:t>
            </w:r>
            <w:r>
              <w:rPr>
                <w:color w:val="auto"/>
                <w:kern w:val="0"/>
                <w:sz w:val="24"/>
                <w:lang w:bidi="ar"/>
              </w:rPr>
              <w:t>残饵与动植物残体</w:t>
            </w:r>
            <w:r>
              <w:rPr>
                <w:rFonts w:hint="eastAsia"/>
                <w:color w:val="auto"/>
                <w:kern w:val="0"/>
                <w:sz w:val="24"/>
                <w:lang w:bidi="ar"/>
              </w:rPr>
              <w:t>：</w:t>
            </w:r>
            <w:r>
              <w:rPr>
                <w:color w:val="auto"/>
                <w:kern w:val="0"/>
                <w:sz w:val="24"/>
                <w:lang w:bidi="ar"/>
              </w:rPr>
              <w:t>未被摄食的残饵会沉积在塘底，逐步腐烂分解。</w:t>
            </w:r>
            <w:r>
              <w:rPr>
                <w:rFonts w:hint="eastAsia"/>
                <w:color w:val="auto"/>
                <w:kern w:val="0"/>
                <w:sz w:val="24"/>
                <w:lang w:bidi="ar"/>
              </w:rPr>
              <w:t>③</w:t>
            </w:r>
            <w:r>
              <w:rPr>
                <w:color w:val="auto"/>
                <w:kern w:val="0"/>
                <w:sz w:val="24"/>
                <w:lang w:bidi="ar"/>
              </w:rPr>
              <w:t>底泥厌氧分解</w:t>
            </w:r>
            <w:r>
              <w:rPr>
                <w:rFonts w:hint="eastAsia"/>
                <w:color w:val="auto"/>
                <w:kern w:val="0"/>
                <w:sz w:val="24"/>
                <w:lang w:bidi="ar"/>
              </w:rPr>
              <w:t>：</w:t>
            </w:r>
            <w:r>
              <w:rPr>
                <w:color w:val="auto"/>
                <w:kern w:val="0"/>
                <w:sz w:val="24"/>
                <w:lang w:bidi="ar"/>
              </w:rPr>
              <w:t>鱼塘底部长期积累的排泄物、残饵和生物残体，会形成富含有机物的底泥。在缺氧（厌氧）环境下，底泥中的硫酸盐还原菌、产甲烷菌等会将有机物分解，产生硫化氢、甲烷、</w:t>
            </w:r>
            <w:r>
              <w:rPr>
                <w:rFonts w:hint="eastAsia"/>
                <w:color w:val="auto"/>
                <w:kern w:val="0"/>
                <w:sz w:val="24"/>
                <w:lang w:bidi="ar"/>
              </w:rPr>
              <w:t>氨类</w:t>
            </w:r>
            <w:r>
              <w:rPr>
                <w:color w:val="auto"/>
                <w:kern w:val="0"/>
                <w:sz w:val="24"/>
                <w:lang w:bidi="ar"/>
              </w:rPr>
              <w:t>等气体。</w:t>
            </w:r>
            <w:r>
              <w:rPr>
                <w:rFonts w:hint="eastAsia"/>
                <w:color w:val="auto"/>
                <w:kern w:val="0"/>
                <w:sz w:val="24"/>
                <w:lang w:bidi="ar"/>
              </w:rPr>
              <w:t>以上</w:t>
            </w:r>
            <w:r>
              <w:rPr>
                <w:color w:val="auto"/>
                <w:kern w:val="0"/>
                <w:sz w:val="24"/>
                <w:lang w:bidi="ar"/>
              </w:rPr>
              <w:t>恶臭污染物</w:t>
            </w:r>
            <w:r>
              <w:rPr>
                <w:rFonts w:hint="eastAsia"/>
                <w:color w:val="auto"/>
                <w:kern w:val="0"/>
                <w:sz w:val="24"/>
                <w:lang w:bidi="ar"/>
              </w:rPr>
              <w:t>主要成分为</w:t>
            </w:r>
            <w:r>
              <w:rPr>
                <w:color w:val="auto"/>
                <w:kern w:val="0"/>
                <w:sz w:val="24"/>
                <w:lang w:bidi="ar"/>
              </w:rPr>
              <w:t>NH</w:t>
            </w:r>
            <w:r>
              <w:rPr>
                <w:color w:val="auto"/>
                <w:kern w:val="0"/>
                <w:sz w:val="24"/>
                <w:vertAlign w:val="subscript"/>
                <w:lang w:bidi="ar"/>
              </w:rPr>
              <w:t>3</w:t>
            </w:r>
            <w:r>
              <w:rPr>
                <w:color w:val="auto"/>
                <w:kern w:val="0"/>
                <w:sz w:val="24"/>
                <w:lang w:bidi="ar"/>
              </w:rPr>
              <w:t>、H</w:t>
            </w:r>
            <w:r>
              <w:rPr>
                <w:color w:val="auto"/>
                <w:kern w:val="0"/>
                <w:sz w:val="24"/>
                <w:vertAlign w:val="subscript"/>
                <w:lang w:bidi="ar"/>
              </w:rPr>
              <w:t>2</w:t>
            </w:r>
            <w:r>
              <w:rPr>
                <w:color w:val="auto"/>
                <w:kern w:val="0"/>
                <w:sz w:val="24"/>
                <w:lang w:bidi="ar"/>
              </w:rPr>
              <w:t>S、臭气浓度等物质</w:t>
            </w:r>
            <w:r>
              <w:rPr>
                <w:rFonts w:hint="eastAsia"/>
                <w:color w:val="auto"/>
                <w:kern w:val="0"/>
                <w:sz w:val="24"/>
                <w:lang w:bidi="ar"/>
              </w:rPr>
              <w:t>。</w:t>
            </w:r>
            <w:r>
              <w:rPr>
                <w:color w:val="auto"/>
                <w:kern w:val="0"/>
                <w:sz w:val="24"/>
                <w:lang w:bidi="ar"/>
              </w:rPr>
              <w:t>废气产生源强与养殖密度、水体环境和管理方式直接相关</w:t>
            </w:r>
            <w:r>
              <w:rPr>
                <w:rFonts w:hint="eastAsia"/>
                <w:color w:val="auto"/>
                <w:kern w:val="0"/>
                <w:sz w:val="24"/>
                <w:lang w:bidi="ar"/>
              </w:rPr>
              <w:t>，</w:t>
            </w:r>
            <w:r>
              <w:rPr>
                <w:rFonts w:hint="eastAsia" w:ascii="宋体" w:hAnsi="宋体" w:cs="宋体"/>
                <w:bCs/>
                <w:color w:val="auto"/>
                <w:spacing w:val="10"/>
                <w:sz w:val="24"/>
              </w:rPr>
              <w:t>本次评价仅对养殖恶臭做定性分析</w:t>
            </w:r>
          </w:p>
          <w:p w14:paraId="2D9EBC9D">
            <w:pPr>
              <w:spacing w:line="360" w:lineRule="auto"/>
              <w:ind w:firstLine="482" w:firstLineChars="200"/>
              <w:rPr>
                <w:b/>
                <w:bCs/>
                <w:color w:val="auto"/>
                <w:sz w:val="24"/>
              </w:rPr>
            </w:pPr>
            <w:r>
              <w:rPr>
                <w:rFonts w:hint="eastAsia"/>
                <w:b/>
                <w:bCs/>
                <w:color w:val="auto"/>
                <w:sz w:val="24"/>
              </w:rPr>
              <w:t>（2）</w:t>
            </w:r>
            <w:r>
              <w:rPr>
                <w:b/>
                <w:bCs/>
                <w:color w:val="auto"/>
                <w:sz w:val="24"/>
              </w:rPr>
              <w:t>柴油发电机燃油废气</w:t>
            </w:r>
          </w:p>
          <w:p w14:paraId="3DB69A84">
            <w:pPr>
              <w:spacing w:line="360" w:lineRule="auto"/>
              <w:ind w:firstLine="540" w:firstLineChars="225"/>
              <w:rPr>
                <w:color w:val="auto"/>
                <w:sz w:val="24"/>
              </w:rPr>
            </w:pPr>
            <w:r>
              <w:rPr>
                <w:color w:val="auto"/>
                <w:sz w:val="24"/>
              </w:rPr>
              <w:t>为防止出现</w:t>
            </w:r>
            <w:r>
              <w:rPr>
                <w:rFonts w:hint="eastAsia"/>
                <w:color w:val="auto"/>
                <w:sz w:val="24"/>
              </w:rPr>
              <w:t>停电</w:t>
            </w:r>
            <w:r>
              <w:rPr>
                <w:color w:val="auto"/>
                <w:sz w:val="24"/>
              </w:rPr>
              <w:t>的情况下，增氧系统无法为圈养桶鱼提供氧气，导致养殖产生风险，</w:t>
            </w:r>
            <w:r>
              <w:rPr>
                <w:rFonts w:hint="eastAsia"/>
                <w:color w:val="auto"/>
                <w:sz w:val="24"/>
              </w:rPr>
              <w:t>建设单位</w:t>
            </w:r>
            <w:r>
              <w:rPr>
                <w:color w:val="auto"/>
                <w:sz w:val="24"/>
              </w:rPr>
              <w:t>计划</w:t>
            </w:r>
            <w:r>
              <w:rPr>
                <w:rFonts w:hint="eastAsia"/>
                <w:color w:val="auto"/>
                <w:sz w:val="24"/>
              </w:rPr>
              <w:t>在管理用房</w:t>
            </w:r>
            <w:r>
              <w:rPr>
                <w:color w:val="auto"/>
                <w:sz w:val="24"/>
              </w:rPr>
              <w:t>配备</w:t>
            </w:r>
            <w:r>
              <w:rPr>
                <w:rFonts w:hint="eastAsia"/>
                <w:color w:val="auto"/>
                <w:sz w:val="24"/>
              </w:rPr>
              <w:t>1</w:t>
            </w:r>
            <w:r>
              <w:rPr>
                <w:color w:val="auto"/>
                <w:sz w:val="24"/>
              </w:rPr>
              <w:t>台</w:t>
            </w:r>
            <w:r>
              <w:rPr>
                <w:rFonts w:hint="eastAsia"/>
                <w:color w:val="auto"/>
                <w:sz w:val="24"/>
              </w:rPr>
              <w:t>300KW</w:t>
            </w:r>
            <w:r>
              <w:rPr>
                <w:color w:val="auto"/>
                <w:sz w:val="24"/>
              </w:rPr>
              <w:t>柴油发电机作为备用电源。</w:t>
            </w:r>
            <w:r>
              <w:rPr>
                <w:rFonts w:hint="eastAsia"/>
                <w:color w:val="auto"/>
                <w:sz w:val="24"/>
              </w:rPr>
              <w:t>项目所在地</w:t>
            </w:r>
            <w:r>
              <w:rPr>
                <w:color w:val="auto"/>
                <w:sz w:val="24"/>
              </w:rPr>
              <w:t>供电比较正常，因备用柴油发电机的启用次数不多，本次计算按每月发电一次，每次运行4h计，柴油发电机组采用含硫量小于0.2%的柴油作燃料，耗油量为0.072kg·kW/h，则年总耗油量为</w:t>
            </w:r>
            <w:r>
              <w:rPr>
                <w:rFonts w:hint="eastAsia"/>
                <w:color w:val="auto"/>
                <w:sz w:val="24"/>
              </w:rPr>
              <w:t>300</w:t>
            </w:r>
            <w:r>
              <w:rPr>
                <w:color w:val="auto"/>
                <w:sz w:val="24"/>
              </w:rPr>
              <w:t>×0.072kg·kW/h×4小时/次×12月/年=</w:t>
            </w:r>
            <w:r>
              <w:rPr>
                <w:rFonts w:hint="eastAsia"/>
                <w:color w:val="auto"/>
                <w:sz w:val="24"/>
              </w:rPr>
              <w:t>1.04</w:t>
            </w:r>
            <w:r>
              <w:rPr>
                <w:color w:val="auto"/>
                <w:sz w:val="24"/>
              </w:rPr>
              <w:t>t/a。参照环评工程师注册培训教材《社会区域》给出的计算参数，发电机运行污染物排放系数为：燃烧1t油SO</w:t>
            </w:r>
            <w:r>
              <w:rPr>
                <w:color w:val="auto"/>
                <w:sz w:val="24"/>
                <w:vertAlign w:val="subscript"/>
              </w:rPr>
              <w:t>2</w:t>
            </w:r>
            <w:r>
              <w:rPr>
                <w:color w:val="auto"/>
                <w:sz w:val="24"/>
              </w:rPr>
              <w:t>的排放量为4kg，NO</w:t>
            </w:r>
            <w:r>
              <w:rPr>
                <w:color w:val="auto"/>
                <w:sz w:val="24"/>
                <w:vertAlign w:val="subscript"/>
              </w:rPr>
              <w:t>X</w:t>
            </w:r>
            <w:r>
              <w:rPr>
                <w:color w:val="auto"/>
                <w:sz w:val="24"/>
              </w:rPr>
              <w:t>的排放量为2.56kg，CO的排放量为1.52kg，烟尘的排放量为0.714kg，总烃的排放量为1.489kg，本项目发电机燃油废气产排污情况见下表：</w:t>
            </w:r>
          </w:p>
          <w:p w14:paraId="21529EBC">
            <w:pPr>
              <w:ind w:firstLine="422" w:firstLineChars="200"/>
              <w:jc w:val="center"/>
              <w:rPr>
                <w:b/>
                <w:bCs/>
                <w:color w:val="auto"/>
                <w:szCs w:val="21"/>
              </w:rPr>
            </w:pPr>
            <w:r>
              <w:rPr>
                <w:b/>
                <w:bCs/>
                <w:color w:val="auto"/>
                <w:szCs w:val="21"/>
              </w:rPr>
              <w:t>表4-</w:t>
            </w:r>
            <w:r>
              <w:rPr>
                <w:rFonts w:hint="eastAsia"/>
                <w:b/>
                <w:bCs/>
                <w:color w:val="auto"/>
                <w:szCs w:val="21"/>
              </w:rPr>
              <w:t>7</w:t>
            </w:r>
            <w:r>
              <w:rPr>
                <w:b/>
                <w:bCs/>
                <w:color w:val="auto"/>
                <w:szCs w:val="21"/>
              </w:rPr>
              <w:t xml:space="preserve">   备用柴油发电机燃油废气污染物产排污情况一览表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0"/>
              <w:gridCol w:w="1248"/>
              <w:gridCol w:w="1212"/>
              <w:gridCol w:w="1292"/>
              <w:gridCol w:w="1189"/>
              <w:gridCol w:w="1267"/>
            </w:tblGrid>
            <w:tr w14:paraId="4F636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737" w:type="dxa"/>
                  <w:vAlign w:val="center"/>
                </w:tcPr>
                <w:p w14:paraId="79A05188">
                  <w:pPr>
                    <w:jc w:val="center"/>
                    <w:rPr>
                      <w:color w:val="auto"/>
                    </w:rPr>
                  </w:pPr>
                  <w:r>
                    <w:rPr>
                      <w:color w:val="auto"/>
                    </w:rPr>
                    <w:t>污染物</w:t>
                  </w:r>
                </w:p>
              </w:tc>
              <w:tc>
                <w:tcPr>
                  <w:tcW w:w="1259" w:type="dxa"/>
                  <w:vAlign w:val="center"/>
                </w:tcPr>
                <w:p w14:paraId="1664DA4D">
                  <w:pPr>
                    <w:jc w:val="center"/>
                    <w:rPr>
                      <w:color w:val="auto"/>
                    </w:rPr>
                  </w:pPr>
                  <w:r>
                    <w:rPr>
                      <w:color w:val="auto"/>
                    </w:rPr>
                    <w:t>SO</w:t>
                  </w:r>
                  <w:r>
                    <w:rPr>
                      <w:color w:val="auto"/>
                      <w:vertAlign w:val="subscript"/>
                    </w:rPr>
                    <w:t>2</w:t>
                  </w:r>
                </w:p>
              </w:tc>
              <w:tc>
                <w:tcPr>
                  <w:tcW w:w="1222" w:type="dxa"/>
                  <w:vAlign w:val="center"/>
                </w:tcPr>
                <w:p w14:paraId="3617743F">
                  <w:pPr>
                    <w:jc w:val="center"/>
                    <w:rPr>
                      <w:color w:val="auto"/>
                    </w:rPr>
                  </w:pPr>
                  <w:r>
                    <w:rPr>
                      <w:color w:val="auto"/>
                    </w:rPr>
                    <w:t>NO</w:t>
                  </w:r>
                  <w:r>
                    <w:rPr>
                      <w:color w:val="auto"/>
                      <w:vertAlign w:val="subscript"/>
                    </w:rPr>
                    <w:t>X</w:t>
                  </w:r>
                </w:p>
              </w:tc>
              <w:tc>
                <w:tcPr>
                  <w:tcW w:w="1305" w:type="dxa"/>
                  <w:vAlign w:val="center"/>
                </w:tcPr>
                <w:p w14:paraId="3CD3582C">
                  <w:pPr>
                    <w:jc w:val="center"/>
                    <w:rPr>
                      <w:color w:val="auto"/>
                    </w:rPr>
                  </w:pPr>
                  <w:r>
                    <w:rPr>
                      <w:color w:val="auto"/>
                    </w:rPr>
                    <w:t>CO</w:t>
                  </w:r>
                </w:p>
              </w:tc>
              <w:tc>
                <w:tcPr>
                  <w:tcW w:w="1198" w:type="dxa"/>
                  <w:tcBorders>
                    <w:right w:val="single" w:color="auto" w:sz="4" w:space="0"/>
                  </w:tcBorders>
                  <w:vAlign w:val="center"/>
                </w:tcPr>
                <w:p w14:paraId="12EA6E2C">
                  <w:pPr>
                    <w:jc w:val="center"/>
                    <w:rPr>
                      <w:color w:val="auto"/>
                    </w:rPr>
                  </w:pPr>
                  <w:r>
                    <w:rPr>
                      <w:color w:val="auto"/>
                    </w:rPr>
                    <w:t>烟尘</w:t>
                  </w:r>
                </w:p>
              </w:tc>
              <w:tc>
                <w:tcPr>
                  <w:tcW w:w="1279" w:type="dxa"/>
                  <w:tcBorders>
                    <w:left w:val="single" w:color="auto" w:sz="4" w:space="0"/>
                  </w:tcBorders>
                  <w:vAlign w:val="center"/>
                </w:tcPr>
                <w:p w14:paraId="46914DD3">
                  <w:pPr>
                    <w:jc w:val="center"/>
                    <w:rPr>
                      <w:color w:val="auto"/>
                    </w:rPr>
                  </w:pPr>
                  <w:r>
                    <w:rPr>
                      <w:color w:val="auto"/>
                    </w:rPr>
                    <w:t>总烃</w:t>
                  </w:r>
                </w:p>
              </w:tc>
            </w:tr>
            <w:tr w14:paraId="0CCFE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737" w:type="dxa"/>
                  <w:vAlign w:val="center"/>
                </w:tcPr>
                <w:p w14:paraId="33A1507C">
                  <w:pPr>
                    <w:jc w:val="center"/>
                    <w:rPr>
                      <w:color w:val="auto"/>
                    </w:rPr>
                  </w:pPr>
                  <w:r>
                    <w:rPr>
                      <w:color w:val="auto"/>
                    </w:rPr>
                    <w:t>产生量</w:t>
                  </w:r>
                </w:p>
              </w:tc>
              <w:tc>
                <w:tcPr>
                  <w:tcW w:w="1259" w:type="dxa"/>
                  <w:vAlign w:val="center"/>
                </w:tcPr>
                <w:p w14:paraId="4E99645C">
                  <w:pPr>
                    <w:jc w:val="center"/>
                    <w:rPr>
                      <w:color w:val="auto"/>
                    </w:rPr>
                  </w:pPr>
                  <w:r>
                    <w:rPr>
                      <w:rFonts w:hint="eastAsia"/>
                      <w:color w:val="auto"/>
                    </w:rPr>
                    <w:t>4.16</w:t>
                  </w:r>
                  <w:r>
                    <w:rPr>
                      <w:color w:val="auto"/>
                    </w:rPr>
                    <w:t>kg/a</w:t>
                  </w:r>
                </w:p>
              </w:tc>
              <w:tc>
                <w:tcPr>
                  <w:tcW w:w="1222" w:type="dxa"/>
                  <w:vAlign w:val="center"/>
                </w:tcPr>
                <w:p w14:paraId="6DAC09EA">
                  <w:pPr>
                    <w:jc w:val="center"/>
                    <w:rPr>
                      <w:color w:val="auto"/>
                    </w:rPr>
                  </w:pPr>
                  <w:r>
                    <w:rPr>
                      <w:rFonts w:hint="eastAsia"/>
                      <w:color w:val="auto"/>
                    </w:rPr>
                    <w:t>2.66</w:t>
                  </w:r>
                  <w:r>
                    <w:rPr>
                      <w:color w:val="auto"/>
                    </w:rPr>
                    <w:t>kg/a</w:t>
                  </w:r>
                </w:p>
              </w:tc>
              <w:tc>
                <w:tcPr>
                  <w:tcW w:w="1305" w:type="dxa"/>
                  <w:vAlign w:val="center"/>
                </w:tcPr>
                <w:p w14:paraId="7C0556CE">
                  <w:pPr>
                    <w:jc w:val="center"/>
                    <w:rPr>
                      <w:color w:val="auto"/>
                    </w:rPr>
                  </w:pPr>
                  <w:r>
                    <w:rPr>
                      <w:rFonts w:hint="eastAsia"/>
                      <w:color w:val="auto"/>
                    </w:rPr>
                    <w:t>1.58</w:t>
                  </w:r>
                  <w:r>
                    <w:rPr>
                      <w:color w:val="auto"/>
                    </w:rPr>
                    <w:t>kg/a</w:t>
                  </w:r>
                </w:p>
              </w:tc>
              <w:tc>
                <w:tcPr>
                  <w:tcW w:w="1198" w:type="dxa"/>
                  <w:tcBorders>
                    <w:right w:val="single" w:color="auto" w:sz="4" w:space="0"/>
                  </w:tcBorders>
                  <w:vAlign w:val="center"/>
                </w:tcPr>
                <w:p w14:paraId="73E02654">
                  <w:pPr>
                    <w:jc w:val="center"/>
                    <w:rPr>
                      <w:color w:val="auto"/>
                    </w:rPr>
                  </w:pPr>
                  <w:r>
                    <w:rPr>
                      <w:rFonts w:hint="eastAsia"/>
                      <w:color w:val="auto"/>
                    </w:rPr>
                    <w:t>0.74</w:t>
                  </w:r>
                  <w:r>
                    <w:rPr>
                      <w:color w:val="auto"/>
                    </w:rPr>
                    <w:t>kg/a</w:t>
                  </w:r>
                </w:p>
              </w:tc>
              <w:tc>
                <w:tcPr>
                  <w:tcW w:w="1279" w:type="dxa"/>
                  <w:tcBorders>
                    <w:left w:val="single" w:color="auto" w:sz="4" w:space="0"/>
                  </w:tcBorders>
                  <w:vAlign w:val="center"/>
                </w:tcPr>
                <w:p w14:paraId="792B4A57">
                  <w:pPr>
                    <w:jc w:val="center"/>
                    <w:rPr>
                      <w:color w:val="auto"/>
                    </w:rPr>
                  </w:pPr>
                  <w:r>
                    <w:rPr>
                      <w:rFonts w:hint="eastAsia"/>
                      <w:color w:val="auto"/>
                    </w:rPr>
                    <w:t>1.55</w:t>
                  </w:r>
                  <w:r>
                    <w:rPr>
                      <w:color w:val="auto"/>
                    </w:rPr>
                    <w:t>kg/a</w:t>
                  </w:r>
                </w:p>
              </w:tc>
            </w:tr>
            <w:tr w14:paraId="09B22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737" w:type="dxa"/>
                  <w:vAlign w:val="center"/>
                </w:tcPr>
                <w:p w14:paraId="1EBBBFC7">
                  <w:pPr>
                    <w:jc w:val="center"/>
                    <w:rPr>
                      <w:color w:val="auto"/>
                    </w:rPr>
                  </w:pPr>
                  <w:r>
                    <w:rPr>
                      <w:color w:val="auto"/>
                    </w:rPr>
                    <w:t>治理措施</w:t>
                  </w:r>
                </w:p>
              </w:tc>
              <w:tc>
                <w:tcPr>
                  <w:tcW w:w="6263" w:type="dxa"/>
                  <w:gridSpan w:val="5"/>
                  <w:vAlign w:val="center"/>
                </w:tcPr>
                <w:p w14:paraId="23B8F595">
                  <w:pPr>
                    <w:jc w:val="center"/>
                    <w:rPr>
                      <w:color w:val="auto"/>
                    </w:rPr>
                  </w:pPr>
                  <w:r>
                    <w:rPr>
                      <w:color w:val="auto"/>
                    </w:rPr>
                    <w:t>拟引至楼顶高空排放</w:t>
                  </w:r>
                </w:p>
              </w:tc>
            </w:tr>
          </w:tbl>
          <w:p w14:paraId="12E07BDB">
            <w:pPr>
              <w:adjustRightInd w:val="0"/>
              <w:snapToGrid w:val="0"/>
              <w:spacing w:line="360" w:lineRule="auto"/>
              <w:rPr>
                <w:b/>
                <w:bCs/>
                <w:color w:val="auto"/>
                <w:sz w:val="24"/>
              </w:rPr>
            </w:pPr>
            <w:r>
              <w:rPr>
                <w:b/>
                <w:bCs/>
                <w:color w:val="auto"/>
                <w:sz w:val="24"/>
              </w:rPr>
              <w:t>2.2、废水</w:t>
            </w:r>
            <w:r>
              <w:rPr>
                <w:b/>
                <w:bCs/>
                <w:color w:val="auto"/>
                <w:kern w:val="0"/>
                <w:sz w:val="24"/>
                <w:lang w:bidi="ar"/>
              </w:rPr>
              <w:t>污染源</w:t>
            </w:r>
            <w:r>
              <w:rPr>
                <w:rFonts w:hint="eastAsia"/>
                <w:b/>
                <w:bCs/>
                <w:color w:val="auto"/>
                <w:kern w:val="0"/>
                <w:sz w:val="24"/>
                <w:lang w:bidi="ar"/>
              </w:rPr>
              <w:t>强</w:t>
            </w:r>
          </w:p>
          <w:p w14:paraId="48FC421F">
            <w:pPr>
              <w:autoSpaceDE w:val="0"/>
              <w:autoSpaceDN w:val="0"/>
              <w:spacing w:line="360" w:lineRule="auto"/>
              <w:ind w:firstLine="482" w:firstLineChars="200"/>
              <w:rPr>
                <w:b/>
                <w:bCs/>
                <w:color w:val="auto"/>
                <w:kern w:val="0"/>
                <w:sz w:val="24"/>
                <w:lang w:bidi="ar"/>
              </w:rPr>
            </w:pPr>
            <w:r>
              <w:rPr>
                <w:b/>
                <w:bCs/>
                <w:color w:val="auto"/>
                <w:kern w:val="0"/>
                <w:sz w:val="24"/>
                <w:lang w:bidi="ar"/>
              </w:rPr>
              <w:t>（1）养殖黑水</w:t>
            </w:r>
          </w:p>
          <w:p w14:paraId="108176A2">
            <w:pPr>
              <w:autoSpaceDE w:val="0"/>
              <w:autoSpaceDN w:val="0"/>
              <w:spacing w:line="360" w:lineRule="auto"/>
              <w:ind w:firstLine="480" w:firstLineChars="200"/>
              <w:rPr>
                <w:color w:val="auto"/>
                <w:kern w:val="0"/>
                <w:sz w:val="24"/>
                <w:lang w:bidi="ar"/>
              </w:rPr>
            </w:pPr>
            <w:r>
              <w:rPr>
                <w:rFonts w:hint="eastAsia"/>
                <w:color w:val="auto"/>
                <w:kern w:val="0"/>
                <w:sz w:val="24"/>
                <w:lang w:bidi="ar"/>
              </w:rPr>
              <w:t>本项目共设置马口鱼圈养桶80个、观赏鱼养殖桶12个，所用圈养桶材质为PE（聚乙烯）。马口鱼单个圈养桶高度为4m，直径为6m，其下部（桶底向上0.8m处）采用锥形结构设计，根据设计资料可知，单个圈养桶的最大装水量为98m</w:t>
            </w:r>
            <w:r>
              <w:rPr>
                <w:rFonts w:hint="eastAsia"/>
                <w:color w:val="auto"/>
                <w:kern w:val="0"/>
                <w:sz w:val="24"/>
                <w:vertAlign w:val="superscript"/>
                <w:lang w:bidi="ar"/>
              </w:rPr>
              <w:t>3</w:t>
            </w:r>
            <w:r>
              <w:rPr>
                <w:rFonts w:hint="eastAsia"/>
                <w:color w:val="auto"/>
                <w:kern w:val="0"/>
                <w:sz w:val="24"/>
                <w:lang w:bidi="ar"/>
              </w:rPr>
              <w:t>；观赏鱼养殖桶高4m，直径3m，其下部（桶底向上0.8m处）采用锥形结构设计，单个养殖桶的最大装水量为24.5m</w:t>
            </w:r>
            <w:r>
              <w:rPr>
                <w:rFonts w:hint="eastAsia"/>
                <w:color w:val="auto"/>
                <w:kern w:val="0"/>
                <w:sz w:val="24"/>
                <w:vertAlign w:val="superscript"/>
                <w:lang w:bidi="ar"/>
              </w:rPr>
              <w:t>3</w:t>
            </w:r>
            <w:r>
              <w:rPr>
                <w:rFonts w:hint="eastAsia"/>
                <w:color w:val="auto"/>
                <w:kern w:val="0"/>
                <w:sz w:val="24"/>
                <w:lang w:bidi="ar"/>
              </w:rPr>
              <w:t>。</w:t>
            </w:r>
          </w:p>
          <w:p w14:paraId="51B0D062">
            <w:pPr>
              <w:autoSpaceDE w:val="0"/>
              <w:autoSpaceDN w:val="0"/>
              <w:spacing w:line="360" w:lineRule="auto"/>
              <w:ind w:firstLine="480" w:firstLineChars="200"/>
              <w:rPr>
                <w:color w:val="auto"/>
                <w:kern w:val="0"/>
                <w:sz w:val="24"/>
                <w:lang w:bidi="ar"/>
              </w:rPr>
            </w:pPr>
            <w:r>
              <w:rPr>
                <w:rFonts w:hint="eastAsia"/>
                <w:color w:val="auto"/>
                <w:kern w:val="0"/>
                <w:sz w:val="24"/>
                <w:lang w:bidi="ar"/>
              </w:rPr>
              <w:t>在实际养殖作业中，为预留充足空间以防止水体溢出，并保障鱼类正常活动，装水量一般控制在总容积的80%，据此计算，马口鱼单个圈养桶实际装水量约为78.4m</w:t>
            </w:r>
            <w:r>
              <w:rPr>
                <w:rFonts w:hint="eastAsia"/>
                <w:color w:val="auto"/>
                <w:kern w:val="0"/>
                <w:sz w:val="24"/>
                <w:vertAlign w:val="superscript"/>
                <w:lang w:bidi="ar"/>
              </w:rPr>
              <w:t>3</w:t>
            </w:r>
            <w:r>
              <w:rPr>
                <w:rFonts w:hint="eastAsia"/>
                <w:color w:val="auto"/>
                <w:kern w:val="0"/>
                <w:sz w:val="24"/>
                <w:lang w:bidi="ar"/>
              </w:rPr>
              <w:t>，观赏鱼单个圈养桶实际装水量约为19.6m</w:t>
            </w:r>
            <w:r>
              <w:rPr>
                <w:rFonts w:hint="eastAsia"/>
                <w:color w:val="auto"/>
                <w:kern w:val="0"/>
                <w:sz w:val="24"/>
                <w:vertAlign w:val="superscript"/>
                <w:lang w:bidi="ar"/>
              </w:rPr>
              <w:t>3</w:t>
            </w:r>
            <w:r>
              <w:rPr>
                <w:rFonts w:hint="eastAsia"/>
                <w:color w:val="auto"/>
                <w:kern w:val="0"/>
                <w:sz w:val="24"/>
                <w:lang w:bidi="ar"/>
              </w:rPr>
              <w:t>。</w:t>
            </w:r>
          </w:p>
          <w:p w14:paraId="07372DE6">
            <w:pPr>
              <w:autoSpaceDE w:val="0"/>
              <w:autoSpaceDN w:val="0"/>
              <w:spacing w:line="360" w:lineRule="auto"/>
              <w:ind w:firstLine="480" w:firstLineChars="200"/>
              <w:rPr>
                <w:color w:val="auto"/>
                <w:kern w:val="0"/>
                <w:sz w:val="24"/>
                <w:lang w:bidi="ar"/>
              </w:rPr>
            </w:pPr>
            <w:r>
              <w:rPr>
                <w:rFonts w:hint="eastAsia"/>
                <w:color w:val="auto"/>
                <w:kern w:val="0"/>
                <w:sz w:val="24"/>
                <w:lang w:bidi="ar"/>
              </w:rPr>
              <w:t>马口鱼圈养桶的排污系统由下部锥形结构、尾水管道及吸污泵协同构成。在养殖作业过程中，产生的残饵与鱼类粪便将自然沉降，当沉降至防逃网下方区域后，会快速汇集于圈养桶底部的出水口周边。为保障养殖水体清洁度、降低养殖产品泥腥味，进而提升产品品质，马口鱼圈养桶内养殖水需实施定期抽排更换。其抽排周期无固定标准，核心影响因素为残饵与粪便的产生速率，而该速率直接关联养殖密度、饲料投喂量、鱼类生长规格等实际养殖条件。依据项目业主提供的数据，马口鱼圈养桶内养殖水预计需每周抽排1次。抽排工艺：当吸污泵启动后，含有残饵与粪便的养殖黑水将首先被抽排，进入尾水塔处理后进入种植有水葫芦的人工湿地区域。由于残饵与粪便在此阶段相对集中，养殖黑水的抽排作业可在5分钟内完成。马口鱼养殖黑水抽排结束后，需继续抽排其余剩余尾水（即非黑水状态的养殖尾水，含</w:t>
            </w:r>
            <w:r>
              <w:rPr>
                <w:rFonts w:ascii="Segoe UI" w:hAnsi="Segoe UI" w:eastAsia="Segoe UI" w:cs="Segoe UI"/>
                <w:color w:val="auto"/>
                <w:sz w:val="24"/>
                <w:shd w:val="clear" w:color="auto" w:fill="FFFFFF"/>
              </w:rPr>
              <w:t>饲料残渣分解产生的小分子有机物、鱼类黏液分泌物</w:t>
            </w:r>
            <w:r>
              <w:rPr>
                <w:rFonts w:hint="eastAsia"/>
                <w:color w:val="auto"/>
                <w:kern w:val="0"/>
                <w:sz w:val="24"/>
                <w:lang w:bidi="ar"/>
              </w:rPr>
              <w:t>），圈养桶内的剩余尾水将直接抽排至人工湿地区域。</w:t>
            </w:r>
          </w:p>
          <w:p w14:paraId="6AE8926A">
            <w:pPr>
              <w:autoSpaceDE w:val="0"/>
              <w:autoSpaceDN w:val="0"/>
              <w:spacing w:line="360" w:lineRule="auto"/>
              <w:ind w:firstLine="480" w:firstLineChars="200"/>
              <w:rPr>
                <w:color w:val="auto"/>
                <w:kern w:val="0"/>
                <w:sz w:val="24"/>
                <w:lang w:bidi="ar"/>
              </w:rPr>
            </w:pPr>
            <w:r>
              <w:rPr>
                <w:rFonts w:hint="eastAsia"/>
                <w:color w:val="auto"/>
                <w:kern w:val="0"/>
                <w:sz w:val="24"/>
                <w:lang w:bidi="ar"/>
              </w:rPr>
              <w:t>观赏鱼</w:t>
            </w:r>
            <w:r>
              <w:rPr>
                <w:color w:val="auto"/>
                <w:sz w:val="24"/>
              </w:rPr>
              <w:t>养殖桶下方有孔与人工湿地相连，</w:t>
            </w:r>
            <w:r>
              <w:rPr>
                <w:rFonts w:hint="eastAsia"/>
                <w:color w:val="auto"/>
                <w:sz w:val="24"/>
              </w:rPr>
              <w:t>因</w:t>
            </w:r>
            <w:r>
              <w:rPr>
                <w:color w:val="auto"/>
                <w:sz w:val="24"/>
              </w:rPr>
              <w:t>采用流动水养殖，</w:t>
            </w:r>
            <w:r>
              <w:rPr>
                <w:rFonts w:hint="eastAsia"/>
                <w:color w:val="auto"/>
                <w:sz w:val="24"/>
              </w:rPr>
              <w:t>所以不产生带污泥的养殖黑水，仅产生养殖尾水，尾水</w:t>
            </w:r>
            <w:r>
              <w:rPr>
                <w:rFonts w:hint="eastAsia"/>
                <w:color w:val="auto"/>
                <w:kern w:val="0"/>
                <w:sz w:val="24"/>
                <w:lang w:bidi="ar"/>
              </w:rPr>
              <w:t>直接进入人工湿地区域净化后回用</w:t>
            </w:r>
            <w:r>
              <w:rPr>
                <w:rFonts w:hint="eastAsia"/>
                <w:color w:val="auto"/>
                <w:sz w:val="24"/>
              </w:rPr>
              <w:t>。</w:t>
            </w:r>
          </w:p>
          <w:p w14:paraId="7745DFBF">
            <w:pPr>
              <w:widowControl/>
              <w:spacing w:line="360" w:lineRule="auto"/>
              <w:rPr>
                <w:color w:val="auto"/>
                <w:kern w:val="0"/>
                <w:sz w:val="24"/>
              </w:rPr>
            </w:pPr>
            <w:r>
              <w:rPr>
                <w:color w:val="auto"/>
                <w:sz w:val="24"/>
              </w:rPr>
              <w:drawing>
                <wp:inline distT="0" distB="0" distL="114300" distR="114300">
                  <wp:extent cx="5036820" cy="2162175"/>
                  <wp:effectExtent l="9525" t="9525" r="20955" b="19050"/>
                  <wp:docPr id="14" name="图片 5" descr="湿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湿地示意图"/>
                          <pic:cNvPicPr>
                            <a:picLocks noChangeAspect="1"/>
                          </pic:cNvPicPr>
                        </pic:nvPicPr>
                        <pic:blipFill>
                          <a:blip r:embed="rId45"/>
                          <a:srcRect l="4243" t="10054" r="8911" b="23280"/>
                          <a:stretch>
                            <a:fillRect/>
                          </a:stretch>
                        </pic:blipFill>
                        <pic:spPr>
                          <a:xfrm>
                            <a:off x="0" y="0"/>
                            <a:ext cx="5036820" cy="2162175"/>
                          </a:xfrm>
                          <a:prstGeom prst="rect">
                            <a:avLst/>
                          </a:prstGeom>
                          <a:noFill/>
                          <a:ln>
                            <a:solidFill>
                              <a:schemeClr val="tx1"/>
                            </a:solidFill>
                          </a:ln>
                        </pic:spPr>
                      </pic:pic>
                    </a:graphicData>
                  </a:graphic>
                </wp:inline>
              </w:drawing>
            </w:r>
          </w:p>
          <w:p w14:paraId="4EA58A50">
            <w:pPr>
              <w:widowControl/>
              <w:spacing w:line="360" w:lineRule="auto"/>
              <w:jc w:val="center"/>
              <w:rPr>
                <w:b/>
                <w:bCs/>
                <w:color w:val="auto"/>
                <w:kern w:val="0"/>
                <w:sz w:val="24"/>
              </w:rPr>
            </w:pPr>
            <w:r>
              <w:rPr>
                <w:b/>
                <w:bCs/>
                <w:color w:val="auto"/>
                <w:kern w:val="0"/>
                <w:sz w:val="24"/>
              </w:rPr>
              <w:t>图</w:t>
            </w:r>
            <w:r>
              <w:rPr>
                <w:rFonts w:hint="eastAsia"/>
                <w:b/>
                <w:bCs/>
                <w:color w:val="auto"/>
                <w:kern w:val="0"/>
                <w:sz w:val="24"/>
              </w:rPr>
              <w:t>4-1</w:t>
            </w:r>
            <w:r>
              <w:rPr>
                <w:b/>
                <w:bCs/>
                <w:color w:val="auto"/>
                <w:kern w:val="0"/>
                <w:sz w:val="24"/>
              </w:rPr>
              <w:t xml:space="preserve">   </w:t>
            </w:r>
            <w:r>
              <w:rPr>
                <w:rFonts w:hint="eastAsia"/>
                <w:b/>
                <w:bCs/>
                <w:color w:val="auto"/>
                <w:kern w:val="0"/>
                <w:sz w:val="24"/>
              </w:rPr>
              <w:t>马口鱼</w:t>
            </w:r>
            <w:r>
              <w:rPr>
                <w:b/>
                <w:bCs/>
                <w:color w:val="auto"/>
                <w:kern w:val="0"/>
                <w:sz w:val="24"/>
              </w:rPr>
              <w:t>圈养桶排水系统原理图</w:t>
            </w:r>
          </w:p>
          <w:p w14:paraId="3FB7F681">
            <w:pPr>
              <w:autoSpaceDE w:val="0"/>
              <w:autoSpaceDN w:val="0"/>
              <w:spacing w:line="360" w:lineRule="auto"/>
              <w:ind w:firstLine="480" w:firstLineChars="200"/>
              <w:rPr>
                <w:color w:val="auto"/>
                <w:kern w:val="0"/>
                <w:sz w:val="24"/>
                <w:lang w:bidi="ar"/>
              </w:rPr>
            </w:pPr>
            <w:r>
              <w:rPr>
                <w:rFonts w:hint="eastAsia"/>
                <w:color w:val="auto"/>
                <w:kern w:val="0"/>
                <w:sz w:val="24"/>
                <w:lang w:bidi="ar"/>
              </w:rPr>
              <w:t>根据项目业主提供的相关资料，马口鱼圈养桶底部抽排作业过程中，单个圈养桶排出的养殖黑水量约7.84m</w:t>
            </w:r>
            <w:r>
              <w:rPr>
                <w:rFonts w:hint="eastAsia"/>
                <w:color w:val="auto"/>
                <w:kern w:val="0"/>
                <w:sz w:val="24"/>
                <w:vertAlign w:val="superscript"/>
                <w:lang w:bidi="ar"/>
              </w:rPr>
              <w:t>3</w:t>
            </w:r>
            <w:r>
              <w:rPr>
                <w:rFonts w:hint="eastAsia"/>
                <w:color w:val="auto"/>
                <w:kern w:val="0"/>
                <w:sz w:val="24"/>
                <w:lang w:bidi="ar"/>
              </w:rPr>
              <w:t>，全年（每周抽排一次）养殖黑水产生量约为32614.4m</w:t>
            </w:r>
            <w:r>
              <w:rPr>
                <w:rFonts w:hint="eastAsia"/>
                <w:color w:val="auto"/>
                <w:kern w:val="0"/>
                <w:sz w:val="24"/>
                <w:vertAlign w:val="superscript"/>
                <w:lang w:bidi="ar"/>
              </w:rPr>
              <w:t>3</w:t>
            </w:r>
            <w:r>
              <w:rPr>
                <w:rFonts w:hint="eastAsia"/>
                <w:color w:val="auto"/>
                <w:kern w:val="0"/>
                <w:sz w:val="24"/>
                <w:lang w:bidi="ar"/>
              </w:rPr>
              <w:t>。</w:t>
            </w:r>
          </w:p>
          <w:p w14:paraId="0F788BBB">
            <w:pPr>
              <w:widowControl/>
              <w:spacing w:line="360" w:lineRule="auto"/>
              <w:ind w:firstLine="480" w:firstLineChars="200"/>
              <w:rPr>
                <w:color w:val="auto"/>
                <w:kern w:val="0"/>
                <w:sz w:val="24"/>
                <w:u w:val="single"/>
                <w:lang w:bidi="ar"/>
              </w:rPr>
            </w:pPr>
            <w:r>
              <w:rPr>
                <w:rFonts w:hint="eastAsia" w:ascii="Segoe UI" w:hAnsi="Segoe UI" w:cs="Segoe UI"/>
                <w:color w:val="auto"/>
                <w:sz w:val="24"/>
                <w:u w:val="single"/>
                <w:shd w:val="clear" w:color="auto" w:fill="FFFFFF"/>
              </w:rPr>
              <w:t>根据查询资料，</w:t>
            </w:r>
            <w:r>
              <w:rPr>
                <w:rFonts w:ascii="Segoe UI" w:hAnsi="Segoe UI" w:eastAsia="Segoe UI" w:cs="Segoe UI"/>
                <w:color w:val="auto"/>
                <w:sz w:val="24"/>
                <w:u w:val="single"/>
                <w:shd w:val="clear" w:color="auto" w:fill="FFFFFF"/>
              </w:rPr>
              <w:t>黑水主要是由圈养桶下部锥形结构收集的残饵、粪便等形成，其污染物可能含有大量的有机物质、氮、磷等</w:t>
            </w:r>
            <w:r>
              <w:rPr>
                <w:rFonts w:hint="eastAsia" w:ascii="Segoe UI" w:hAnsi="Segoe UI" w:cs="Segoe UI"/>
                <w:color w:val="auto"/>
                <w:sz w:val="24"/>
                <w:u w:val="single"/>
                <w:shd w:val="clear" w:color="auto" w:fill="FFFFFF"/>
              </w:rPr>
              <w:t>，具体详见下表：</w:t>
            </w:r>
          </w:p>
          <w:p w14:paraId="1E9548BF">
            <w:pPr>
              <w:widowControl/>
              <w:snapToGrid w:val="0"/>
              <w:jc w:val="center"/>
              <w:rPr>
                <w:b/>
                <w:bCs/>
                <w:color w:val="auto"/>
                <w:kern w:val="0"/>
                <w:szCs w:val="21"/>
                <w:u w:val="single"/>
              </w:rPr>
            </w:pPr>
            <w:r>
              <w:rPr>
                <w:b/>
                <w:bCs/>
                <w:color w:val="auto"/>
                <w:kern w:val="0"/>
                <w:szCs w:val="21"/>
                <w:u w:val="single"/>
              </w:rPr>
              <w:t>表4-</w:t>
            </w:r>
            <w:r>
              <w:rPr>
                <w:rFonts w:hint="eastAsia"/>
                <w:b/>
                <w:bCs/>
                <w:color w:val="auto"/>
                <w:kern w:val="0"/>
                <w:szCs w:val="21"/>
                <w:u w:val="single"/>
              </w:rPr>
              <w:t>8</w:t>
            </w:r>
            <w:r>
              <w:rPr>
                <w:b/>
                <w:bCs/>
                <w:color w:val="auto"/>
                <w:kern w:val="0"/>
                <w:szCs w:val="21"/>
                <w:u w:val="single"/>
              </w:rPr>
              <w:t xml:space="preserve">   本项目</w:t>
            </w:r>
            <w:r>
              <w:rPr>
                <w:rFonts w:hint="eastAsia"/>
                <w:b/>
                <w:bCs/>
                <w:color w:val="auto"/>
                <w:szCs w:val="21"/>
                <w:u w:val="single"/>
              </w:rPr>
              <w:t>马口鱼</w:t>
            </w:r>
            <w:r>
              <w:rPr>
                <w:b/>
                <w:bCs/>
                <w:color w:val="auto"/>
                <w:kern w:val="0"/>
                <w:szCs w:val="21"/>
                <w:u w:val="single"/>
              </w:rPr>
              <w:t>养殖</w:t>
            </w:r>
            <w:r>
              <w:rPr>
                <w:rFonts w:hint="eastAsia"/>
                <w:b/>
                <w:bCs/>
                <w:color w:val="auto"/>
                <w:kern w:val="0"/>
                <w:szCs w:val="21"/>
                <w:u w:val="single"/>
              </w:rPr>
              <w:t>黑水</w:t>
            </w:r>
            <w:r>
              <w:rPr>
                <w:b/>
                <w:bCs/>
                <w:color w:val="auto"/>
                <w:kern w:val="0"/>
                <w:szCs w:val="21"/>
                <w:u w:val="single"/>
              </w:rPr>
              <w:t>产污一览表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821"/>
              <w:gridCol w:w="1984"/>
              <w:gridCol w:w="2115"/>
              <w:gridCol w:w="1975"/>
            </w:tblGrid>
            <w:tr w14:paraId="30737C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53" w:type="pct"/>
                  <w:tcBorders>
                    <w:tl2br w:val="nil"/>
                    <w:tr2bl w:val="nil"/>
                  </w:tcBorders>
                  <w:vAlign w:val="center"/>
                </w:tcPr>
                <w:p w14:paraId="6014899F">
                  <w:pPr>
                    <w:jc w:val="center"/>
                    <w:rPr>
                      <w:b/>
                      <w:bCs/>
                      <w:color w:val="auto"/>
                      <w:szCs w:val="21"/>
                      <w:u w:val="single"/>
                    </w:rPr>
                  </w:pPr>
                  <w:r>
                    <w:rPr>
                      <w:b/>
                      <w:bCs/>
                      <w:color w:val="auto"/>
                      <w:szCs w:val="21"/>
                      <w:u w:val="single"/>
                    </w:rPr>
                    <w:t>污染因子</w:t>
                  </w:r>
                </w:p>
              </w:tc>
              <w:tc>
                <w:tcPr>
                  <w:tcW w:w="1256" w:type="pct"/>
                  <w:tcBorders>
                    <w:tl2br w:val="nil"/>
                    <w:tr2bl w:val="nil"/>
                  </w:tcBorders>
                  <w:vAlign w:val="center"/>
                </w:tcPr>
                <w:p w14:paraId="0EF0887C">
                  <w:pPr>
                    <w:jc w:val="center"/>
                    <w:rPr>
                      <w:b/>
                      <w:bCs/>
                      <w:color w:val="auto"/>
                      <w:szCs w:val="21"/>
                      <w:u w:val="single"/>
                    </w:rPr>
                  </w:pPr>
                  <w:r>
                    <w:rPr>
                      <w:rFonts w:hint="eastAsia"/>
                      <w:b/>
                      <w:bCs/>
                      <w:color w:val="auto"/>
                      <w:szCs w:val="21"/>
                      <w:u w:val="single"/>
                    </w:rPr>
                    <w:t>马口鱼</w:t>
                  </w:r>
                  <w:r>
                    <w:rPr>
                      <w:b/>
                      <w:bCs/>
                      <w:color w:val="auto"/>
                      <w:szCs w:val="21"/>
                      <w:u w:val="single"/>
                    </w:rPr>
                    <w:t>养殖</w:t>
                  </w:r>
                  <w:r>
                    <w:rPr>
                      <w:rFonts w:hint="eastAsia"/>
                      <w:b/>
                      <w:bCs/>
                      <w:color w:val="auto"/>
                      <w:szCs w:val="21"/>
                      <w:u w:val="single"/>
                    </w:rPr>
                    <w:t>黑水</w:t>
                  </w:r>
                </w:p>
                <w:p w14:paraId="3CB0A9DB">
                  <w:pPr>
                    <w:jc w:val="center"/>
                    <w:rPr>
                      <w:b/>
                      <w:bCs/>
                      <w:color w:val="auto"/>
                      <w:szCs w:val="21"/>
                      <w:u w:val="single"/>
                    </w:rPr>
                  </w:pPr>
                  <w:r>
                    <w:rPr>
                      <w:b/>
                      <w:bCs/>
                      <w:color w:val="auto"/>
                      <w:szCs w:val="21"/>
                      <w:u w:val="single"/>
                    </w:rPr>
                    <w:t>产生量（m³/a）</w:t>
                  </w:r>
                </w:p>
              </w:tc>
              <w:tc>
                <w:tcPr>
                  <w:tcW w:w="1339" w:type="pct"/>
                  <w:tcBorders>
                    <w:tl2br w:val="nil"/>
                    <w:tr2bl w:val="nil"/>
                  </w:tcBorders>
                  <w:vAlign w:val="center"/>
                </w:tcPr>
                <w:p w14:paraId="607101DC">
                  <w:pPr>
                    <w:jc w:val="center"/>
                    <w:rPr>
                      <w:b/>
                      <w:bCs/>
                      <w:color w:val="auto"/>
                      <w:szCs w:val="21"/>
                      <w:u w:val="single"/>
                    </w:rPr>
                  </w:pPr>
                  <w:r>
                    <w:rPr>
                      <w:b/>
                      <w:bCs/>
                      <w:color w:val="auto"/>
                      <w:szCs w:val="21"/>
                      <w:u w:val="single"/>
                    </w:rPr>
                    <w:t>养殖</w:t>
                  </w:r>
                  <w:r>
                    <w:rPr>
                      <w:rFonts w:hint="eastAsia"/>
                      <w:b/>
                      <w:bCs/>
                      <w:color w:val="auto"/>
                      <w:szCs w:val="21"/>
                      <w:u w:val="single"/>
                    </w:rPr>
                    <w:t>黑水</w:t>
                  </w:r>
                  <w:r>
                    <w:rPr>
                      <w:b/>
                      <w:bCs/>
                      <w:color w:val="auto"/>
                      <w:szCs w:val="21"/>
                      <w:u w:val="single"/>
                    </w:rPr>
                    <w:t>产生浓度（mg/L）</w:t>
                  </w:r>
                </w:p>
              </w:tc>
              <w:tc>
                <w:tcPr>
                  <w:tcW w:w="1250" w:type="pct"/>
                  <w:tcBorders>
                    <w:tl2br w:val="nil"/>
                    <w:tr2bl w:val="nil"/>
                  </w:tcBorders>
                  <w:vAlign w:val="center"/>
                </w:tcPr>
                <w:p w14:paraId="6A6143D0">
                  <w:pPr>
                    <w:jc w:val="center"/>
                    <w:rPr>
                      <w:b/>
                      <w:bCs/>
                      <w:color w:val="auto"/>
                      <w:szCs w:val="21"/>
                      <w:u w:val="single"/>
                    </w:rPr>
                  </w:pPr>
                  <w:r>
                    <w:rPr>
                      <w:b/>
                      <w:bCs/>
                      <w:color w:val="auto"/>
                      <w:szCs w:val="21"/>
                      <w:u w:val="single"/>
                    </w:rPr>
                    <w:t>污染物产生量（t/a）</w:t>
                  </w:r>
                </w:p>
              </w:tc>
            </w:tr>
            <w:tr w14:paraId="4E64F4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53" w:type="pct"/>
                  <w:tcBorders>
                    <w:tl2br w:val="nil"/>
                    <w:tr2bl w:val="nil"/>
                  </w:tcBorders>
                  <w:vAlign w:val="center"/>
                </w:tcPr>
                <w:p w14:paraId="596F7641">
                  <w:pPr>
                    <w:jc w:val="center"/>
                    <w:rPr>
                      <w:color w:val="auto"/>
                      <w:szCs w:val="21"/>
                      <w:u w:val="single"/>
                    </w:rPr>
                  </w:pPr>
                  <w:r>
                    <w:rPr>
                      <w:rFonts w:hint="eastAsia"/>
                      <w:color w:val="auto"/>
                      <w:szCs w:val="21"/>
                      <w:u w:val="single"/>
                    </w:rPr>
                    <w:t>BOD</w:t>
                  </w:r>
                </w:p>
              </w:tc>
              <w:tc>
                <w:tcPr>
                  <w:tcW w:w="1256" w:type="pct"/>
                  <w:vMerge w:val="restart"/>
                  <w:tcBorders>
                    <w:tl2br w:val="nil"/>
                    <w:tr2bl w:val="nil"/>
                  </w:tcBorders>
                  <w:vAlign w:val="center"/>
                </w:tcPr>
                <w:p w14:paraId="24188663">
                  <w:pPr>
                    <w:jc w:val="center"/>
                    <w:rPr>
                      <w:color w:val="auto"/>
                      <w:szCs w:val="21"/>
                      <w:u w:val="single"/>
                    </w:rPr>
                  </w:pPr>
                  <w:r>
                    <w:rPr>
                      <w:rFonts w:hint="eastAsia"/>
                      <w:color w:val="auto"/>
                      <w:szCs w:val="21"/>
                      <w:u w:val="single"/>
                    </w:rPr>
                    <w:t>32614.4</w:t>
                  </w:r>
                </w:p>
              </w:tc>
              <w:tc>
                <w:tcPr>
                  <w:tcW w:w="1339" w:type="pct"/>
                  <w:tcBorders>
                    <w:tl2br w:val="nil"/>
                    <w:tr2bl w:val="nil"/>
                  </w:tcBorders>
                  <w:vAlign w:val="center"/>
                </w:tcPr>
                <w:p w14:paraId="5BE85795">
                  <w:pPr>
                    <w:widowControl/>
                    <w:jc w:val="center"/>
                    <w:textAlignment w:val="center"/>
                    <w:rPr>
                      <w:color w:val="auto"/>
                      <w:szCs w:val="21"/>
                      <w:u w:val="single"/>
                    </w:rPr>
                  </w:pPr>
                  <w:r>
                    <w:rPr>
                      <w:rFonts w:hint="eastAsia"/>
                      <w:color w:val="auto"/>
                      <w:szCs w:val="21"/>
                      <w:u w:val="single"/>
                    </w:rPr>
                    <w:t>15</w:t>
                  </w:r>
                </w:p>
              </w:tc>
              <w:tc>
                <w:tcPr>
                  <w:tcW w:w="1250" w:type="pct"/>
                  <w:tcBorders>
                    <w:tl2br w:val="nil"/>
                    <w:tr2bl w:val="nil"/>
                  </w:tcBorders>
                  <w:vAlign w:val="center"/>
                </w:tcPr>
                <w:p w14:paraId="7B74E43D">
                  <w:pPr>
                    <w:widowControl/>
                    <w:jc w:val="center"/>
                    <w:textAlignment w:val="center"/>
                    <w:rPr>
                      <w:color w:val="auto"/>
                      <w:szCs w:val="21"/>
                      <w:u w:val="single"/>
                    </w:rPr>
                  </w:pPr>
                  <w:r>
                    <w:rPr>
                      <w:rFonts w:hint="eastAsia"/>
                      <w:color w:val="auto"/>
                      <w:szCs w:val="21"/>
                      <w:u w:val="single"/>
                    </w:rPr>
                    <w:t>0.49</w:t>
                  </w:r>
                </w:p>
              </w:tc>
            </w:tr>
            <w:tr w14:paraId="3521EF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53" w:type="pct"/>
                  <w:tcBorders>
                    <w:tl2br w:val="nil"/>
                    <w:tr2bl w:val="nil"/>
                  </w:tcBorders>
                  <w:vAlign w:val="center"/>
                </w:tcPr>
                <w:p w14:paraId="120BFFF2">
                  <w:pPr>
                    <w:jc w:val="center"/>
                    <w:rPr>
                      <w:color w:val="auto"/>
                      <w:szCs w:val="21"/>
                      <w:u w:val="single"/>
                    </w:rPr>
                  </w:pPr>
                  <w:r>
                    <w:rPr>
                      <w:color w:val="auto"/>
                      <w:szCs w:val="21"/>
                      <w:u w:val="single"/>
                    </w:rPr>
                    <w:t>总氮</w:t>
                  </w:r>
                </w:p>
              </w:tc>
              <w:tc>
                <w:tcPr>
                  <w:tcW w:w="1256" w:type="pct"/>
                  <w:vMerge w:val="continue"/>
                  <w:tcBorders>
                    <w:tl2br w:val="nil"/>
                    <w:tr2bl w:val="nil"/>
                  </w:tcBorders>
                  <w:vAlign w:val="center"/>
                </w:tcPr>
                <w:p w14:paraId="7166B1FD">
                  <w:pPr>
                    <w:jc w:val="center"/>
                    <w:rPr>
                      <w:color w:val="auto"/>
                      <w:szCs w:val="21"/>
                      <w:u w:val="single"/>
                    </w:rPr>
                  </w:pPr>
                </w:p>
              </w:tc>
              <w:tc>
                <w:tcPr>
                  <w:tcW w:w="1339" w:type="pct"/>
                  <w:tcBorders>
                    <w:tl2br w:val="nil"/>
                    <w:tr2bl w:val="nil"/>
                  </w:tcBorders>
                  <w:vAlign w:val="center"/>
                </w:tcPr>
                <w:p w14:paraId="0BC73744">
                  <w:pPr>
                    <w:widowControl/>
                    <w:jc w:val="center"/>
                    <w:textAlignment w:val="center"/>
                    <w:rPr>
                      <w:color w:val="auto"/>
                      <w:szCs w:val="21"/>
                      <w:u w:val="single"/>
                    </w:rPr>
                  </w:pPr>
                  <w:r>
                    <w:rPr>
                      <w:rFonts w:hint="eastAsia"/>
                      <w:color w:val="auto"/>
                      <w:szCs w:val="21"/>
                      <w:u w:val="single"/>
                    </w:rPr>
                    <w:t>1.2</w:t>
                  </w:r>
                </w:p>
              </w:tc>
              <w:tc>
                <w:tcPr>
                  <w:tcW w:w="1250" w:type="pct"/>
                  <w:tcBorders>
                    <w:tl2br w:val="nil"/>
                    <w:tr2bl w:val="nil"/>
                  </w:tcBorders>
                  <w:vAlign w:val="center"/>
                </w:tcPr>
                <w:p w14:paraId="749FE505">
                  <w:pPr>
                    <w:widowControl/>
                    <w:jc w:val="center"/>
                    <w:textAlignment w:val="center"/>
                    <w:rPr>
                      <w:color w:val="auto"/>
                      <w:szCs w:val="21"/>
                      <w:u w:val="single"/>
                    </w:rPr>
                  </w:pPr>
                  <w:r>
                    <w:rPr>
                      <w:rFonts w:hint="eastAsia"/>
                      <w:color w:val="auto"/>
                      <w:szCs w:val="21"/>
                      <w:u w:val="single"/>
                    </w:rPr>
                    <w:t>0.039</w:t>
                  </w:r>
                </w:p>
              </w:tc>
            </w:tr>
            <w:tr w14:paraId="6C8A93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53" w:type="pct"/>
                  <w:tcBorders>
                    <w:tl2br w:val="nil"/>
                    <w:tr2bl w:val="nil"/>
                  </w:tcBorders>
                  <w:vAlign w:val="center"/>
                </w:tcPr>
                <w:p w14:paraId="71E60176">
                  <w:pPr>
                    <w:jc w:val="center"/>
                    <w:rPr>
                      <w:color w:val="auto"/>
                      <w:szCs w:val="21"/>
                      <w:u w:val="single"/>
                    </w:rPr>
                  </w:pPr>
                  <w:r>
                    <w:rPr>
                      <w:color w:val="auto"/>
                      <w:szCs w:val="21"/>
                      <w:u w:val="single"/>
                    </w:rPr>
                    <w:t>总磷</w:t>
                  </w:r>
                </w:p>
              </w:tc>
              <w:tc>
                <w:tcPr>
                  <w:tcW w:w="1256" w:type="pct"/>
                  <w:vMerge w:val="continue"/>
                  <w:tcBorders>
                    <w:tl2br w:val="nil"/>
                    <w:tr2bl w:val="nil"/>
                  </w:tcBorders>
                  <w:vAlign w:val="center"/>
                </w:tcPr>
                <w:p w14:paraId="1FD2F751">
                  <w:pPr>
                    <w:jc w:val="center"/>
                    <w:rPr>
                      <w:color w:val="auto"/>
                      <w:szCs w:val="21"/>
                      <w:u w:val="single"/>
                    </w:rPr>
                  </w:pPr>
                </w:p>
              </w:tc>
              <w:tc>
                <w:tcPr>
                  <w:tcW w:w="1339" w:type="pct"/>
                  <w:tcBorders>
                    <w:tl2br w:val="nil"/>
                    <w:tr2bl w:val="nil"/>
                  </w:tcBorders>
                  <w:vAlign w:val="center"/>
                </w:tcPr>
                <w:p w14:paraId="7B66A42E">
                  <w:pPr>
                    <w:widowControl/>
                    <w:jc w:val="center"/>
                    <w:textAlignment w:val="center"/>
                    <w:rPr>
                      <w:color w:val="auto"/>
                      <w:szCs w:val="21"/>
                      <w:u w:val="single"/>
                    </w:rPr>
                  </w:pPr>
                  <w:r>
                    <w:rPr>
                      <w:color w:val="auto"/>
                      <w:kern w:val="0"/>
                      <w:szCs w:val="21"/>
                      <w:u w:val="single"/>
                      <w:lang w:bidi="ar"/>
                    </w:rPr>
                    <w:t>0.</w:t>
                  </w:r>
                  <w:r>
                    <w:rPr>
                      <w:rFonts w:hint="eastAsia"/>
                      <w:color w:val="auto"/>
                      <w:kern w:val="0"/>
                      <w:szCs w:val="21"/>
                      <w:u w:val="single"/>
                      <w:lang w:bidi="ar"/>
                    </w:rPr>
                    <w:t>4</w:t>
                  </w:r>
                </w:p>
              </w:tc>
              <w:tc>
                <w:tcPr>
                  <w:tcW w:w="1250" w:type="pct"/>
                  <w:tcBorders>
                    <w:tl2br w:val="nil"/>
                    <w:tr2bl w:val="nil"/>
                  </w:tcBorders>
                  <w:vAlign w:val="center"/>
                </w:tcPr>
                <w:p w14:paraId="2BB57D09">
                  <w:pPr>
                    <w:widowControl/>
                    <w:jc w:val="center"/>
                    <w:textAlignment w:val="center"/>
                    <w:rPr>
                      <w:color w:val="auto"/>
                      <w:kern w:val="0"/>
                      <w:szCs w:val="21"/>
                      <w:u w:val="single"/>
                      <w:lang w:bidi="ar"/>
                    </w:rPr>
                  </w:pPr>
                  <w:r>
                    <w:rPr>
                      <w:rFonts w:hint="eastAsia"/>
                      <w:color w:val="auto"/>
                      <w:kern w:val="0"/>
                      <w:szCs w:val="21"/>
                      <w:u w:val="single"/>
                      <w:lang w:bidi="ar"/>
                    </w:rPr>
                    <w:t>0.001</w:t>
                  </w:r>
                </w:p>
              </w:tc>
            </w:tr>
            <w:tr w14:paraId="353665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153" w:type="pct"/>
                  <w:tcBorders>
                    <w:tl2br w:val="nil"/>
                    <w:tr2bl w:val="nil"/>
                  </w:tcBorders>
                  <w:vAlign w:val="center"/>
                </w:tcPr>
                <w:p w14:paraId="1B51BE55">
                  <w:pPr>
                    <w:jc w:val="center"/>
                    <w:rPr>
                      <w:color w:val="auto"/>
                      <w:szCs w:val="21"/>
                      <w:u w:val="single"/>
                    </w:rPr>
                  </w:pPr>
                  <w:r>
                    <w:rPr>
                      <w:color w:val="auto"/>
                      <w:szCs w:val="21"/>
                      <w:u w:val="single"/>
                    </w:rPr>
                    <w:t>总大肠菌群</w:t>
                  </w:r>
                </w:p>
              </w:tc>
              <w:tc>
                <w:tcPr>
                  <w:tcW w:w="1256" w:type="pct"/>
                  <w:vMerge w:val="continue"/>
                  <w:tcBorders>
                    <w:tl2br w:val="nil"/>
                    <w:tr2bl w:val="nil"/>
                  </w:tcBorders>
                  <w:vAlign w:val="center"/>
                </w:tcPr>
                <w:p w14:paraId="29FF7741">
                  <w:pPr>
                    <w:jc w:val="center"/>
                    <w:rPr>
                      <w:color w:val="auto"/>
                      <w:szCs w:val="21"/>
                      <w:u w:val="single"/>
                    </w:rPr>
                  </w:pPr>
                </w:p>
              </w:tc>
              <w:tc>
                <w:tcPr>
                  <w:tcW w:w="1339" w:type="pct"/>
                  <w:tcBorders>
                    <w:tl2br w:val="nil"/>
                    <w:tr2bl w:val="nil"/>
                  </w:tcBorders>
                  <w:vAlign w:val="center"/>
                </w:tcPr>
                <w:p w14:paraId="488ED12E">
                  <w:pPr>
                    <w:widowControl/>
                    <w:jc w:val="center"/>
                    <w:textAlignment w:val="center"/>
                    <w:rPr>
                      <w:color w:val="auto"/>
                      <w:szCs w:val="21"/>
                      <w:u w:val="single"/>
                    </w:rPr>
                  </w:pPr>
                  <w:r>
                    <w:rPr>
                      <w:rFonts w:hint="eastAsia"/>
                      <w:color w:val="auto"/>
                      <w:szCs w:val="21"/>
                      <w:u w:val="single"/>
                    </w:rPr>
                    <w:t>18000个/L</w:t>
                  </w:r>
                </w:p>
              </w:tc>
              <w:tc>
                <w:tcPr>
                  <w:tcW w:w="1250" w:type="pct"/>
                  <w:tcBorders>
                    <w:tl2br w:val="nil"/>
                    <w:tr2bl w:val="nil"/>
                  </w:tcBorders>
                  <w:vAlign w:val="center"/>
                </w:tcPr>
                <w:p w14:paraId="29FBA003">
                  <w:pPr>
                    <w:widowControl/>
                    <w:jc w:val="center"/>
                    <w:textAlignment w:val="center"/>
                    <w:rPr>
                      <w:color w:val="auto"/>
                      <w:szCs w:val="21"/>
                      <w:u w:val="single"/>
                    </w:rPr>
                  </w:pPr>
                  <w:r>
                    <w:rPr>
                      <w:rFonts w:hint="eastAsia"/>
                      <w:color w:val="auto"/>
                      <w:szCs w:val="21"/>
                      <w:u w:val="single"/>
                    </w:rPr>
                    <w:t>5.87×10</w:t>
                  </w:r>
                  <w:r>
                    <w:rPr>
                      <w:rFonts w:hint="eastAsia"/>
                      <w:color w:val="auto"/>
                      <w:szCs w:val="21"/>
                      <w:u w:val="single"/>
                      <w:vertAlign w:val="superscript"/>
                    </w:rPr>
                    <w:t>11</w:t>
                  </w:r>
                  <w:r>
                    <w:rPr>
                      <w:rFonts w:hint="eastAsia"/>
                      <w:color w:val="auto"/>
                      <w:szCs w:val="21"/>
                      <w:u w:val="single"/>
                    </w:rPr>
                    <w:t>个/a</w:t>
                  </w:r>
                </w:p>
              </w:tc>
            </w:tr>
          </w:tbl>
          <w:p w14:paraId="02ECA46C">
            <w:pPr>
              <w:autoSpaceDE w:val="0"/>
              <w:autoSpaceDN w:val="0"/>
              <w:spacing w:line="360" w:lineRule="auto"/>
              <w:ind w:firstLine="482" w:firstLineChars="200"/>
              <w:rPr>
                <w:b/>
                <w:bCs/>
                <w:color w:val="auto"/>
                <w:kern w:val="0"/>
                <w:sz w:val="24"/>
                <w:u w:val="single"/>
                <w:lang w:bidi="ar"/>
              </w:rPr>
            </w:pPr>
            <w:r>
              <w:rPr>
                <w:b/>
                <w:bCs/>
                <w:color w:val="auto"/>
                <w:kern w:val="0"/>
                <w:sz w:val="24"/>
                <w:u w:val="single"/>
                <w:lang w:bidi="ar"/>
              </w:rPr>
              <w:t>（2）养殖尾水</w:t>
            </w:r>
          </w:p>
          <w:p w14:paraId="4B6C7E21">
            <w:pPr>
              <w:widowControl/>
              <w:spacing w:line="360" w:lineRule="auto"/>
              <w:ind w:firstLine="480" w:firstLineChars="200"/>
              <w:rPr>
                <w:color w:val="auto"/>
                <w:sz w:val="24"/>
                <w:u w:val="single"/>
              </w:rPr>
            </w:pPr>
            <w:r>
              <w:rPr>
                <w:color w:val="auto"/>
                <w:kern w:val="0"/>
                <w:sz w:val="24"/>
                <w:u w:val="single"/>
                <w:lang w:bidi="ar"/>
              </w:rPr>
              <w:t>根据业主提供资料</w:t>
            </w:r>
            <w:r>
              <w:rPr>
                <w:rFonts w:hint="eastAsia"/>
                <w:color w:val="auto"/>
                <w:kern w:val="0"/>
                <w:sz w:val="24"/>
                <w:u w:val="single"/>
                <w:lang w:bidi="ar"/>
              </w:rPr>
              <w:t>，</w:t>
            </w:r>
            <w:r>
              <w:rPr>
                <w:color w:val="auto"/>
                <w:kern w:val="0"/>
                <w:sz w:val="24"/>
                <w:u w:val="single"/>
                <w:lang w:bidi="ar"/>
              </w:rPr>
              <w:t>除</w:t>
            </w:r>
            <w:r>
              <w:rPr>
                <w:rFonts w:hint="eastAsia"/>
                <w:color w:val="auto"/>
                <w:kern w:val="0"/>
                <w:sz w:val="24"/>
                <w:u w:val="single"/>
                <w:lang w:bidi="ar"/>
              </w:rPr>
              <w:t>去马口鱼圈养桶底部前5分钟抽出</w:t>
            </w:r>
            <w:r>
              <w:rPr>
                <w:color w:val="auto"/>
                <w:kern w:val="0"/>
                <w:sz w:val="24"/>
                <w:u w:val="single"/>
                <w:lang w:bidi="ar"/>
              </w:rPr>
              <w:t>养殖黑水</w:t>
            </w:r>
            <w:r>
              <w:rPr>
                <w:rFonts w:hint="eastAsia"/>
                <w:color w:val="auto"/>
                <w:kern w:val="0"/>
                <w:sz w:val="24"/>
                <w:u w:val="single"/>
                <w:lang w:bidi="ar"/>
              </w:rPr>
              <w:t>之外</w:t>
            </w:r>
            <w:r>
              <w:rPr>
                <w:color w:val="auto"/>
                <w:kern w:val="0"/>
                <w:sz w:val="24"/>
                <w:u w:val="single"/>
                <w:lang w:bidi="ar"/>
              </w:rPr>
              <w:t>，其他</w:t>
            </w:r>
            <w:r>
              <w:rPr>
                <w:rFonts w:hint="eastAsia"/>
                <w:color w:val="auto"/>
                <w:kern w:val="0"/>
                <w:sz w:val="24"/>
                <w:u w:val="single"/>
                <w:lang w:bidi="ar"/>
              </w:rPr>
              <w:t>马口鱼圈养桶后续抽出的养殖水均</w:t>
            </w:r>
            <w:r>
              <w:rPr>
                <w:color w:val="auto"/>
                <w:kern w:val="0"/>
                <w:sz w:val="24"/>
                <w:u w:val="single"/>
                <w:lang w:bidi="ar"/>
              </w:rPr>
              <w:t>为养殖尾水，</w:t>
            </w:r>
            <w:r>
              <w:rPr>
                <w:rFonts w:hint="eastAsia"/>
                <w:color w:val="auto"/>
                <w:kern w:val="0"/>
                <w:sz w:val="24"/>
                <w:u w:val="single"/>
                <w:lang w:bidi="ar"/>
              </w:rPr>
              <w:t>观赏鱼所有排出的水均为养殖尾水，经核算本项目</w:t>
            </w:r>
            <w:r>
              <w:rPr>
                <w:color w:val="auto"/>
                <w:kern w:val="0"/>
                <w:sz w:val="24"/>
                <w:u w:val="single"/>
                <w:lang w:bidi="ar"/>
              </w:rPr>
              <w:t>养殖尾水产生量为</w:t>
            </w:r>
            <w:r>
              <w:rPr>
                <w:rFonts w:hint="eastAsia"/>
                <w:color w:val="auto"/>
                <w:kern w:val="0"/>
                <w:sz w:val="24"/>
                <w:u w:val="single"/>
                <w:lang w:bidi="ar"/>
              </w:rPr>
              <w:t>302461.22</w:t>
            </w:r>
            <w:r>
              <w:rPr>
                <w:color w:val="auto"/>
                <w:kern w:val="0"/>
                <w:sz w:val="24"/>
                <w:u w:val="single"/>
                <w:lang w:bidi="ar"/>
              </w:rPr>
              <w:t>m³/a</w:t>
            </w:r>
            <w:r>
              <w:rPr>
                <w:rFonts w:hint="eastAsia"/>
                <w:color w:val="auto"/>
                <w:kern w:val="0"/>
                <w:sz w:val="24"/>
                <w:u w:val="single"/>
                <w:lang w:bidi="ar"/>
              </w:rPr>
              <w:t>（马口鱼70.56/桶/次+观赏鱼19.6/桶/次，每周一次；除去自然蒸发，人工捕捞携带损耗）。</w:t>
            </w:r>
            <w:r>
              <w:rPr>
                <w:color w:val="auto"/>
                <w:kern w:val="0"/>
                <w:sz w:val="24"/>
                <w:u w:val="single"/>
                <w:lang w:bidi="ar"/>
              </w:rPr>
              <w:t>养殖尾水</w:t>
            </w:r>
            <w:r>
              <w:rPr>
                <w:rFonts w:hint="eastAsia"/>
                <w:color w:val="auto"/>
                <w:kern w:val="0"/>
                <w:sz w:val="24"/>
                <w:u w:val="single"/>
                <w:lang w:bidi="ar"/>
              </w:rPr>
              <w:t>成分简单，主要为</w:t>
            </w:r>
            <w:r>
              <w:rPr>
                <w:rFonts w:ascii="Segoe UI" w:hAnsi="Segoe UI" w:eastAsia="Segoe UI" w:cs="Segoe UI"/>
                <w:color w:val="auto"/>
                <w:sz w:val="24"/>
                <w:u w:val="single"/>
                <w:shd w:val="clear" w:color="auto" w:fill="FFFFFF"/>
              </w:rPr>
              <w:t>饲料残渣分解产生的小分子有机物、鱼类黏液分泌物</w:t>
            </w:r>
            <w:r>
              <w:rPr>
                <w:rFonts w:hint="eastAsia"/>
                <w:color w:val="auto"/>
                <w:kern w:val="0"/>
                <w:sz w:val="24"/>
                <w:u w:val="single"/>
                <w:lang w:bidi="ar"/>
              </w:rPr>
              <w:t>，</w:t>
            </w:r>
            <w:r>
              <w:rPr>
                <w:rFonts w:hint="eastAsia" w:ascii="Segoe UI" w:hAnsi="Segoe UI" w:cs="Segoe UI"/>
                <w:color w:val="auto"/>
                <w:sz w:val="24"/>
                <w:u w:val="single"/>
                <w:shd w:val="clear" w:color="auto" w:fill="FFFFFF"/>
              </w:rPr>
              <w:t>具体详见下表：</w:t>
            </w:r>
          </w:p>
          <w:p w14:paraId="1C2F88FE">
            <w:pPr>
              <w:widowControl/>
              <w:snapToGrid w:val="0"/>
              <w:jc w:val="center"/>
              <w:rPr>
                <w:b/>
                <w:bCs/>
                <w:color w:val="auto"/>
                <w:kern w:val="0"/>
                <w:szCs w:val="21"/>
                <w:u w:val="single"/>
              </w:rPr>
            </w:pPr>
            <w:r>
              <w:rPr>
                <w:b/>
                <w:bCs/>
                <w:color w:val="auto"/>
                <w:kern w:val="0"/>
                <w:szCs w:val="21"/>
                <w:u w:val="single"/>
              </w:rPr>
              <w:t>表4-</w:t>
            </w:r>
            <w:r>
              <w:rPr>
                <w:rFonts w:hint="eastAsia"/>
                <w:b/>
                <w:bCs/>
                <w:color w:val="auto"/>
                <w:kern w:val="0"/>
                <w:szCs w:val="21"/>
                <w:u w:val="single"/>
              </w:rPr>
              <w:t>9</w:t>
            </w:r>
            <w:r>
              <w:rPr>
                <w:b/>
                <w:bCs/>
                <w:color w:val="auto"/>
                <w:kern w:val="0"/>
                <w:szCs w:val="21"/>
                <w:u w:val="single"/>
              </w:rPr>
              <w:t xml:space="preserve">   本项目养殖</w:t>
            </w:r>
            <w:r>
              <w:rPr>
                <w:rFonts w:hint="eastAsia"/>
                <w:b/>
                <w:bCs/>
                <w:color w:val="auto"/>
                <w:kern w:val="0"/>
                <w:szCs w:val="21"/>
                <w:u w:val="single"/>
              </w:rPr>
              <w:t>尾水</w:t>
            </w:r>
            <w:r>
              <w:rPr>
                <w:b/>
                <w:bCs/>
                <w:color w:val="auto"/>
                <w:kern w:val="0"/>
                <w:szCs w:val="21"/>
                <w:u w:val="single"/>
              </w:rPr>
              <w:t>产污一览表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70"/>
              <w:gridCol w:w="1975"/>
              <w:gridCol w:w="1975"/>
              <w:gridCol w:w="1975"/>
            </w:tblGrid>
            <w:tr w14:paraId="5D2A30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7" w:type="pct"/>
                  <w:tcBorders>
                    <w:tl2br w:val="nil"/>
                    <w:tr2bl w:val="nil"/>
                  </w:tcBorders>
                  <w:vAlign w:val="center"/>
                </w:tcPr>
                <w:p w14:paraId="66A729F3">
                  <w:pPr>
                    <w:jc w:val="center"/>
                    <w:rPr>
                      <w:b/>
                      <w:bCs/>
                      <w:color w:val="auto"/>
                      <w:szCs w:val="21"/>
                      <w:u w:val="single"/>
                    </w:rPr>
                  </w:pPr>
                  <w:r>
                    <w:rPr>
                      <w:b/>
                      <w:bCs/>
                      <w:color w:val="auto"/>
                      <w:szCs w:val="21"/>
                      <w:u w:val="single"/>
                    </w:rPr>
                    <w:t>污染因子</w:t>
                  </w:r>
                </w:p>
              </w:tc>
              <w:tc>
                <w:tcPr>
                  <w:tcW w:w="1250" w:type="pct"/>
                  <w:tcBorders>
                    <w:tl2br w:val="nil"/>
                    <w:tr2bl w:val="nil"/>
                  </w:tcBorders>
                  <w:vAlign w:val="center"/>
                </w:tcPr>
                <w:p w14:paraId="36013987">
                  <w:pPr>
                    <w:jc w:val="center"/>
                    <w:rPr>
                      <w:b/>
                      <w:bCs/>
                      <w:color w:val="auto"/>
                      <w:szCs w:val="21"/>
                      <w:u w:val="single"/>
                    </w:rPr>
                  </w:pPr>
                  <w:r>
                    <w:rPr>
                      <w:rFonts w:hint="eastAsia"/>
                      <w:b/>
                      <w:bCs/>
                      <w:color w:val="auto"/>
                      <w:szCs w:val="21"/>
                      <w:u w:val="single"/>
                    </w:rPr>
                    <w:t>养殖尾水</w:t>
                  </w:r>
                </w:p>
                <w:p w14:paraId="6808B93F">
                  <w:pPr>
                    <w:jc w:val="center"/>
                    <w:rPr>
                      <w:b/>
                      <w:bCs/>
                      <w:color w:val="auto"/>
                      <w:szCs w:val="21"/>
                      <w:u w:val="single"/>
                    </w:rPr>
                  </w:pPr>
                  <w:r>
                    <w:rPr>
                      <w:b/>
                      <w:bCs/>
                      <w:color w:val="auto"/>
                      <w:szCs w:val="21"/>
                      <w:u w:val="single"/>
                    </w:rPr>
                    <w:t>产生量（m³/a）</w:t>
                  </w:r>
                </w:p>
              </w:tc>
              <w:tc>
                <w:tcPr>
                  <w:tcW w:w="1250" w:type="pct"/>
                  <w:tcBorders>
                    <w:tl2br w:val="nil"/>
                    <w:tr2bl w:val="nil"/>
                  </w:tcBorders>
                  <w:vAlign w:val="center"/>
                </w:tcPr>
                <w:p w14:paraId="31B7917C">
                  <w:pPr>
                    <w:jc w:val="center"/>
                    <w:rPr>
                      <w:b/>
                      <w:bCs/>
                      <w:color w:val="auto"/>
                      <w:szCs w:val="21"/>
                      <w:u w:val="single"/>
                    </w:rPr>
                  </w:pPr>
                  <w:r>
                    <w:rPr>
                      <w:rFonts w:hint="eastAsia"/>
                      <w:b/>
                      <w:bCs/>
                      <w:color w:val="auto"/>
                      <w:szCs w:val="21"/>
                      <w:u w:val="single"/>
                    </w:rPr>
                    <w:t>养殖尾水</w:t>
                  </w:r>
                  <w:r>
                    <w:rPr>
                      <w:b/>
                      <w:bCs/>
                      <w:color w:val="auto"/>
                      <w:szCs w:val="21"/>
                      <w:u w:val="single"/>
                    </w:rPr>
                    <w:t>产生浓度（mg/L）</w:t>
                  </w:r>
                </w:p>
              </w:tc>
              <w:tc>
                <w:tcPr>
                  <w:tcW w:w="1250" w:type="pct"/>
                  <w:tcBorders>
                    <w:tl2br w:val="nil"/>
                    <w:tr2bl w:val="nil"/>
                  </w:tcBorders>
                  <w:vAlign w:val="center"/>
                </w:tcPr>
                <w:p w14:paraId="6A551597">
                  <w:pPr>
                    <w:jc w:val="center"/>
                    <w:rPr>
                      <w:b/>
                      <w:bCs/>
                      <w:color w:val="auto"/>
                      <w:szCs w:val="21"/>
                      <w:u w:val="single"/>
                    </w:rPr>
                  </w:pPr>
                  <w:r>
                    <w:rPr>
                      <w:b/>
                      <w:bCs/>
                      <w:color w:val="auto"/>
                      <w:szCs w:val="21"/>
                      <w:u w:val="single"/>
                    </w:rPr>
                    <w:t>污染物产生量（t/a）</w:t>
                  </w:r>
                </w:p>
              </w:tc>
            </w:tr>
            <w:tr w14:paraId="32EE04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47" w:type="pct"/>
                  <w:tcBorders>
                    <w:tl2br w:val="nil"/>
                    <w:tr2bl w:val="nil"/>
                  </w:tcBorders>
                  <w:vAlign w:val="center"/>
                </w:tcPr>
                <w:p w14:paraId="36804A4A">
                  <w:pPr>
                    <w:jc w:val="center"/>
                    <w:rPr>
                      <w:color w:val="auto"/>
                      <w:szCs w:val="21"/>
                      <w:u w:val="single"/>
                    </w:rPr>
                  </w:pPr>
                  <w:r>
                    <w:rPr>
                      <w:rFonts w:hint="eastAsia"/>
                      <w:color w:val="auto"/>
                      <w:szCs w:val="21"/>
                      <w:u w:val="single"/>
                    </w:rPr>
                    <w:t>BOD</w:t>
                  </w:r>
                </w:p>
              </w:tc>
              <w:tc>
                <w:tcPr>
                  <w:tcW w:w="1250" w:type="pct"/>
                  <w:vMerge w:val="restart"/>
                  <w:tcBorders>
                    <w:tl2br w:val="nil"/>
                    <w:tr2bl w:val="nil"/>
                  </w:tcBorders>
                  <w:vAlign w:val="center"/>
                </w:tcPr>
                <w:p w14:paraId="72AECE00">
                  <w:pPr>
                    <w:jc w:val="center"/>
                    <w:rPr>
                      <w:color w:val="auto"/>
                      <w:szCs w:val="21"/>
                      <w:u w:val="single"/>
                    </w:rPr>
                  </w:pPr>
                  <w:r>
                    <w:rPr>
                      <w:rFonts w:hint="eastAsia"/>
                      <w:color w:val="auto"/>
                      <w:szCs w:val="21"/>
                      <w:u w:val="single"/>
                    </w:rPr>
                    <w:t>302461.22</w:t>
                  </w:r>
                </w:p>
              </w:tc>
              <w:tc>
                <w:tcPr>
                  <w:tcW w:w="1250" w:type="pct"/>
                  <w:tcBorders>
                    <w:tl2br w:val="nil"/>
                    <w:tr2bl w:val="nil"/>
                  </w:tcBorders>
                  <w:vAlign w:val="center"/>
                </w:tcPr>
                <w:p w14:paraId="3721BD07">
                  <w:pPr>
                    <w:widowControl/>
                    <w:jc w:val="center"/>
                    <w:textAlignment w:val="center"/>
                    <w:rPr>
                      <w:color w:val="auto"/>
                      <w:szCs w:val="21"/>
                      <w:u w:val="single"/>
                    </w:rPr>
                  </w:pPr>
                  <w:r>
                    <w:rPr>
                      <w:rFonts w:hint="eastAsia"/>
                      <w:color w:val="auto"/>
                      <w:szCs w:val="21"/>
                      <w:u w:val="single"/>
                    </w:rPr>
                    <w:t>10</w:t>
                  </w:r>
                </w:p>
              </w:tc>
              <w:tc>
                <w:tcPr>
                  <w:tcW w:w="1250" w:type="pct"/>
                  <w:tcBorders>
                    <w:tl2br w:val="nil"/>
                    <w:tr2bl w:val="nil"/>
                  </w:tcBorders>
                  <w:vAlign w:val="center"/>
                </w:tcPr>
                <w:p w14:paraId="245D8618">
                  <w:pPr>
                    <w:widowControl/>
                    <w:jc w:val="center"/>
                    <w:textAlignment w:val="center"/>
                    <w:rPr>
                      <w:color w:val="auto"/>
                      <w:szCs w:val="21"/>
                      <w:u w:val="single"/>
                    </w:rPr>
                  </w:pPr>
                  <w:r>
                    <w:rPr>
                      <w:rFonts w:hint="eastAsia"/>
                      <w:color w:val="auto"/>
                      <w:szCs w:val="21"/>
                      <w:u w:val="single"/>
                    </w:rPr>
                    <w:t>3.02</w:t>
                  </w:r>
                </w:p>
              </w:tc>
            </w:tr>
            <w:tr w14:paraId="355295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47" w:type="pct"/>
                  <w:tcBorders>
                    <w:tl2br w:val="nil"/>
                    <w:tr2bl w:val="nil"/>
                  </w:tcBorders>
                  <w:vAlign w:val="center"/>
                </w:tcPr>
                <w:p w14:paraId="70283060">
                  <w:pPr>
                    <w:jc w:val="center"/>
                    <w:rPr>
                      <w:color w:val="auto"/>
                      <w:szCs w:val="21"/>
                      <w:u w:val="single"/>
                    </w:rPr>
                  </w:pPr>
                  <w:r>
                    <w:rPr>
                      <w:color w:val="auto"/>
                      <w:szCs w:val="21"/>
                      <w:u w:val="single"/>
                    </w:rPr>
                    <w:t>总氮</w:t>
                  </w:r>
                </w:p>
              </w:tc>
              <w:tc>
                <w:tcPr>
                  <w:tcW w:w="1250" w:type="pct"/>
                  <w:vMerge w:val="continue"/>
                  <w:tcBorders>
                    <w:tl2br w:val="nil"/>
                    <w:tr2bl w:val="nil"/>
                  </w:tcBorders>
                  <w:vAlign w:val="center"/>
                </w:tcPr>
                <w:p w14:paraId="50D4BF5F">
                  <w:pPr>
                    <w:jc w:val="center"/>
                    <w:rPr>
                      <w:color w:val="auto"/>
                      <w:szCs w:val="21"/>
                      <w:u w:val="single"/>
                    </w:rPr>
                  </w:pPr>
                </w:p>
              </w:tc>
              <w:tc>
                <w:tcPr>
                  <w:tcW w:w="1250" w:type="pct"/>
                  <w:tcBorders>
                    <w:tl2br w:val="nil"/>
                    <w:tr2bl w:val="nil"/>
                  </w:tcBorders>
                  <w:vAlign w:val="center"/>
                </w:tcPr>
                <w:p w14:paraId="0CBE79F4">
                  <w:pPr>
                    <w:widowControl/>
                    <w:jc w:val="center"/>
                    <w:textAlignment w:val="center"/>
                    <w:rPr>
                      <w:color w:val="auto"/>
                      <w:szCs w:val="21"/>
                      <w:u w:val="single"/>
                    </w:rPr>
                  </w:pPr>
                  <w:r>
                    <w:rPr>
                      <w:rFonts w:hint="eastAsia"/>
                      <w:color w:val="auto"/>
                      <w:szCs w:val="21"/>
                      <w:u w:val="single"/>
                    </w:rPr>
                    <w:t>1.0</w:t>
                  </w:r>
                </w:p>
              </w:tc>
              <w:tc>
                <w:tcPr>
                  <w:tcW w:w="1250" w:type="pct"/>
                  <w:tcBorders>
                    <w:tl2br w:val="nil"/>
                    <w:tr2bl w:val="nil"/>
                  </w:tcBorders>
                  <w:vAlign w:val="center"/>
                </w:tcPr>
                <w:p w14:paraId="02594256">
                  <w:pPr>
                    <w:widowControl/>
                    <w:jc w:val="center"/>
                    <w:textAlignment w:val="center"/>
                    <w:rPr>
                      <w:color w:val="auto"/>
                      <w:szCs w:val="21"/>
                      <w:u w:val="single"/>
                    </w:rPr>
                  </w:pPr>
                  <w:r>
                    <w:rPr>
                      <w:rFonts w:hint="eastAsia"/>
                      <w:color w:val="auto"/>
                      <w:szCs w:val="21"/>
                      <w:u w:val="single"/>
                    </w:rPr>
                    <w:t>0.30</w:t>
                  </w:r>
                </w:p>
              </w:tc>
            </w:tr>
            <w:tr w14:paraId="11047D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47" w:type="pct"/>
                  <w:tcBorders>
                    <w:tl2br w:val="nil"/>
                    <w:tr2bl w:val="nil"/>
                  </w:tcBorders>
                  <w:vAlign w:val="center"/>
                </w:tcPr>
                <w:p w14:paraId="3C446BFC">
                  <w:pPr>
                    <w:jc w:val="center"/>
                    <w:rPr>
                      <w:color w:val="auto"/>
                      <w:szCs w:val="21"/>
                      <w:u w:val="single"/>
                    </w:rPr>
                  </w:pPr>
                  <w:r>
                    <w:rPr>
                      <w:color w:val="auto"/>
                      <w:szCs w:val="21"/>
                      <w:u w:val="single"/>
                    </w:rPr>
                    <w:t>总磷</w:t>
                  </w:r>
                </w:p>
              </w:tc>
              <w:tc>
                <w:tcPr>
                  <w:tcW w:w="1250" w:type="pct"/>
                  <w:vMerge w:val="continue"/>
                  <w:tcBorders>
                    <w:tl2br w:val="nil"/>
                    <w:tr2bl w:val="nil"/>
                  </w:tcBorders>
                  <w:vAlign w:val="center"/>
                </w:tcPr>
                <w:p w14:paraId="27EF6922">
                  <w:pPr>
                    <w:jc w:val="center"/>
                    <w:rPr>
                      <w:color w:val="auto"/>
                      <w:szCs w:val="21"/>
                      <w:u w:val="single"/>
                    </w:rPr>
                  </w:pPr>
                </w:p>
              </w:tc>
              <w:tc>
                <w:tcPr>
                  <w:tcW w:w="1250" w:type="pct"/>
                  <w:tcBorders>
                    <w:tl2br w:val="nil"/>
                    <w:tr2bl w:val="nil"/>
                  </w:tcBorders>
                  <w:vAlign w:val="center"/>
                </w:tcPr>
                <w:p w14:paraId="26A0F4E0">
                  <w:pPr>
                    <w:widowControl/>
                    <w:jc w:val="center"/>
                    <w:textAlignment w:val="center"/>
                    <w:rPr>
                      <w:color w:val="auto"/>
                      <w:szCs w:val="21"/>
                      <w:u w:val="single"/>
                    </w:rPr>
                  </w:pPr>
                  <w:r>
                    <w:rPr>
                      <w:color w:val="auto"/>
                      <w:kern w:val="0"/>
                      <w:szCs w:val="21"/>
                      <w:u w:val="single"/>
                      <w:lang w:bidi="ar"/>
                    </w:rPr>
                    <w:t>0.</w:t>
                  </w:r>
                  <w:r>
                    <w:rPr>
                      <w:rFonts w:hint="eastAsia"/>
                      <w:color w:val="auto"/>
                      <w:kern w:val="0"/>
                      <w:szCs w:val="21"/>
                      <w:u w:val="single"/>
                      <w:lang w:bidi="ar"/>
                    </w:rPr>
                    <w:t>3</w:t>
                  </w:r>
                </w:p>
              </w:tc>
              <w:tc>
                <w:tcPr>
                  <w:tcW w:w="1250" w:type="pct"/>
                  <w:tcBorders>
                    <w:tl2br w:val="nil"/>
                    <w:tr2bl w:val="nil"/>
                  </w:tcBorders>
                  <w:vAlign w:val="center"/>
                </w:tcPr>
                <w:p w14:paraId="07DEFFB5">
                  <w:pPr>
                    <w:widowControl/>
                    <w:jc w:val="center"/>
                    <w:textAlignment w:val="center"/>
                    <w:rPr>
                      <w:color w:val="auto"/>
                      <w:kern w:val="0"/>
                      <w:szCs w:val="21"/>
                      <w:u w:val="single"/>
                      <w:lang w:bidi="ar"/>
                    </w:rPr>
                  </w:pPr>
                  <w:r>
                    <w:rPr>
                      <w:rFonts w:hint="eastAsia"/>
                      <w:color w:val="auto"/>
                      <w:kern w:val="0"/>
                      <w:szCs w:val="21"/>
                      <w:u w:val="single"/>
                      <w:lang w:bidi="ar"/>
                    </w:rPr>
                    <w:t>0.09</w:t>
                  </w:r>
                </w:p>
              </w:tc>
            </w:tr>
            <w:tr w14:paraId="510A3E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jc w:val="center"/>
              </w:trPr>
              <w:tc>
                <w:tcPr>
                  <w:tcW w:w="1247" w:type="pct"/>
                  <w:tcBorders>
                    <w:tl2br w:val="nil"/>
                    <w:tr2bl w:val="nil"/>
                  </w:tcBorders>
                  <w:vAlign w:val="center"/>
                </w:tcPr>
                <w:p w14:paraId="744C7AB0">
                  <w:pPr>
                    <w:jc w:val="center"/>
                    <w:rPr>
                      <w:color w:val="auto"/>
                      <w:szCs w:val="21"/>
                      <w:u w:val="single"/>
                    </w:rPr>
                  </w:pPr>
                  <w:r>
                    <w:rPr>
                      <w:color w:val="auto"/>
                      <w:szCs w:val="21"/>
                      <w:u w:val="single"/>
                    </w:rPr>
                    <w:t>总大肠菌群</w:t>
                  </w:r>
                </w:p>
              </w:tc>
              <w:tc>
                <w:tcPr>
                  <w:tcW w:w="1250" w:type="pct"/>
                  <w:vMerge w:val="continue"/>
                  <w:tcBorders>
                    <w:tl2br w:val="nil"/>
                    <w:tr2bl w:val="nil"/>
                  </w:tcBorders>
                  <w:vAlign w:val="center"/>
                </w:tcPr>
                <w:p w14:paraId="350BA5B4">
                  <w:pPr>
                    <w:jc w:val="center"/>
                    <w:rPr>
                      <w:color w:val="auto"/>
                      <w:szCs w:val="21"/>
                      <w:u w:val="single"/>
                    </w:rPr>
                  </w:pPr>
                </w:p>
              </w:tc>
              <w:tc>
                <w:tcPr>
                  <w:tcW w:w="1250" w:type="pct"/>
                  <w:tcBorders>
                    <w:tl2br w:val="nil"/>
                    <w:tr2bl w:val="nil"/>
                  </w:tcBorders>
                  <w:vAlign w:val="center"/>
                </w:tcPr>
                <w:p w14:paraId="1AE0B64C">
                  <w:pPr>
                    <w:widowControl/>
                    <w:jc w:val="center"/>
                    <w:textAlignment w:val="center"/>
                    <w:rPr>
                      <w:color w:val="auto"/>
                      <w:szCs w:val="21"/>
                      <w:u w:val="single"/>
                    </w:rPr>
                  </w:pPr>
                  <w:r>
                    <w:rPr>
                      <w:rFonts w:hint="eastAsia"/>
                      <w:color w:val="auto"/>
                      <w:szCs w:val="21"/>
                      <w:u w:val="single"/>
                    </w:rPr>
                    <w:t>9000个/L</w:t>
                  </w:r>
                </w:p>
              </w:tc>
              <w:tc>
                <w:tcPr>
                  <w:tcW w:w="1250" w:type="pct"/>
                  <w:tcBorders>
                    <w:tl2br w:val="nil"/>
                    <w:tr2bl w:val="nil"/>
                  </w:tcBorders>
                  <w:vAlign w:val="center"/>
                </w:tcPr>
                <w:p w14:paraId="39BE3529">
                  <w:pPr>
                    <w:widowControl/>
                    <w:jc w:val="center"/>
                    <w:textAlignment w:val="center"/>
                    <w:rPr>
                      <w:color w:val="auto"/>
                      <w:szCs w:val="21"/>
                      <w:u w:val="single"/>
                    </w:rPr>
                  </w:pPr>
                  <w:r>
                    <w:rPr>
                      <w:rFonts w:hint="eastAsia"/>
                      <w:color w:val="auto"/>
                      <w:szCs w:val="21"/>
                      <w:u w:val="single"/>
                    </w:rPr>
                    <w:t>2.72×10</w:t>
                  </w:r>
                  <w:r>
                    <w:rPr>
                      <w:rFonts w:hint="eastAsia"/>
                      <w:color w:val="auto"/>
                      <w:szCs w:val="21"/>
                      <w:u w:val="single"/>
                      <w:vertAlign w:val="superscript"/>
                    </w:rPr>
                    <w:t>12</w:t>
                  </w:r>
                  <w:r>
                    <w:rPr>
                      <w:rFonts w:hint="eastAsia"/>
                      <w:color w:val="auto"/>
                      <w:szCs w:val="21"/>
                      <w:u w:val="single"/>
                    </w:rPr>
                    <w:t>个/a</w:t>
                  </w:r>
                </w:p>
              </w:tc>
            </w:tr>
          </w:tbl>
          <w:p w14:paraId="110DE30B">
            <w:pPr>
              <w:widowControl/>
              <w:spacing w:line="360" w:lineRule="auto"/>
              <w:ind w:firstLine="482" w:firstLineChars="200"/>
              <w:jc w:val="left"/>
              <w:rPr>
                <w:b/>
                <w:bCs/>
                <w:color w:val="auto"/>
                <w:kern w:val="0"/>
                <w:sz w:val="24"/>
                <w:lang w:bidi="ar"/>
              </w:rPr>
            </w:pPr>
            <w:r>
              <w:rPr>
                <w:b/>
                <w:bCs/>
                <w:color w:val="auto"/>
                <w:kern w:val="0"/>
                <w:sz w:val="24"/>
                <w:lang w:bidi="ar"/>
              </w:rPr>
              <w:t>（3）员工生活污水</w:t>
            </w:r>
          </w:p>
          <w:p w14:paraId="5CCBC53B">
            <w:pPr>
              <w:autoSpaceDE w:val="0"/>
              <w:autoSpaceDN w:val="0"/>
              <w:spacing w:line="360" w:lineRule="auto"/>
              <w:ind w:firstLine="480" w:firstLineChars="200"/>
              <w:rPr>
                <w:color w:val="auto"/>
                <w:kern w:val="0"/>
                <w:sz w:val="24"/>
                <w:lang w:bidi="ar"/>
              </w:rPr>
            </w:pPr>
            <w:r>
              <w:rPr>
                <w:color w:val="auto"/>
                <w:sz w:val="24"/>
              </w:rPr>
              <w:t>项目职工人数为3人，不</w:t>
            </w:r>
            <w:r>
              <w:rPr>
                <w:rFonts w:hint="eastAsia"/>
                <w:color w:val="auto"/>
                <w:sz w:val="24"/>
              </w:rPr>
              <w:t>在区域内</w:t>
            </w:r>
            <w:r>
              <w:rPr>
                <w:color w:val="auto"/>
                <w:sz w:val="24"/>
              </w:rPr>
              <w:t>食宿，</w:t>
            </w:r>
            <w:r>
              <w:rPr>
                <w:rFonts w:hint="eastAsia"/>
                <w:color w:val="auto"/>
                <w:sz w:val="24"/>
              </w:rPr>
              <w:t>位于管理用房内办公，其中办公</w:t>
            </w:r>
            <w:r>
              <w:rPr>
                <w:color w:val="auto"/>
                <w:kern w:val="0"/>
                <w:sz w:val="24"/>
                <w:lang w:bidi="ar"/>
              </w:rPr>
              <w:t>生活污水产生量为</w:t>
            </w:r>
            <w:r>
              <w:rPr>
                <w:color w:val="auto"/>
                <w:sz w:val="24"/>
              </w:rPr>
              <w:t>0.253m³/d（91.2m³/a）</w:t>
            </w:r>
            <w:r>
              <w:rPr>
                <w:color w:val="auto"/>
                <w:kern w:val="0"/>
                <w:sz w:val="24"/>
                <w:lang w:bidi="ar"/>
              </w:rPr>
              <w:t>，该部分废水经过化粪池处理后用于周边农田施肥，不外排。</w:t>
            </w:r>
            <w:r>
              <w:rPr>
                <w:rFonts w:hint="eastAsia"/>
                <w:color w:val="auto"/>
                <w:sz w:val="24"/>
              </w:rPr>
              <w:t>生活污水中主要污染物为COD、BOD、SS、氨氮，</w:t>
            </w:r>
            <w:r>
              <w:rPr>
                <w:rStyle w:val="99"/>
                <w:rFonts w:ascii="Times New Roman" w:hAnsi="Times New Roman"/>
                <w:color w:val="auto"/>
                <w:szCs w:val="24"/>
              </w:rPr>
              <w:t>生活废水产生情况见下表</w:t>
            </w:r>
            <w:r>
              <w:rPr>
                <w:color w:val="auto"/>
                <w:kern w:val="0"/>
                <w:sz w:val="24"/>
              </w:rPr>
              <w:t>：</w:t>
            </w:r>
          </w:p>
          <w:p w14:paraId="105A5708">
            <w:pPr>
              <w:jc w:val="center"/>
              <w:rPr>
                <w:b/>
                <w:color w:val="auto"/>
                <w:szCs w:val="21"/>
              </w:rPr>
            </w:pPr>
            <w:r>
              <w:rPr>
                <w:b/>
                <w:color w:val="auto"/>
                <w:szCs w:val="21"/>
              </w:rPr>
              <w:t>表4-</w:t>
            </w:r>
            <w:r>
              <w:rPr>
                <w:rFonts w:hint="eastAsia"/>
                <w:b/>
                <w:color w:val="auto"/>
                <w:szCs w:val="21"/>
              </w:rPr>
              <w:t>10</w:t>
            </w:r>
            <w:r>
              <w:rPr>
                <w:b/>
                <w:color w:val="auto"/>
                <w:szCs w:val="21"/>
              </w:rPr>
              <w:t xml:space="preserve">  各种污染指标产生浓度</w:t>
            </w:r>
          </w:p>
          <w:tbl>
            <w:tblPr>
              <w:tblStyle w:val="27"/>
              <w:tblW w:w="0" w:type="auto"/>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969"/>
              <w:gridCol w:w="1156"/>
              <w:gridCol w:w="1211"/>
              <w:gridCol w:w="1212"/>
              <w:gridCol w:w="1210"/>
              <w:gridCol w:w="1140"/>
            </w:tblGrid>
            <w:tr w14:paraId="2D5511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1969" w:type="dxa"/>
                  <w:vAlign w:val="center"/>
                </w:tcPr>
                <w:p w14:paraId="74C98546">
                  <w:pPr>
                    <w:widowControl/>
                    <w:adjustRightInd w:val="0"/>
                    <w:snapToGrid w:val="0"/>
                    <w:jc w:val="center"/>
                    <w:rPr>
                      <w:color w:val="auto"/>
                      <w:kern w:val="0"/>
                      <w:szCs w:val="21"/>
                    </w:rPr>
                  </w:pPr>
                  <w:r>
                    <w:rPr>
                      <w:color w:val="auto"/>
                      <w:kern w:val="0"/>
                      <w:szCs w:val="21"/>
                    </w:rPr>
                    <w:t>污染指标</w:t>
                  </w:r>
                </w:p>
              </w:tc>
              <w:tc>
                <w:tcPr>
                  <w:tcW w:w="1156" w:type="dxa"/>
                  <w:vAlign w:val="center"/>
                </w:tcPr>
                <w:p w14:paraId="720AD78C">
                  <w:pPr>
                    <w:widowControl/>
                    <w:adjustRightInd w:val="0"/>
                    <w:snapToGrid w:val="0"/>
                    <w:jc w:val="center"/>
                    <w:rPr>
                      <w:color w:val="auto"/>
                      <w:kern w:val="0"/>
                      <w:szCs w:val="21"/>
                    </w:rPr>
                  </w:pPr>
                  <w:r>
                    <w:rPr>
                      <w:color w:val="auto"/>
                      <w:kern w:val="0"/>
                      <w:szCs w:val="21"/>
                    </w:rPr>
                    <w:t>pH值</w:t>
                  </w:r>
                </w:p>
              </w:tc>
              <w:tc>
                <w:tcPr>
                  <w:tcW w:w="1211" w:type="dxa"/>
                  <w:vAlign w:val="center"/>
                </w:tcPr>
                <w:p w14:paraId="24FBFF49">
                  <w:pPr>
                    <w:widowControl/>
                    <w:adjustRightInd w:val="0"/>
                    <w:snapToGrid w:val="0"/>
                    <w:jc w:val="center"/>
                    <w:rPr>
                      <w:color w:val="auto"/>
                      <w:kern w:val="0"/>
                      <w:szCs w:val="21"/>
                    </w:rPr>
                  </w:pPr>
                  <w:r>
                    <w:rPr>
                      <w:color w:val="auto"/>
                      <w:kern w:val="0"/>
                      <w:szCs w:val="21"/>
                    </w:rPr>
                    <w:t>悬浮物</w:t>
                  </w:r>
                </w:p>
              </w:tc>
              <w:tc>
                <w:tcPr>
                  <w:tcW w:w="1212" w:type="dxa"/>
                  <w:vAlign w:val="center"/>
                </w:tcPr>
                <w:p w14:paraId="727D5CDF">
                  <w:pPr>
                    <w:widowControl/>
                    <w:adjustRightInd w:val="0"/>
                    <w:snapToGrid w:val="0"/>
                    <w:jc w:val="center"/>
                    <w:rPr>
                      <w:color w:val="auto"/>
                      <w:kern w:val="0"/>
                      <w:szCs w:val="21"/>
                    </w:rPr>
                  </w:pPr>
                  <w:r>
                    <w:rPr>
                      <w:color w:val="auto"/>
                      <w:kern w:val="0"/>
                      <w:szCs w:val="21"/>
                    </w:rPr>
                    <w:t>COD</w:t>
                  </w:r>
                  <w:r>
                    <w:rPr>
                      <w:color w:val="auto"/>
                      <w:kern w:val="0"/>
                      <w:szCs w:val="21"/>
                      <w:vertAlign w:val="subscript"/>
                    </w:rPr>
                    <w:t>Cr</w:t>
                  </w:r>
                </w:p>
              </w:tc>
              <w:tc>
                <w:tcPr>
                  <w:tcW w:w="1210" w:type="dxa"/>
                  <w:vAlign w:val="center"/>
                </w:tcPr>
                <w:p w14:paraId="4E60D08B">
                  <w:pPr>
                    <w:widowControl/>
                    <w:adjustRightInd w:val="0"/>
                    <w:snapToGrid w:val="0"/>
                    <w:jc w:val="center"/>
                    <w:rPr>
                      <w:color w:val="auto"/>
                      <w:kern w:val="0"/>
                      <w:szCs w:val="21"/>
                    </w:rPr>
                  </w:pPr>
                  <w:r>
                    <w:rPr>
                      <w:color w:val="auto"/>
                      <w:kern w:val="0"/>
                      <w:szCs w:val="21"/>
                    </w:rPr>
                    <w:t>BOD</w:t>
                  </w:r>
                  <w:r>
                    <w:rPr>
                      <w:color w:val="auto"/>
                      <w:kern w:val="0"/>
                      <w:szCs w:val="21"/>
                      <w:vertAlign w:val="subscript"/>
                    </w:rPr>
                    <w:t>5</w:t>
                  </w:r>
                </w:p>
              </w:tc>
              <w:tc>
                <w:tcPr>
                  <w:tcW w:w="1140" w:type="dxa"/>
                  <w:vAlign w:val="center"/>
                </w:tcPr>
                <w:p w14:paraId="732D564F">
                  <w:pPr>
                    <w:widowControl/>
                    <w:adjustRightInd w:val="0"/>
                    <w:snapToGrid w:val="0"/>
                    <w:jc w:val="center"/>
                    <w:rPr>
                      <w:color w:val="auto"/>
                      <w:kern w:val="0"/>
                      <w:szCs w:val="21"/>
                    </w:rPr>
                  </w:pPr>
                  <w:r>
                    <w:rPr>
                      <w:color w:val="auto"/>
                      <w:kern w:val="0"/>
                      <w:szCs w:val="21"/>
                    </w:rPr>
                    <w:t>氨氮</w:t>
                  </w:r>
                </w:p>
              </w:tc>
            </w:tr>
            <w:tr w14:paraId="0D9298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1969" w:type="dxa"/>
                  <w:vAlign w:val="center"/>
                </w:tcPr>
                <w:p w14:paraId="338E598F">
                  <w:pPr>
                    <w:widowControl/>
                    <w:adjustRightInd w:val="0"/>
                    <w:snapToGrid w:val="0"/>
                    <w:jc w:val="center"/>
                    <w:rPr>
                      <w:color w:val="auto"/>
                      <w:kern w:val="0"/>
                      <w:szCs w:val="21"/>
                    </w:rPr>
                  </w:pPr>
                  <w:r>
                    <w:rPr>
                      <w:color w:val="auto"/>
                      <w:kern w:val="0"/>
                      <w:szCs w:val="21"/>
                    </w:rPr>
                    <w:t>产生浓度</w:t>
                  </w:r>
                </w:p>
              </w:tc>
              <w:tc>
                <w:tcPr>
                  <w:tcW w:w="1156" w:type="dxa"/>
                  <w:vAlign w:val="center"/>
                </w:tcPr>
                <w:p w14:paraId="770EA3E7">
                  <w:pPr>
                    <w:widowControl/>
                    <w:adjustRightInd w:val="0"/>
                    <w:snapToGrid w:val="0"/>
                    <w:jc w:val="center"/>
                    <w:rPr>
                      <w:color w:val="auto"/>
                      <w:kern w:val="0"/>
                      <w:szCs w:val="21"/>
                    </w:rPr>
                  </w:pPr>
                  <w:r>
                    <w:rPr>
                      <w:color w:val="auto"/>
                      <w:kern w:val="0"/>
                      <w:szCs w:val="21"/>
                    </w:rPr>
                    <w:t>6~9</w:t>
                  </w:r>
                </w:p>
              </w:tc>
              <w:tc>
                <w:tcPr>
                  <w:tcW w:w="1211" w:type="dxa"/>
                  <w:vAlign w:val="center"/>
                </w:tcPr>
                <w:p w14:paraId="07B2D6C6">
                  <w:pPr>
                    <w:widowControl/>
                    <w:adjustRightInd w:val="0"/>
                    <w:snapToGrid w:val="0"/>
                    <w:jc w:val="center"/>
                    <w:rPr>
                      <w:color w:val="auto"/>
                      <w:kern w:val="0"/>
                      <w:szCs w:val="21"/>
                    </w:rPr>
                  </w:pPr>
                  <w:r>
                    <w:rPr>
                      <w:color w:val="auto"/>
                      <w:kern w:val="0"/>
                      <w:szCs w:val="21"/>
                    </w:rPr>
                    <w:t>280mg/L</w:t>
                  </w:r>
                </w:p>
              </w:tc>
              <w:tc>
                <w:tcPr>
                  <w:tcW w:w="1212" w:type="dxa"/>
                  <w:vAlign w:val="center"/>
                </w:tcPr>
                <w:p w14:paraId="72E61529">
                  <w:pPr>
                    <w:widowControl/>
                    <w:adjustRightInd w:val="0"/>
                    <w:snapToGrid w:val="0"/>
                    <w:jc w:val="center"/>
                    <w:rPr>
                      <w:color w:val="auto"/>
                      <w:kern w:val="0"/>
                      <w:szCs w:val="21"/>
                    </w:rPr>
                  </w:pPr>
                  <w:r>
                    <w:rPr>
                      <w:color w:val="auto"/>
                      <w:kern w:val="0"/>
                      <w:szCs w:val="21"/>
                    </w:rPr>
                    <w:t>350mg/L</w:t>
                  </w:r>
                </w:p>
              </w:tc>
              <w:tc>
                <w:tcPr>
                  <w:tcW w:w="1210" w:type="dxa"/>
                  <w:vAlign w:val="center"/>
                </w:tcPr>
                <w:p w14:paraId="7FC6BEAD">
                  <w:pPr>
                    <w:widowControl/>
                    <w:adjustRightInd w:val="0"/>
                    <w:snapToGrid w:val="0"/>
                    <w:jc w:val="center"/>
                    <w:rPr>
                      <w:color w:val="auto"/>
                      <w:kern w:val="0"/>
                      <w:szCs w:val="21"/>
                    </w:rPr>
                  </w:pPr>
                  <w:r>
                    <w:rPr>
                      <w:color w:val="auto"/>
                      <w:kern w:val="0"/>
                      <w:szCs w:val="21"/>
                    </w:rPr>
                    <w:t>220mg/L</w:t>
                  </w:r>
                </w:p>
              </w:tc>
              <w:tc>
                <w:tcPr>
                  <w:tcW w:w="1140" w:type="dxa"/>
                  <w:vAlign w:val="center"/>
                </w:tcPr>
                <w:p w14:paraId="068DEB90">
                  <w:pPr>
                    <w:widowControl/>
                    <w:adjustRightInd w:val="0"/>
                    <w:snapToGrid w:val="0"/>
                    <w:jc w:val="center"/>
                    <w:rPr>
                      <w:color w:val="auto"/>
                      <w:kern w:val="0"/>
                      <w:szCs w:val="21"/>
                    </w:rPr>
                  </w:pPr>
                  <w:r>
                    <w:rPr>
                      <w:color w:val="auto"/>
                      <w:kern w:val="0"/>
                      <w:szCs w:val="21"/>
                    </w:rPr>
                    <w:t>30 mg/L</w:t>
                  </w:r>
                </w:p>
              </w:tc>
            </w:tr>
            <w:tr w14:paraId="2BB440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19" w:hRule="atLeast"/>
                <w:jc w:val="center"/>
              </w:trPr>
              <w:tc>
                <w:tcPr>
                  <w:tcW w:w="1969" w:type="dxa"/>
                  <w:vAlign w:val="center"/>
                </w:tcPr>
                <w:p w14:paraId="4BED7DE3">
                  <w:pPr>
                    <w:widowControl/>
                    <w:adjustRightInd w:val="0"/>
                    <w:snapToGrid w:val="0"/>
                    <w:jc w:val="center"/>
                    <w:rPr>
                      <w:color w:val="auto"/>
                      <w:kern w:val="0"/>
                      <w:szCs w:val="21"/>
                    </w:rPr>
                  </w:pPr>
                  <w:r>
                    <w:rPr>
                      <w:color w:val="auto"/>
                      <w:kern w:val="0"/>
                      <w:szCs w:val="21"/>
                    </w:rPr>
                    <w:t>本项目产生量</w:t>
                  </w:r>
                  <w:r>
                    <w:rPr>
                      <w:rFonts w:hint="eastAsia"/>
                      <w:color w:val="auto"/>
                      <w:kern w:val="0"/>
                      <w:szCs w:val="21"/>
                    </w:rPr>
                    <w:t>91.2</w:t>
                  </w:r>
                  <w:r>
                    <w:rPr>
                      <w:color w:val="auto"/>
                      <w:kern w:val="0"/>
                      <w:szCs w:val="21"/>
                    </w:rPr>
                    <w:t>m</w:t>
                  </w:r>
                  <w:r>
                    <w:rPr>
                      <w:color w:val="auto"/>
                      <w:kern w:val="0"/>
                      <w:szCs w:val="21"/>
                      <w:vertAlign w:val="superscript"/>
                    </w:rPr>
                    <w:t>3</w:t>
                  </w:r>
                  <w:r>
                    <w:rPr>
                      <w:color w:val="auto"/>
                      <w:kern w:val="0"/>
                      <w:szCs w:val="21"/>
                    </w:rPr>
                    <w:t>/a</w:t>
                  </w:r>
                </w:p>
              </w:tc>
              <w:tc>
                <w:tcPr>
                  <w:tcW w:w="1156" w:type="dxa"/>
                  <w:vAlign w:val="center"/>
                </w:tcPr>
                <w:p w14:paraId="71033877">
                  <w:pPr>
                    <w:widowControl/>
                    <w:adjustRightInd w:val="0"/>
                    <w:snapToGrid w:val="0"/>
                    <w:jc w:val="center"/>
                    <w:rPr>
                      <w:color w:val="auto"/>
                      <w:kern w:val="0"/>
                      <w:szCs w:val="21"/>
                    </w:rPr>
                  </w:pPr>
                  <w:r>
                    <w:rPr>
                      <w:color w:val="auto"/>
                      <w:kern w:val="0"/>
                      <w:szCs w:val="21"/>
                    </w:rPr>
                    <w:t>6~9</w:t>
                  </w:r>
                </w:p>
              </w:tc>
              <w:tc>
                <w:tcPr>
                  <w:tcW w:w="1211" w:type="dxa"/>
                  <w:vAlign w:val="center"/>
                </w:tcPr>
                <w:p w14:paraId="239A269E">
                  <w:pPr>
                    <w:widowControl/>
                    <w:adjustRightInd w:val="0"/>
                    <w:snapToGrid w:val="0"/>
                    <w:jc w:val="center"/>
                    <w:rPr>
                      <w:color w:val="auto"/>
                      <w:kern w:val="0"/>
                      <w:szCs w:val="21"/>
                    </w:rPr>
                  </w:pPr>
                  <w:r>
                    <w:rPr>
                      <w:rFonts w:hint="eastAsia"/>
                      <w:color w:val="auto"/>
                      <w:kern w:val="0"/>
                      <w:szCs w:val="21"/>
                    </w:rPr>
                    <w:t>0.026t/a</w:t>
                  </w:r>
                </w:p>
              </w:tc>
              <w:tc>
                <w:tcPr>
                  <w:tcW w:w="1212" w:type="dxa"/>
                  <w:vAlign w:val="center"/>
                </w:tcPr>
                <w:p w14:paraId="6BC838C3">
                  <w:pPr>
                    <w:widowControl/>
                    <w:adjustRightInd w:val="0"/>
                    <w:snapToGrid w:val="0"/>
                    <w:jc w:val="center"/>
                    <w:rPr>
                      <w:color w:val="auto"/>
                      <w:kern w:val="0"/>
                      <w:szCs w:val="21"/>
                    </w:rPr>
                  </w:pPr>
                  <w:r>
                    <w:rPr>
                      <w:rFonts w:hint="eastAsia"/>
                      <w:color w:val="auto"/>
                      <w:kern w:val="0"/>
                      <w:szCs w:val="21"/>
                    </w:rPr>
                    <w:t>0.032t/a</w:t>
                  </w:r>
                </w:p>
              </w:tc>
              <w:tc>
                <w:tcPr>
                  <w:tcW w:w="1210" w:type="dxa"/>
                  <w:vAlign w:val="center"/>
                </w:tcPr>
                <w:p w14:paraId="7B3687F9">
                  <w:pPr>
                    <w:widowControl/>
                    <w:adjustRightInd w:val="0"/>
                    <w:snapToGrid w:val="0"/>
                    <w:jc w:val="center"/>
                    <w:rPr>
                      <w:color w:val="auto"/>
                      <w:kern w:val="0"/>
                      <w:szCs w:val="21"/>
                    </w:rPr>
                  </w:pPr>
                  <w:r>
                    <w:rPr>
                      <w:rFonts w:hint="eastAsia"/>
                      <w:color w:val="auto"/>
                      <w:kern w:val="0"/>
                      <w:szCs w:val="21"/>
                    </w:rPr>
                    <w:t>0.020t/a</w:t>
                  </w:r>
                </w:p>
              </w:tc>
              <w:tc>
                <w:tcPr>
                  <w:tcW w:w="1140" w:type="dxa"/>
                  <w:vAlign w:val="center"/>
                </w:tcPr>
                <w:p w14:paraId="760B5477">
                  <w:pPr>
                    <w:widowControl/>
                    <w:adjustRightInd w:val="0"/>
                    <w:snapToGrid w:val="0"/>
                    <w:jc w:val="center"/>
                    <w:rPr>
                      <w:color w:val="auto"/>
                      <w:kern w:val="0"/>
                      <w:szCs w:val="21"/>
                    </w:rPr>
                  </w:pPr>
                  <w:r>
                    <w:rPr>
                      <w:rFonts w:hint="eastAsia"/>
                      <w:color w:val="auto"/>
                      <w:kern w:val="0"/>
                      <w:szCs w:val="21"/>
                    </w:rPr>
                    <w:t>0.003t/a</w:t>
                  </w:r>
                </w:p>
              </w:tc>
            </w:tr>
          </w:tbl>
          <w:p w14:paraId="3D1D7402">
            <w:pPr>
              <w:spacing w:line="360" w:lineRule="auto"/>
              <w:rPr>
                <w:b/>
                <w:bCs/>
                <w:color w:val="auto"/>
                <w:kern w:val="0"/>
                <w:sz w:val="24"/>
                <w:lang w:bidi="ar"/>
              </w:rPr>
            </w:pPr>
            <w:r>
              <w:rPr>
                <w:b/>
                <w:bCs/>
                <w:color w:val="auto"/>
                <w:kern w:val="0"/>
                <w:sz w:val="24"/>
                <w:lang w:bidi="ar"/>
              </w:rPr>
              <w:t>3、噪声</w:t>
            </w:r>
          </w:p>
          <w:p w14:paraId="2DF84433">
            <w:pPr>
              <w:spacing w:line="360" w:lineRule="auto"/>
              <w:rPr>
                <w:b/>
                <w:bCs/>
                <w:color w:val="auto"/>
                <w:sz w:val="24"/>
              </w:rPr>
            </w:pPr>
            <w:r>
              <w:rPr>
                <w:b/>
                <w:bCs/>
                <w:color w:val="auto"/>
                <w:sz w:val="24"/>
              </w:rPr>
              <w:t>3.1、噪声</w:t>
            </w:r>
            <w:r>
              <w:rPr>
                <w:b/>
                <w:bCs/>
                <w:color w:val="auto"/>
                <w:kern w:val="0"/>
                <w:sz w:val="24"/>
                <w:lang w:bidi="ar"/>
              </w:rPr>
              <w:t>污染源</w:t>
            </w:r>
            <w:r>
              <w:rPr>
                <w:rFonts w:hint="eastAsia"/>
                <w:b/>
                <w:bCs/>
                <w:color w:val="auto"/>
                <w:kern w:val="0"/>
                <w:sz w:val="24"/>
                <w:lang w:bidi="ar"/>
              </w:rPr>
              <w:t>强</w:t>
            </w:r>
          </w:p>
          <w:p w14:paraId="285D1958">
            <w:pPr>
              <w:spacing w:line="360" w:lineRule="auto"/>
              <w:ind w:firstLine="480" w:firstLineChars="200"/>
              <w:jc w:val="left"/>
              <w:rPr>
                <w:color w:val="auto"/>
                <w:sz w:val="24"/>
              </w:rPr>
            </w:pPr>
            <w:r>
              <w:rPr>
                <w:color w:val="auto"/>
                <w:sz w:val="24"/>
              </w:rPr>
              <w:t>本项目办公</w:t>
            </w:r>
            <w:r>
              <w:rPr>
                <w:rFonts w:hint="eastAsia"/>
                <w:color w:val="auto"/>
                <w:sz w:val="24"/>
              </w:rPr>
              <w:t>区</w:t>
            </w:r>
            <w:r>
              <w:rPr>
                <w:color w:val="auto"/>
                <w:sz w:val="24"/>
              </w:rPr>
              <w:t>与仓储区的噪声类型为生活噪声</w:t>
            </w:r>
            <w:r>
              <w:rPr>
                <w:rFonts w:hint="eastAsia"/>
                <w:color w:val="auto"/>
                <w:sz w:val="24"/>
              </w:rPr>
              <w:t>，</w:t>
            </w:r>
            <w:r>
              <w:rPr>
                <w:color w:val="auto"/>
                <w:sz w:val="24"/>
              </w:rPr>
              <w:t>养殖区域为</w:t>
            </w:r>
            <w:r>
              <w:rPr>
                <w:rFonts w:hint="eastAsia"/>
                <w:color w:val="auto"/>
                <w:sz w:val="24"/>
              </w:rPr>
              <w:t>运营期</w:t>
            </w:r>
            <w:r>
              <w:rPr>
                <w:color w:val="auto"/>
                <w:sz w:val="24"/>
              </w:rPr>
              <w:t>核心噪声源，该区域噪声主要来源于两方面：一是设备运行过程中产生的噪声</w:t>
            </w:r>
            <w:r>
              <w:rPr>
                <w:rFonts w:hint="eastAsia"/>
                <w:color w:val="auto"/>
                <w:sz w:val="24"/>
              </w:rPr>
              <w:t>（风机、轨道运输车、吸污泵、柴油发电机等）</w:t>
            </w:r>
            <w:r>
              <w:rPr>
                <w:color w:val="auto"/>
                <w:sz w:val="24"/>
              </w:rPr>
              <w:t>，二是运输车辆流动过程中产生的噪声，其噪声级范围约为</w:t>
            </w:r>
            <w:r>
              <w:rPr>
                <w:rFonts w:hint="eastAsia"/>
                <w:color w:val="auto"/>
                <w:sz w:val="24"/>
              </w:rPr>
              <w:t>65</w:t>
            </w:r>
            <w:r>
              <w:rPr>
                <w:color w:val="auto"/>
                <w:sz w:val="24"/>
              </w:rPr>
              <w:t>~</w:t>
            </w:r>
            <w:r>
              <w:rPr>
                <w:rFonts w:hint="eastAsia"/>
                <w:color w:val="auto"/>
                <w:sz w:val="24"/>
              </w:rPr>
              <w:t>85</w:t>
            </w:r>
            <w:r>
              <w:rPr>
                <w:color w:val="auto"/>
                <w:sz w:val="24"/>
              </w:rPr>
              <w:t>dB（A）。</w:t>
            </w:r>
          </w:p>
          <w:p w14:paraId="16A1FD05">
            <w:pPr>
              <w:spacing w:line="360" w:lineRule="auto"/>
              <w:ind w:firstLine="480" w:firstLineChars="200"/>
              <w:jc w:val="left"/>
              <w:rPr>
                <w:rFonts w:hint="eastAsia" w:ascii="宋体" w:hAnsi="宋体" w:cs="宋体"/>
                <w:bCs/>
                <w:color w:val="auto"/>
                <w:szCs w:val="21"/>
              </w:rPr>
            </w:pPr>
            <w:r>
              <w:rPr>
                <w:color w:val="auto"/>
                <w:sz w:val="24"/>
              </w:rPr>
              <w:t>各噪声源的详细产生情况详见下表：</w:t>
            </w:r>
          </w:p>
        </w:tc>
      </w:tr>
    </w:tbl>
    <w:p w14:paraId="0D4203B7">
      <w:pPr>
        <w:pStyle w:val="23"/>
        <w:jc w:val="both"/>
        <w:rPr>
          <w:rFonts w:hint="eastAsia" w:ascii="黑体" w:hAnsi="黑体" w:eastAsia="黑体"/>
          <w:snapToGrid w:val="0"/>
          <w:color w:val="auto"/>
          <w:sz w:val="36"/>
          <w:szCs w:val="36"/>
        </w:rPr>
        <w:sectPr>
          <w:headerReference r:id="rId12" w:type="default"/>
          <w:footerReference r:id="rId13" w:type="default"/>
          <w:pgSz w:w="11906" w:h="16838"/>
          <w:pgMar w:top="1440" w:right="1800" w:bottom="1440" w:left="1800" w:header="851" w:footer="1077" w:gutter="0"/>
          <w:cols w:space="720" w:num="1"/>
          <w:docGrid w:linePitch="312" w:charSpace="0"/>
        </w:sectPr>
      </w:pPr>
    </w:p>
    <w:p w14:paraId="38954232">
      <w:pPr>
        <w:widowControl/>
        <w:autoSpaceDE w:val="0"/>
        <w:autoSpaceDN w:val="0"/>
        <w:jc w:val="center"/>
        <w:rPr>
          <w:b/>
          <w:bCs/>
          <w:color w:val="auto"/>
          <w:kern w:val="0"/>
          <w:szCs w:val="21"/>
          <w:lang w:bidi="ar"/>
        </w:rPr>
      </w:pPr>
      <w:r>
        <w:rPr>
          <w:b/>
          <w:bCs/>
          <w:color w:val="auto"/>
          <w:kern w:val="0"/>
          <w:szCs w:val="21"/>
          <w:lang w:bidi="ar"/>
        </w:rPr>
        <w:t>表4-</w:t>
      </w:r>
      <w:r>
        <w:rPr>
          <w:rFonts w:hint="eastAsia"/>
          <w:b/>
          <w:bCs/>
          <w:color w:val="auto"/>
          <w:kern w:val="0"/>
          <w:szCs w:val="21"/>
          <w:lang w:bidi="ar"/>
        </w:rPr>
        <w:t>11</w:t>
      </w:r>
      <w:r>
        <w:rPr>
          <w:b/>
          <w:bCs/>
          <w:color w:val="auto"/>
          <w:kern w:val="0"/>
          <w:szCs w:val="21"/>
          <w:lang w:bidi="ar"/>
        </w:rPr>
        <w:t xml:space="preserve">   噪声源强及采取措施后噪声源声级一览表</w:t>
      </w:r>
    </w:p>
    <w:tbl>
      <w:tblPr>
        <w:tblStyle w:val="28"/>
        <w:tblW w:w="4996"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6"/>
        <w:gridCol w:w="679"/>
        <w:gridCol w:w="993"/>
        <w:gridCol w:w="1156"/>
        <w:gridCol w:w="1006"/>
        <w:gridCol w:w="802"/>
        <w:gridCol w:w="870"/>
        <w:gridCol w:w="841"/>
        <w:gridCol w:w="921"/>
        <w:gridCol w:w="972"/>
        <w:gridCol w:w="1320"/>
        <w:gridCol w:w="700"/>
        <w:gridCol w:w="1159"/>
        <w:gridCol w:w="1153"/>
        <w:gridCol w:w="915"/>
      </w:tblGrid>
      <w:tr w14:paraId="3A78BF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51195347">
            <w:pPr>
              <w:widowControl/>
              <w:jc w:val="center"/>
              <w:rPr>
                <w:b/>
                <w:bCs/>
                <w:color w:val="auto"/>
                <w:szCs w:val="21"/>
              </w:rPr>
            </w:pPr>
            <w:r>
              <w:rPr>
                <w:b/>
                <w:bCs/>
                <w:color w:val="auto"/>
                <w:kern w:val="0"/>
                <w:szCs w:val="21"/>
                <w:lang w:bidi="ar"/>
              </w:rPr>
              <w:t>序号</w:t>
            </w:r>
          </w:p>
        </w:tc>
        <w:tc>
          <w:tcPr>
            <w:tcW w:w="240" w:type="pct"/>
            <w:vMerge w:val="restart"/>
            <w:tcBorders>
              <w:tl2br w:val="nil"/>
              <w:tr2bl w:val="nil"/>
            </w:tcBorders>
            <w:vAlign w:val="center"/>
          </w:tcPr>
          <w:p w14:paraId="539C9FD6">
            <w:pPr>
              <w:widowControl/>
              <w:jc w:val="center"/>
              <w:rPr>
                <w:b/>
                <w:bCs/>
                <w:color w:val="auto"/>
                <w:szCs w:val="21"/>
              </w:rPr>
            </w:pPr>
            <w:r>
              <w:rPr>
                <w:b/>
                <w:bCs/>
                <w:color w:val="auto"/>
                <w:kern w:val="0"/>
                <w:szCs w:val="21"/>
                <w:lang w:bidi="ar"/>
              </w:rPr>
              <w:t>建筑物名称</w:t>
            </w:r>
          </w:p>
        </w:tc>
        <w:tc>
          <w:tcPr>
            <w:tcW w:w="351" w:type="pct"/>
            <w:vMerge w:val="restart"/>
            <w:tcBorders>
              <w:tl2br w:val="nil"/>
              <w:tr2bl w:val="nil"/>
            </w:tcBorders>
            <w:vAlign w:val="center"/>
          </w:tcPr>
          <w:p w14:paraId="3AACB4CD">
            <w:pPr>
              <w:widowControl/>
              <w:jc w:val="center"/>
              <w:rPr>
                <w:b/>
                <w:bCs/>
                <w:color w:val="auto"/>
                <w:szCs w:val="21"/>
              </w:rPr>
            </w:pPr>
            <w:r>
              <w:rPr>
                <w:b/>
                <w:bCs/>
                <w:color w:val="auto"/>
                <w:kern w:val="0"/>
                <w:szCs w:val="21"/>
                <w:lang w:bidi="ar"/>
              </w:rPr>
              <w:t>声源名称</w:t>
            </w:r>
          </w:p>
        </w:tc>
        <w:tc>
          <w:tcPr>
            <w:tcW w:w="408" w:type="pct"/>
            <w:vMerge w:val="restart"/>
            <w:tcBorders>
              <w:tl2br w:val="nil"/>
              <w:tr2bl w:val="nil"/>
            </w:tcBorders>
            <w:vAlign w:val="center"/>
          </w:tcPr>
          <w:p w14:paraId="0EA0F112">
            <w:pPr>
              <w:widowControl/>
              <w:jc w:val="center"/>
              <w:rPr>
                <w:b/>
                <w:bCs/>
                <w:color w:val="auto"/>
                <w:szCs w:val="21"/>
              </w:rPr>
            </w:pPr>
            <w:r>
              <w:rPr>
                <w:b/>
                <w:bCs/>
                <w:color w:val="auto"/>
                <w:kern w:val="0"/>
                <w:szCs w:val="21"/>
                <w:lang w:bidi="ar"/>
              </w:rPr>
              <w:t>声功率级/dB(A)</w:t>
            </w:r>
          </w:p>
          <w:p w14:paraId="4F4CF5C9">
            <w:pPr>
              <w:adjustRightInd w:val="0"/>
              <w:snapToGrid w:val="0"/>
              <w:jc w:val="center"/>
              <w:rPr>
                <w:b/>
                <w:bCs/>
                <w:color w:val="auto"/>
                <w:szCs w:val="21"/>
              </w:rPr>
            </w:pPr>
          </w:p>
        </w:tc>
        <w:tc>
          <w:tcPr>
            <w:tcW w:w="355" w:type="pct"/>
            <w:vMerge w:val="restart"/>
            <w:tcBorders>
              <w:tl2br w:val="nil"/>
              <w:tr2bl w:val="nil"/>
            </w:tcBorders>
            <w:vAlign w:val="center"/>
          </w:tcPr>
          <w:p w14:paraId="567E0D57">
            <w:pPr>
              <w:widowControl/>
              <w:jc w:val="center"/>
              <w:rPr>
                <w:b/>
                <w:bCs/>
                <w:color w:val="auto"/>
                <w:szCs w:val="21"/>
              </w:rPr>
            </w:pPr>
            <w:r>
              <w:rPr>
                <w:b/>
                <w:bCs/>
                <w:color w:val="auto"/>
                <w:kern w:val="0"/>
                <w:szCs w:val="21"/>
                <w:lang w:bidi="ar"/>
              </w:rPr>
              <w:t>声源控</w:t>
            </w:r>
          </w:p>
          <w:p w14:paraId="3CD29CF8">
            <w:pPr>
              <w:widowControl/>
              <w:jc w:val="center"/>
              <w:rPr>
                <w:b/>
                <w:bCs/>
                <w:color w:val="auto"/>
                <w:szCs w:val="21"/>
              </w:rPr>
            </w:pPr>
            <w:r>
              <w:rPr>
                <w:b/>
                <w:bCs/>
                <w:color w:val="auto"/>
                <w:kern w:val="0"/>
                <w:szCs w:val="21"/>
                <w:lang w:bidi="ar"/>
              </w:rPr>
              <w:t>制措施</w:t>
            </w:r>
          </w:p>
        </w:tc>
        <w:tc>
          <w:tcPr>
            <w:tcW w:w="887" w:type="pct"/>
            <w:gridSpan w:val="3"/>
            <w:tcBorders>
              <w:tl2br w:val="nil"/>
              <w:tr2bl w:val="nil"/>
            </w:tcBorders>
            <w:vAlign w:val="center"/>
          </w:tcPr>
          <w:p w14:paraId="76DCB22D">
            <w:pPr>
              <w:widowControl/>
              <w:jc w:val="center"/>
              <w:rPr>
                <w:b/>
                <w:bCs/>
                <w:color w:val="auto"/>
                <w:szCs w:val="21"/>
              </w:rPr>
            </w:pPr>
            <w:r>
              <w:rPr>
                <w:b/>
                <w:bCs/>
                <w:color w:val="auto"/>
                <w:kern w:val="0"/>
                <w:szCs w:val="21"/>
                <w:lang w:bidi="ar"/>
              </w:rPr>
              <w:t>空间相对位置/m</w:t>
            </w:r>
          </w:p>
        </w:tc>
        <w:tc>
          <w:tcPr>
            <w:tcW w:w="668" w:type="pct"/>
            <w:gridSpan w:val="2"/>
            <w:vMerge w:val="restart"/>
            <w:tcBorders>
              <w:tl2br w:val="nil"/>
              <w:tr2bl w:val="nil"/>
            </w:tcBorders>
            <w:vAlign w:val="center"/>
          </w:tcPr>
          <w:p w14:paraId="0BAC719F">
            <w:pPr>
              <w:widowControl/>
              <w:jc w:val="center"/>
              <w:rPr>
                <w:b/>
                <w:bCs/>
                <w:color w:val="auto"/>
                <w:szCs w:val="21"/>
              </w:rPr>
            </w:pPr>
            <w:r>
              <w:rPr>
                <w:b/>
                <w:bCs/>
                <w:color w:val="auto"/>
                <w:kern w:val="0"/>
                <w:szCs w:val="21"/>
                <w:lang w:bidi="ar"/>
              </w:rPr>
              <w:t>距项目边界距离/m</w:t>
            </w:r>
          </w:p>
        </w:tc>
        <w:tc>
          <w:tcPr>
            <w:tcW w:w="466" w:type="pct"/>
            <w:vMerge w:val="restart"/>
            <w:tcBorders>
              <w:tl2br w:val="nil"/>
              <w:tr2bl w:val="nil"/>
            </w:tcBorders>
            <w:vAlign w:val="center"/>
          </w:tcPr>
          <w:p w14:paraId="718F8B3E">
            <w:pPr>
              <w:widowControl/>
              <w:jc w:val="center"/>
              <w:rPr>
                <w:b/>
                <w:bCs/>
                <w:color w:val="auto"/>
                <w:szCs w:val="21"/>
              </w:rPr>
            </w:pPr>
            <w:r>
              <w:rPr>
                <w:b/>
                <w:bCs/>
                <w:color w:val="auto"/>
                <w:kern w:val="0"/>
                <w:szCs w:val="21"/>
                <w:lang w:bidi="ar"/>
              </w:rPr>
              <w:t>项目边界声级/dB(A)</w:t>
            </w:r>
          </w:p>
        </w:tc>
        <w:tc>
          <w:tcPr>
            <w:tcW w:w="247" w:type="pct"/>
            <w:vMerge w:val="restart"/>
            <w:tcBorders>
              <w:tl2br w:val="nil"/>
              <w:tr2bl w:val="nil"/>
            </w:tcBorders>
            <w:vAlign w:val="center"/>
          </w:tcPr>
          <w:p w14:paraId="2ADDC95A">
            <w:pPr>
              <w:widowControl/>
              <w:jc w:val="center"/>
              <w:rPr>
                <w:b/>
                <w:bCs/>
                <w:color w:val="auto"/>
                <w:szCs w:val="21"/>
              </w:rPr>
            </w:pPr>
            <w:r>
              <w:rPr>
                <w:b/>
                <w:bCs/>
                <w:color w:val="auto"/>
                <w:kern w:val="0"/>
                <w:szCs w:val="21"/>
                <w:lang w:bidi="ar"/>
              </w:rPr>
              <w:t>运行时段</w:t>
            </w:r>
          </w:p>
        </w:tc>
        <w:tc>
          <w:tcPr>
            <w:tcW w:w="409" w:type="pct"/>
            <w:vMerge w:val="restart"/>
            <w:tcBorders>
              <w:tl2br w:val="nil"/>
              <w:tr2bl w:val="nil"/>
            </w:tcBorders>
            <w:vAlign w:val="center"/>
          </w:tcPr>
          <w:p w14:paraId="1982570B">
            <w:pPr>
              <w:widowControl/>
              <w:jc w:val="center"/>
              <w:rPr>
                <w:b/>
                <w:bCs/>
                <w:color w:val="auto"/>
                <w:szCs w:val="21"/>
              </w:rPr>
            </w:pPr>
            <w:r>
              <w:rPr>
                <w:b/>
                <w:bCs/>
                <w:color w:val="auto"/>
                <w:kern w:val="0"/>
                <w:szCs w:val="21"/>
                <w:lang w:bidi="ar"/>
              </w:rPr>
              <w:t>建筑物插入损失/dB(A)</w:t>
            </w:r>
          </w:p>
        </w:tc>
        <w:tc>
          <w:tcPr>
            <w:tcW w:w="726" w:type="pct"/>
            <w:gridSpan w:val="2"/>
            <w:tcBorders>
              <w:tl2br w:val="nil"/>
              <w:tr2bl w:val="nil"/>
            </w:tcBorders>
            <w:vAlign w:val="center"/>
          </w:tcPr>
          <w:p w14:paraId="3851F034">
            <w:pPr>
              <w:widowControl/>
              <w:jc w:val="center"/>
              <w:rPr>
                <w:b/>
                <w:bCs/>
                <w:color w:val="auto"/>
                <w:szCs w:val="21"/>
              </w:rPr>
            </w:pPr>
            <w:r>
              <w:rPr>
                <w:b/>
                <w:bCs/>
                <w:color w:val="auto"/>
                <w:kern w:val="0"/>
                <w:szCs w:val="21"/>
                <w:lang w:bidi="ar"/>
              </w:rPr>
              <w:t>厂界外噪声</w:t>
            </w:r>
          </w:p>
        </w:tc>
      </w:tr>
      <w:tr w14:paraId="0D5438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4544411C">
            <w:pPr>
              <w:adjustRightInd w:val="0"/>
              <w:snapToGrid w:val="0"/>
              <w:jc w:val="center"/>
              <w:rPr>
                <w:b/>
                <w:bCs/>
                <w:color w:val="auto"/>
                <w:szCs w:val="21"/>
              </w:rPr>
            </w:pPr>
          </w:p>
        </w:tc>
        <w:tc>
          <w:tcPr>
            <w:tcW w:w="240" w:type="pct"/>
            <w:vMerge w:val="continue"/>
            <w:tcBorders>
              <w:tl2br w:val="nil"/>
              <w:tr2bl w:val="nil"/>
            </w:tcBorders>
            <w:vAlign w:val="center"/>
          </w:tcPr>
          <w:p w14:paraId="6682AE67">
            <w:pPr>
              <w:adjustRightInd w:val="0"/>
              <w:snapToGrid w:val="0"/>
              <w:jc w:val="center"/>
              <w:rPr>
                <w:b/>
                <w:bCs/>
                <w:color w:val="auto"/>
                <w:szCs w:val="21"/>
              </w:rPr>
            </w:pPr>
          </w:p>
        </w:tc>
        <w:tc>
          <w:tcPr>
            <w:tcW w:w="351" w:type="pct"/>
            <w:vMerge w:val="continue"/>
            <w:tcBorders>
              <w:tl2br w:val="nil"/>
              <w:tr2bl w:val="nil"/>
            </w:tcBorders>
            <w:vAlign w:val="center"/>
          </w:tcPr>
          <w:p w14:paraId="3E69A073">
            <w:pPr>
              <w:adjustRightInd w:val="0"/>
              <w:snapToGrid w:val="0"/>
              <w:jc w:val="center"/>
              <w:rPr>
                <w:b/>
                <w:bCs/>
                <w:color w:val="auto"/>
                <w:szCs w:val="21"/>
              </w:rPr>
            </w:pPr>
          </w:p>
        </w:tc>
        <w:tc>
          <w:tcPr>
            <w:tcW w:w="408" w:type="pct"/>
            <w:vMerge w:val="continue"/>
            <w:tcBorders>
              <w:tl2br w:val="nil"/>
              <w:tr2bl w:val="nil"/>
            </w:tcBorders>
            <w:vAlign w:val="center"/>
          </w:tcPr>
          <w:p w14:paraId="753D3F5B">
            <w:pPr>
              <w:adjustRightInd w:val="0"/>
              <w:snapToGrid w:val="0"/>
              <w:jc w:val="center"/>
              <w:rPr>
                <w:b/>
                <w:bCs/>
                <w:color w:val="auto"/>
                <w:szCs w:val="21"/>
              </w:rPr>
            </w:pPr>
          </w:p>
        </w:tc>
        <w:tc>
          <w:tcPr>
            <w:tcW w:w="355" w:type="pct"/>
            <w:vMerge w:val="continue"/>
            <w:tcBorders>
              <w:tl2br w:val="nil"/>
              <w:tr2bl w:val="nil"/>
            </w:tcBorders>
            <w:vAlign w:val="center"/>
          </w:tcPr>
          <w:p w14:paraId="49B46F42">
            <w:pPr>
              <w:adjustRightInd w:val="0"/>
              <w:snapToGrid w:val="0"/>
              <w:jc w:val="center"/>
              <w:rPr>
                <w:b/>
                <w:bCs/>
                <w:color w:val="auto"/>
                <w:szCs w:val="21"/>
              </w:rPr>
            </w:pPr>
          </w:p>
        </w:tc>
        <w:tc>
          <w:tcPr>
            <w:tcW w:w="283" w:type="pct"/>
            <w:tcBorders>
              <w:tl2br w:val="nil"/>
              <w:tr2bl w:val="nil"/>
            </w:tcBorders>
            <w:vAlign w:val="center"/>
          </w:tcPr>
          <w:p w14:paraId="2A1D11B7">
            <w:pPr>
              <w:adjustRightInd w:val="0"/>
              <w:snapToGrid w:val="0"/>
              <w:jc w:val="center"/>
              <w:rPr>
                <w:b/>
                <w:bCs/>
                <w:color w:val="auto"/>
                <w:szCs w:val="21"/>
              </w:rPr>
            </w:pPr>
            <w:r>
              <w:rPr>
                <w:b/>
                <w:bCs/>
                <w:color w:val="auto"/>
                <w:szCs w:val="21"/>
              </w:rPr>
              <w:t>X</w:t>
            </w:r>
          </w:p>
        </w:tc>
        <w:tc>
          <w:tcPr>
            <w:tcW w:w="307" w:type="pct"/>
            <w:tcBorders>
              <w:tl2br w:val="nil"/>
              <w:tr2bl w:val="nil"/>
            </w:tcBorders>
            <w:vAlign w:val="center"/>
          </w:tcPr>
          <w:p w14:paraId="383D720C">
            <w:pPr>
              <w:adjustRightInd w:val="0"/>
              <w:snapToGrid w:val="0"/>
              <w:jc w:val="center"/>
              <w:rPr>
                <w:b/>
                <w:bCs/>
                <w:color w:val="auto"/>
                <w:szCs w:val="21"/>
              </w:rPr>
            </w:pPr>
            <w:r>
              <w:rPr>
                <w:b/>
                <w:bCs/>
                <w:color w:val="auto"/>
                <w:szCs w:val="21"/>
              </w:rPr>
              <w:t>Y</w:t>
            </w:r>
          </w:p>
        </w:tc>
        <w:tc>
          <w:tcPr>
            <w:tcW w:w="296" w:type="pct"/>
            <w:tcBorders>
              <w:tl2br w:val="nil"/>
              <w:tr2bl w:val="nil"/>
            </w:tcBorders>
            <w:vAlign w:val="center"/>
          </w:tcPr>
          <w:p w14:paraId="284D04A9">
            <w:pPr>
              <w:adjustRightInd w:val="0"/>
              <w:snapToGrid w:val="0"/>
              <w:jc w:val="center"/>
              <w:rPr>
                <w:b/>
                <w:bCs/>
                <w:color w:val="auto"/>
                <w:szCs w:val="21"/>
              </w:rPr>
            </w:pPr>
            <w:r>
              <w:rPr>
                <w:b/>
                <w:bCs/>
                <w:color w:val="auto"/>
                <w:szCs w:val="21"/>
              </w:rPr>
              <w:t>Z</w:t>
            </w:r>
          </w:p>
        </w:tc>
        <w:tc>
          <w:tcPr>
            <w:tcW w:w="668" w:type="pct"/>
            <w:gridSpan w:val="2"/>
            <w:vMerge w:val="continue"/>
            <w:tcBorders>
              <w:tl2br w:val="nil"/>
              <w:tr2bl w:val="nil"/>
            </w:tcBorders>
            <w:vAlign w:val="center"/>
          </w:tcPr>
          <w:p w14:paraId="2DB89A1E">
            <w:pPr>
              <w:adjustRightInd w:val="0"/>
              <w:snapToGrid w:val="0"/>
              <w:jc w:val="center"/>
              <w:rPr>
                <w:b/>
                <w:bCs/>
                <w:color w:val="auto"/>
                <w:szCs w:val="21"/>
              </w:rPr>
            </w:pPr>
          </w:p>
        </w:tc>
        <w:tc>
          <w:tcPr>
            <w:tcW w:w="466" w:type="pct"/>
            <w:vMerge w:val="continue"/>
            <w:tcBorders>
              <w:tl2br w:val="nil"/>
              <w:tr2bl w:val="nil"/>
            </w:tcBorders>
            <w:vAlign w:val="center"/>
          </w:tcPr>
          <w:p w14:paraId="1DFD38C2">
            <w:pPr>
              <w:adjustRightInd w:val="0"/>
              <w:snapToGrid w:val="0"/>
              <w:jc w:val="center"/>
              <w:rPr>
                <w:b/>
                <w:bCs/>
                <w:color w:val="auto"/>
                <w:szCs w:val="21"/>
              </w:rPr>
            </w:pPr>
          </w:p>
        </w:tc>
        <w:tc>
          <w:tcPr>
            <w:tcW w:w="247" w:type="pct"/>
            <w:vMerge w:val="continue"/>
            <w:tcBorders>
              <w:tl2br w:val="nil"/>
              <w:tr2bl w:val="nil"/>
            </w:tcBorders>
            <w:vAlign w:val="center"/>
          </w:tcPr>
          <w:p w14:paraId="16772560">
            <w:pPr>
              <w:adjustRightInd w:val="0"/>
              <w:snapToGrid w:val="0"/>
              <w:jc w:val="center"/>
              <w:rPr>
                <w:b/>
                <w:bCs/>
                <w:color w:val="auto"/>
                <w:szCs w:val="21"/>
              </w:rPr>
            </w:pPr>
          </w:p>
        </w:tc>
        <w:tc>
          <w:tcPr>
            <w:tcW w:w="409" w:type="pct"/>
            <w:vMerge w:val="continue"/>
            <w:tcBorders>
              <w:tl2br w:val="nil"/>
              <w:tr2bl w:val="nil"/>
            </w:tcBorders>
            <w:vAlign w:val="center"/>
          </w:tcPr>
          <w:p w14:paraId="73E17E82">
            <w:pPr>
              <w:adjustRightInd w:val="0"/>
              <w:snapToGrid w:val="0"/>
              <w:jc w:val="center"/>
              <w:rPr>
                <w:b/>
                <w:bCs/>
                <w:color w:val="auto"/>
                <w:szCs w:val="21"/>
              </w:rPr>
            </w:pPr>
          </w:p>
        </w:tc>
        <w:tc>
          <w:tcPr>
            <w:tcW w:w="407" w:type="pct"/>
            <w:tcBorders>
              <w:tl2br w:val="nil"/>
              <w:tr2bl w:val="nil"/>
            </w:tcBorders>
            <w:vAlign w:val="center"/>
          </w:tcPr>
          <w:p w14:paraId="2CBF28A1">
            <w:pPr>
              <w:widowControl/>
              <w:jc w:val="center"/>
              <w:rPr>
                <w:b/>
                <w:bCs/>
                <w:color w:val="auto"/>
                <w:szCs w:val="21"/>
              </w:rPr>
            </w:pPr>
            <w:r>
              <w:rPr>
                <w:b/>
                <w:bCs/>
                <w:color w:val="auto"/>
                <w:kern w:val="0"/>
                <w:szCs w:val="21"/>
                <w:lang w:bidi="ar"/>
              </w:rPr>
              <w:t>声压级/dB(A)</w:t>
            </w:r>
          </w:p>
        </w:tc>
        <w:tc>
          <w:tcPr>
            <w:tcW w:w="319" w:type="pct"/>
            <w:tcBorders>
              <w:tl2br w:val="nil"/>
              <w:tr2bl w:val="nil"/>
            </w:tcBorders>
            <w:vAlign w:val="center"/>
          </w:tcPr>
          <w:p w14:paraId="3C867571">
            <w:pPr>
              <w:widowControl/>
              <w:jc w:val="center"/>
              <w:rPr>
                <w:b/>
                <w:bCs/>
                <w:color w:val="auto"/>
                <w:szCs w:val="21"/>
              </w:rPr>
            </w:pPr>
            <w:r>
              <w:rPr>
                <w:b/>
                <w:bCs/>
                <w:color w:val="auto"/>
                <w:kern w:val="0"/>
                <w:szCs w:val="21"/>
                <w:lang w:bidi="ar"/>
              </w:rPr>
              <w:t>厂界外距离</w:t>
            </w:r>
          </w:p>
        </w:tc>
      </w:tr>
      <w:tr w14:paraId="523032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7305BFA1">
            <w:pPr>
              <w:widowControl/>
              <w:jc w:val="center"/>
              <w:textAlignment w:val="center"/>
              <w:rPr>
                <w:color w:val="auto"/>
                <w:szCs w:val="21"/>
              </w:rPr>
            </w:pPr>
            <w:r>
              <w:rPr>
                <w:color w:val="auto"/>
                <w:kern w:val="0"/>
                <w:szCs w:val="21"/>
              </w:rPr>
              <w:t>l</w:t>
            </w:r>
          </w:p>
        </w:tc>
        <w:tc>
          <w:tcPr>
            <w:tcW w:w="240" w:type="pct"/>
            <w:vMerge w:val="restart"/>
            <w:tcBorders>
              <w:tl2br w:val="nil"/>
              <w:tr2bl w:val="nil"/>
            </w:tcBorders>
            <w:vAlign w:val="center"/>
          </w:tcPr>
          <w:p w14:paraId="3E95845E">
            <w:pPr>
              <w:adjustRightInd w:val="0"/>
              <w:snapToGrid w:val="0"/>
              <w:jc w:val="center"/>
              <w:rPr>
                <w:color w:val="auto"/>
                <w:szCs w:val="21"/>
              </w:rPr>
            </w:pPr>
            <w:r>
              <w:rPr>
                <w:color w:val="auto"/>
                <w:szCs w:val="21"/>
              </w:rPr>
              <w:t>圈养区</w:t>
            </w:r>
          </w:p>
        </w:tc>
        <w:tc>
          <w:tcPr>
            <w:tcW w:w="351" w:type="pct"/>
            <w:vMerge w:val="restart"/>
            <w:tcBorders>
              <w:tl2br w:val="nil"/>
              <w:tr2bl w:val="nil"/>
            </w:tcBorders>
            <w:vAlign w:val="center"/>
          </w:tcPr>
          <w:p w14:paraId="0903CDD0">
            <w:pPr>
              <w:widowControl/>
              <w:jc w:val="center"/>
              <w:textAlignment w:val="center"/>
              <w:rPr>
                <w:color w:val="auto"/>
                <w:szCs w:val="21"/>
              </w:rPr>
            </w:pPr>
            <w:r>
              <w:rPr>
                <w:color w:val="auto"/>
                <w:kern w:val="0"/>
                <w:szCs w:val="21"/>
                <w:lang w:bidi="ar"/>
              </w:rPr>
              <w:t>主送料风机（含变频器）</w:t>
            </w:r>
          </w:p>
        </w:tc>
        <w:tc>
          <w:tcPr>
            <w:tcW w:w="408" w:type="pct"/>
            <w:vMerge w:val="restart"/>
            <w:tcBorders>
              <w:tl2br w:val="nil"/>
              <w:tr2bl w:val="nil"/>
            </w:tcBorders>
            <w:vAlign w:val="center"/>
          </w:tcPr>
          <w:p w14:paraId="71FB58DC">
            <w:pPr>
              <w:widowControl/>
              <w:snapToGrid w:val="0"/>
              <w:jc w:val="center"/>
              <w:rPr>
                <w:color w:val="auto"/>
                <w:szCs w:val="21"/>
              </w:rPr>
            </w:pPr>
            <w:r>
              <w:rPr>
                <w:rFonts w:hint="eastAsia"/>
                <w:color w:val="auto"/>
                <w:szCs w:val="21"/>
              </w:rPr>
              <w:t>65</w:t>
            </w:r>
          </w:p>
        </w:tc>
        <w:tc>
          <w:tcPr>
            <w:tcW w:w="355" w:type="pct"/>
            <w:vMerge w:val="restart"/>
            <w:tcBorders>
              <w:tl2br w:val="nil"/>
              <w:tr2bl w:val="nil"/>
            </w:tcBorders>
            <w:vAlign w:val="center"/>
          </w:tcPr>
          <w:p w14:paraId="528CE7E2">
            <w:pPr>
              <w:adjustRightInd w:val="0"/>
              <w:snapToGrid w:val="0"/>
              <w:jc w:val="center"/>
              <w:rPr>
                <w:color w:val="auto"/>
                <w:szCs w:val="21"/>
              </w:rPr>
            </w:pPr>
            <w:r>
              <w:rPr>
                <w:color w:val="auto"/>
                <w:szCs w:val="21"/>
              </w:rPr>
              <w:t>选用低噪设备、安装</w:t>
            </w:r>
            <w:r>
              <w:rPr>
                <w:rFonts w:hint="eastAsia"/>
                <w:color w:val="auto"/>
                <w:szCs w:val="21"/>
              </w:rPr>
              <w:t>减振</w:t>
            </w:r>
            <w:r>
              <w:rPr>
                <w:color w:val="auto"/>
                <w:szCs w:val="21"/>
              </w:rPr>
              <w:t>垫、建筑隔声</w:t>
            </w:r>
          </w:p>
        </w:tc>
        <w:tc>
          <w:tcPr>
            <w:tcW w:w="283" w:type="pct"/>
            <w:vMerge w:val="restart"/>
            <w:tcBorders>
              <w:tl2br w:val="nil"/>
              <w:tr2bl w:val="nil"/>
            </w:tcBorders>
            <w:vAlign w:val="center"/>
          </w:tcPr>
          <w:p w14:paraId="02A89B9A">
            <w:pPr>
              <w:adjustRightInd w:val="0"/>
              <w:snapToGrid w:val="0"/>
              <w:jc w:val="center"/>
              <w:rPr>
                <w:color w:val="auto"/>
                <w:szCs w:val="21"/>
              </w:rPr>
            </w:pPr>
            <w:r>
              <w:rPr>
                <w:color w:val="auto"/>
                <w:szCs w:val="21"/>
              </w:rPr>
              <w:t>-400</w:t>
            </w:r>
          </w:p>
        </w:tc>
        <w:tc>
          <w:tcPr>
            <w:tcW w:w="307" w:type="pct"/>
            <w:vMerge w:val="restart"/>
            <w:tcBorders>
              <w:tl2br w:val="nil"/>
              <w:tr2bl w:val="nil"/>
            </w:tcBorders>
            <w:vAlign w:val="center"/>
          </w:tcPr>
          <w:p w14:paraId="196615E6">
            <w:pPr>
              <w:adjustRightInd w:val="0"/>
              <w:snapToGrid w:val="0"/>
              <w:jc w:val="center"/>
              <w:rPr>
                <w:color w:val="auto"/>
                <w:szCs w:val="21"/>
              </w:rPr>
            </w:pPr>
            <w:r>
              <w:rPr>
                <w:color w:val="auto"/>
                <w:szCs w:val="21"/>
              </w:rPr>
              <w:t>-130</w:t>
            </w:r>
          </w:p>
        </w:tc>
        <w:tc>
          <w:tcPr>
            <w:tcW w:w="296" w:type="pct"/>
            <w:vMerge w:val="restart"/>
            <w:tcBorders>
              <w:tl2br w:val="nil"/>
              <w:tr2bl w:val="nil"/>
            </w:tcBorders>
            <w:vAlign w:val="center"/>
          </w:tcPr>
          <w:p w14:paraId="7C62DFCF">
            <w:pPr>
              <w:adjustRightInd w:val="0"/>
              <w:snapToGrid w:val="0"/>
              <w:jc w:val="center"/>
              <w:rPr>
                <w:color w:val="auto"/>
                <w:szCs w:val="21"/>
              </w:rPr>
            </w:pPr>
            <w:r>
              <w:rPr>
                <w:color w:val="auto"/>
                <w:szCs w:val="21"/>
              </w:rPr>
              <w:t>0.5</w:t>
            </w:r>
          </w:p>
        </w:tc>
        <w:tc>
          <w:tcPr>
            <w:tcW w:w="325" w:type="pct"/>
            <w:tcBorders>
              <w:tl2br w:val="nil"/>
              <w:tr2bl w:val="nil"/>
            </w:tcBorders>
            <w:vAlign w:val="center"/>
          </w:tcPr>
          <w:p w14:paraId="78311570">
            <w:pPr>
              <w:jc w:val="center"/>
              <w:rPr>
                <w:color w:val="auto"/>
                <w:szCs w:val="21"/>
              </w:rPr>
            </w:pPr>
            <w:r>
              <w:rPr>
                <w:color w:val="auto"/>
                <w:szCs w:val="21"/>
              </w:rPr>
              <w:t>东</w:t>
            </w:r>
          </w:p>
        </w:tc>
        <w:tc>
          <w:tcPr>
            <w:tcW w:w="343" w:type="pct"/>
            <w:tcBorders>
              <w:tl2br w:val="nil"/>
              <w:tr2bl w:val="nil"/>
            </w:tcBorders>
            <w:vAlign w:val="center"/>
          </w:tcPr>
          <w:p w14:paraId="0E1052AA">
            <w:pPr>
              <w:adjustRightInd w:val="0"/>
              <w:snapToGrid w:val="0"/>
              <w:jc w:val="center"/>
              <w:rPr>
                <w:color w:val="auto"/>
                <w:szCs w:val="21"/>
              </w:rPr>
            </w:pPr>
            <w:r>
              <w:rPr>
                <w:color w:val="auto"/>
                <w:szCs w:val="21"/>
              </w:rPr>
              <w:t>4</w:t>
            </w:r>
            <w:r>
              <w:rPr>
                <w:rFonts w:hint="eastAsia"/>
                <w:color w:val="auto"/>
                <w:szCs w:val="21"/>
              </w:rPr>
              <w:t>18</w:t>
            </w:r>
          </w:p>
        </w:tc>
        <w:tc>
          <w:tcPr>
            <w:tcW w:w="466" w:type="pct"/>
            <w:tcBorders>
              <w:tl2br w:val="nil"/>
              <w:tr2bl w:val="nil"/>
            </w:tcBorders>
            <w:vAlign w:val="center"/>
          </w:tcPr>
          <w:p w14:paraId="234009AB">
            <w:pPr>
              <w:adjustRightInd w:val="0"/>
              <w:snapToGrid w:val="0"/>
              <w:jc w:val="center"/>
              <w:rPr>
                <w:color w:val="auto"/>
                <w:szCs w:val="21"/>
              </w:rPr>
            </w:pPr>
            <w:r>
              <w:rPr>
                <w:rFonts w:hint="eastAsia"/>
                <w:color w:val="auto"/>
                <w:szCs w:val="21"/>
              </w:rPr>
              <w:t>12.58</w:t>
            </w:r>
          </w:p>
        </w:tc>
        <w:tc>
          <w:tcPr>
            <w:tcW w:w="247" w:type="pct"/>
            <w:vMerge w:val="restart"/>
            <w:tcBorders>
              <w:tl2br w:val="nil"/>
              <w:tr2bl w:val="nil"/>
            </w:tcBorders>
            <w:vAlign w:val="center"/>
          </w:tcPr>
          <w:p w14:paraId="6ABFAAA7">
            <w:pPr>
              <w:jc w:val="center"/>
              <w:rPr>
                <w:color w:val="auto"/>
                <w:szCs w:val="21"/>
              </w:rPr>
            </w:pPr>
            <w:r>
              <w:rPr>
                <w:color w:val="auto"/>
                <w:szCs w:val="21"/>
              </w:rPr>
              <w:t>8h</w:t>
            </w:r>
          </w:p>
        </w:tc>
        <w:tc>
          <w:tcPr>
            <w:tcW w:w="409" w:type="pct"/>
            <w:vMerge w:val="restart"/>
            <w:tcBorders>
              <w:tl2br w:val="nil"/>
              <w:tr2bl w:val="nil"/>
            </w:tcBorders>
            <w:vAlign w:val="center"/>
          </w:tcPr>
          <w:p w14:paraId="5602B816">
            <w:pPr>
              <w:jc w:val="center"/>
              <w:rPr>
                <w:color w:val="auto"/>
                <w:szCs w:val="21"/>
              </w:rPr>
            </w:pPr>
            <w:r>
              <w:rPr>
                <w:color w:val="auto"/>
                <w:szCs w:val="21"/>
              </w:rPr>
              <w:t>5</w:t>
            </w:r>
          </w:p>
        </w:tc>
        <w:tc>
          <w:tcPr>
            <w:tcW w:w="1153" w:type="dxa"/>
            <w:tcBorders>
              <w:tl2br w:val="nil"/>
              <w:tr2bl w:val="nil"/>
            </w:tcBorders>
            <w:vAlign w:val="center"/>
          </w:tcPr>
          <w:p w14:paraId="415D01A7">
            <w:pPr>
              <w:adjustRightInd w:val="0"/>
              <w:snapToGrid w:val="0"/>
              <w:jc w:val="center"/>
              <w:rPr>
                <w:color w:val="auto"/>
                <w:szCs w:val="21"/>
              </w:rPr>
            </w:pPr>
            <w:r>
              <w:rPr>
                <w:rFonts w:hint="eastAsia"/>
                <w:color w:val="auto"/>
                <w:szCs w:val="21"/>
              </w:rPr>
              <w:t>7.58</w:t>
            </w:r>
          </w:p>
        </w:tc>
        <w:tc>
          <w:tcPr>
            <w:tcW w:w="319" w:type="pct"/>
            <w:tcBorders>
              <w:tl2br w:val="nil"/>
              <w:tr2bl w:val="nil"/>
            </w:tcBorders>
            <w:vAlign w:val="center"/>
          </w:tcPr>
          <w:p w14:paraId="28153F75">
            <w:pPr>
              <w:adjustRightInd w:val="0"/>
              <w:snapToGrid w:val="0"/>
              <w:jc w:val="center"/>
              <w:rPr>
                <w:color w:val="auto"/>
                <w:szCs w:val="21"/>
              </w:rPr>
            </w:pPr>
            <w:r>
              <w:rPr>
                <w:color w:val="auto"/>
                <w:szCs w:val="21"/>
              </w:rPr>
              <w:t>1</w:t>
            </w:r>
          </w:p>
        </w:tc>
      </w:tr>
      <w:tr w14:paraId="2F0F5F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trPr>
        <w:tc>
          <w:tcPr>
            <w:tcW w:w="239" w:type="pct"/>
            <w:vMerge w:val="continue"/>
            <w:tcBorders>
              <w:tl2br w:val="nil"/>
              <w:tr2bl w:val="nil"/>
            </w:tcBorders>
            <w:vAlign w:val="center"/>
          </w:tcPr>
          <w:p w14:paraId="1E0F931B">
            <w:pPr>
              <w:adjustRightInd w:val="0"/>
              <w:snapToGrid w:val="0"/>
              <w:jc w:val="center"/>
              <w:rPr>
                <w:color w:val="auto"/>
                <w:szCs w:val="21"/>
              </w:rPr>
            </w:pPr>
          </w:p>
        </w:tc>
        <w:tc>
          <w:tcPr>
            <w:tcW w:w="240" w:type="pct"/>
            <w:vMerge w:val="continue"/>
            <w:tcBorders>
              <w:tl2br w:val="nil"/>
              <w:tr2bl w:val="nil"/>
            </w:tcBorders>
            <w:vAlign w:val="center"/>
          </w:tcPr>
          <w:p w14:paraId="568B2469">
            <w:pPr>
              <w:adjustRightInd w:val="0"/>
              <w:snapToGrid w:val="0"/>
              <w:jc w:val="center"/>
              <w:rPr>
                <w:color w:val="auto"/>
                <w:szCs w:val="21"/>
              </w:rPr>
            </w:pPr>
          </w:p>
        </w:tc>
        <w:tc>
          <w:tcPr>
            <w:tcW w:w="351" w:type="pct"/>
            <w:vMerge w:val="continue"/>
            <w:tcBorders>
              <w:tl2br w:val="nil"/>
              <w:tr2bl w:val="nil"/>
            </w:tcBorders>
            <w:vAlign w:val="center"/>
          </w:tcPr>
          <w:p w14:paraId="3300B36D">
            <w:pPr>
              <w:adjustRightInd w:val="0"/>
              <w:snapToGrid w:val="0"/>
              <w:jc w:val="center"/>
              <w:rPr>
                <w:color w:val="auto"/>
                <w:szCs w:val="21"/>
              </w:rPr>
            </w:pPr>
          </w:p>
        </w:tc>
        <w:tc>
          <w:tcPr>
            <w:tcW w:w="408" w:type="pct"/>
            <w:vMerge w:val="continue"/>
            <w:tcBorders>
              <w:tl2br w:val="nil"/>
              <w:tr2bl w:val="nil"/>
            </w:tcBorders>
            <w:vAlign w:val="center"/>
          </w:tcPr>
          <w:p w14:paraId="3CF029ED">
            <w:pPr>
              <w:adjustRightInd w:val="0"/>
              <w:snapToGrid w:val="0"/>
              <w:jc w:val="center"/>
              <w:rPr>
                <w:color w:val="auto"/>
                <w:szCs w:val="21"/>
              </w:rPr>
            </w:pPr>
          </w:p>
        </w:tc>
        <w:tc>
          <w:tcPr>
            <w:tcW w:w="355" w:type="pct"/>
            <w:vMerge w:val="continue"/>
            <w:tcBorders>
              <w:tl2br w:val="nil"/>
              <w:tr2bl w:val="nil"/>
            </w:tcBorders>
            <w:vAlign w:val="center"/>
          </w:tcPr>
          <w:p w14:paraId="64852DF4">
            <w:pPr>
              <w:adjustRightInd w:val="0"/>
              <w:snapToGrid w:val="0"/>
              <w:jc w:val="center"/>
              <w:rPr>
                <w:color w:val="auto"/>
                <w:szCs w:val="21"/>
              </w:rPr>
            </w:pPr>
          </w:p>
        </w:tc>
        <w:tc>
          <w:tcPr>
            <w:tcW w:w="283" w:type="pct"/>
            <w:vMerge w:val="continue"/>
            <w:tcBorders>
              <w:tl2br w:val="nil"/>
              <w:tr2bl w:val="nil"/>
            </w:tcBorders>
            <w:vAlign w:val="center"/>
          </w:tcPr>
          <w:p w14:paraId="6440E712">
            <w:pPr>
              <w:adjustRightInd w:val="0"/>
              <w:snapToGrid w:val="0"/>
              <w:jc w:val="center"/>
              <w:rPr>
                <w:color w:val="auto"/>
                <w:szCs w:val="21"/>
              </w:rPr>
            </w:pPr>
          </w:p>
        </w:tc>
        <w:tc>
          <w:tcPr>
            <w:tcW w:w="307" w:type="pct"/>
            <w:vMerge w:val="continue"/>
            <w:tcBorders>
              <w:tl2br w:val="nil"/>
              <w:tr2bl w:val="nil"/>
            </w:tcBorders>
            <w:vAlign w:val="center"/>
          </w:tcPr>
          <w:p w14:paraId="28ED79ED">
            <w:pPr>
              <w:adjustRightInd w:val="0"/>
              <w:snapToGrid w:val="0"/>
              <w:jc w:val="center"/>
              <w:rPr>
                <w:color w:val="auto"/>
                <w:szCs w:val="21"/>
              </w:rPr>
            </w:pPr>
          </w:p>
        </w:tc>
        <w:tc>
          <w:tcPr>
            <w:tcW w:w="296" w:type="pct"/>
            <w:vMerge w:val="continue"/>
            <w:tcBorders>
              <w:tl2br w:val="nil"/>
              <w:tr2bl w:val="nil"/>
            </w:tcBorders>
            <w:vAlign w:val="center"/>
          </w:tcPr>
          <w:p w14:paraId="396B5184">
            <w:pPr>
              <w:adjustRightInd w:val="0"/>
              <w:snapToGrid w:val="0"/>
              <w:jc w:val="center"/>
              <w:rPr>
                <w:color w:val="auto"/>
                <w:szCs w:val="21"/>
              </w:rPr>
            </w:pPr>
          </w:p>
        </w:tc>
        <w:tc>
          <w:tcPr>
            <w:tcW w:w="325" w:type="pct"/>
            <w:tcBorders>
              <w:tl2br w:val="nil"/>
              <w:tr2bl w:val="nil"/>
            </w:tcBorders>
            <w:vAlign w:val="center"/>
          </w:tcPr>
          <w:p w14:paraId="6522F551">
            <w:pPr>
              <w:jc w:val="center"/>
              <w:rPr>
                <w:color w:val="auto"/>
                <w:szCs w:val="21"/>
              </w:rPr>
            </w:pPr>
            <w:r>
              <w:rPr>
                <w:color w:val="auto"/>
                <w:szCs w:val="21"/>
              </w:rPr>
              <w:t>南</w:t>
            </w:r>
          </w:p>
        </w:tc>
        <w:tc>
          <w:tcPr>
            <w:tcW w:w="343" w:type="pct"/>
            <w:tcBorders>
              <w:tl2br w:val="nil"/>
              <w:tr2bl w:val="nil"/>
            </w:tcBorders>
            <w:vAlign w:val="center"/>
          </w:tcPr>
          <w:p w14:paraId="0929FF64">
            <w:pPr>
              <w:adjustRightInd w:val="0"/>
              <w:snapToGrid w:val="0"/>
              <w:jc w:val="center"/>
              <w:rPr>
                <w:color w:val="auto"/>
                <w:szCs w:val="21"/>
              </w:rPr>
            </w:pPr>
            <w:r>
              <w:rPr>
                <w:color w:val="auto"/>
                <w:szCs w:val="21"/>
              </w:rPr>
              <w:t>43</w:t>
            </w:r>
            <w:r>
              <w:rPr>
                <w:rFonts w:hint="eastAsia"/>
                <w:color w:val="auto"/>
                <w:szCs w:val="21"/>
              </w:rPr>
              <w:t>7</w:t>
            </w:r>
          </w:p>
        </w:tc>
        <w:tc>
          <w:tcPr>
            <w:tcW w:w="466" w:type="pct"/>
            <w:tcBorders>
              <w:tl2br w:val="nil"/>
              <w:tr2bl w:val="nil"/>
            </w:tcBorders>
            <w:vAlign w:val="center"/>
          </w:tcPr>
          <w:p w14:paraId="2B376670">
            <w:pPr>
              <w:adjustRightInd w:val="0"/>
              <w:snapToGrid w:val="0"/>
              <w:jc w:val="center"/>
              <w:rPr>
                <w:color w:val="auto"/>
                <w:szCs w:val="21"/>
              </w:rPr>
            </w:pPr>
            <w:r>
              <w:rPr>
                <w:rFonts w:hint="eastAsia"/>
                <w:color w:val="auto"/>
                <w:szCs w:val="21"/>
              </w:rPr>
              <w:t>12.19</w:t>
            </w:r>
          </w:p>
        </w:tc>
        <w:tc>
          <w:tcPr>
            <w:tcW w:w="247" w:type="pct"/>
            <w:vMerge w:val="continue"/>
            <w:tcBorders>
              <w:tl2br w:val="nil"/>
              <w:tr2bl w:val="nil"/>
            </w:tcBorders>
            <w:vAlign w:val="center"/>
          </w:tcPr>
          <w:p w14:paraId="076198A1">
            <w:pPr>
              <w:adjustRightInd w:val="0"/>
              <w:snapToGrid w:val="0"/>
              <w:jc w:val="center"/>
              <w:rPr>
                <w:color w:val="auto"/>
                <w:szCs w:val="21"/>
              </w:rPr>
            </w:pPr>
          </w:p>
        </w:tc>
        <w:tc>
          <w:tcPr>
            <w:tcW w:w="409" w:type="pct"/>
            <w:vMerge w:val="continue"/>
            <w:tcBorders>
              <w:tl2br w:val="nil"/>
              <w:tr2bl w:val="nil"/>
            </w:tcBorders>
            <w:vAlign w:val="center"/>
          </w:tcPr>
          <w:p w14:paraId="462905F8">
            <w:pPr>
              <w:adjustRightInd w:val="0"/>
              <w:snapToGrid w:val="0"/>
              <w:jc w:val="center"/>
              <w:rPr>
                <w:color w:val="auto"/>
                <w:szCs w:val="21"/>
              </w:rPr>
            </w:pPr>
          </w:p>
        </w:tc>
        <w:tc>
          <w:tcPr>
            <w:tcW w:w="1153" w:type="dxa"/>
            <w:tcBorders>
              <w:tl2br w:val="nil"/>
              <w:tr2bl w:val="nil"/>
            </w:tcBorders>
            <w:vAlign w:val="center"/>
          </w:tcPr>
          <w:p w14:paraId="2ED6DEC0">
            <w:pPr>
              <w:adjustRightInd w:val="0"/>
              <w:snapToGrid w:val="0"/>
              <w:jc w:val="center"/>
              <w:rPr>
                <w:color w:val="auto"/>
                <w:szCs w:val="21"/>
              </w:rPr>
            </w:pPr>
            <w:r>
              <w:rPr>
                <w:rFonts w:hint="eastAsia"/>
                <w:color w:val="auto"/>
                <w:szCs w:val="21"/>
              </w:rPr>
              <w:t>7.19</w:t>
            </w:r>
          </w:p>
        </w:tc>
        <w:tc>
          <w:tcPr>
            <w:tcW w:w="319" w:type="pct"/>
            <w:tcBorders>
              <w:tl2br w:val="nil"/>
              <w:tr2bl w:val="nil"/>
            </w:tcBorders>
            <w:vAlign w:val="center"/>
          </w:tcPr>
          <w:p w14:paraId="042C358F">
            <w:pPr>
              <w:adjustRightInd w:val="0"/>
              <w:snapToGrid w:val="0"/>
              <w:jc w:val="center"/>
              <w:rPr>
                <w:color w:val="auto"/>
                <w:szCs w:val="21"/>
              </w:rPr>
            </w:pPr>
            <w:r>
              <w:rPr>
                <w:color w:val="auto"/>
                <w:szCs w:val="21"/>
              </w:rPr>
              <w:t>1</w:t>
            </w:r>
          </w:p>
        </w:tc>
      </w:tr>
      <w:tr w14:paraId="18C63A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39" w:type="pct"/>
            <w:vMerge w:val="continue"/>
            <w:tcBorders>
              <w:tl2br w:val="nil"/>
              <w:tr2bl w:val="nil"/>
            </w:tcBorders>
            <w:vAlign w:val="center"/>
          </w:tcPr>
          <w:p w14:paraId="7BC426D4">
            <w:pPr>
              <w:adjustRightInd w:val="0"/>
              <w:snapToGrid w:val="0"/>
              <w:jc w:val="center"/>
              <w:rPr>
                <w:color w:val="auto"/>
                <w:szCs w:val="21"/>
              </w:rPr>
            </w:pPr>
          </w:p>
        </w:tc>
        <w:tc>
          <w:tcPr>
            <w:tcW w:w="240" w:type="pct"/>
            <w:vMerge w:val="continue"/>
            <w:tcBorders>
              <w:tl2br w:val="nil"/>
              <w:tr2bl w:val="nil"/>
            </w:tcBorders>
            <w:vAlign w:val="center"/>
          </w:tcPr>
          <w:p w14:paraId="2F128429">
            <w:pPr>
              <w:adjustRightInd w:val="0"/>
              <w:snapToGrid w:val="0"/>
              <w:jc w:val="center"/>
              <w:rPr>
                <w:color w:val="auto"/>
                <w:szCs w:val="21"/>
              </w:rPr>
            </w:pPr>
          </w:p>
        </w:tc>
        <w:tc>
          <w:tcPr>
            <w:tcW w:w="351" w:type="pct"/>
            <w:vMerge w:val="continue"/>
            <w:tcBorders>
              <w:tl2br w:val="nil"/>
              <w:tr2bl w:val="nil"/>
            </w:tcBorders>
            <w:vAlign w:val="center"/>
          </w:tcPr>
          <w:p w14:paraId="7464D728">
            <w:pPr>
              <w:adjustRightInd w:val="0"/>
              <w:snapToGrid w:val="0"/>
              <w:jc w:val="center"/>
              <w:rPr>
                <w:color w:val="auto"/>
                <w:szCs w:val="21"/>
              </w:rPr>
            </w:pPr>
          </w:p>
        </w:tc>
        <w:tc>
          <w:tcPr>
            <w:tcW w:w="408" w:type="pct"/>
            <w:vMerge w:val="continue"/>
            <w:tcBorders>
              <w:tl2br w:val="nil"/>
              <w:tr2bl w:val="nil"/>
            </w:tcBorders>
            <w:vAlign w:val="center"/>
          </w:tcPr>
          <w:p w14:paraId="5B9F178F">
            <w:pPr>
              <w:adjustRightInd w:val="0"/>
              <w:snapToGrid w:val="0"/>
              <w:jc w:val="center"/>
              <w:rPr>
                <w:color w:val="auto"/>
                <w:szCs w:val="21"/>
              </w:rPr>
            </w:pPr>
          </w:p>
        </w:tc>
        <w:tc>
          <w:tcPr>
            <w:tcW w:w="355" w:type="pct"/>
            <w:vMerge w:val="continue"/>
            <w:tcBorders>
              <w:tl2br w:val="nil"/>
              <w:tr2bl w:val="nil"/>
            </w:tcBorders>
            <w:vAlign w:val="center"/>
          </w:tcPr>
          <w:p w14:paraId="0157B6E0">
            <w:pPr>
              <w:adjustRightInd w:val="0"/>
              <w:snapToGrid w:val="0"/>
              <w:jc w:val="center"/>
              <w:rPr>
                <w:color w:val="auto"/>
                <w:szCs w:val="21"/>
              </w:rPr>
            </w:pPr>
          </w:p>
        </w:tc>
        <w:tc>
          <w:tcPr>
            <w:tcW w:w="283" w:type="pct"/>
            <w:vMerge w:val="continue"/>
            <w:tcBorders>
              <w:tl2br w:val="nil"/>
              <w:tr2bl w:val="nil"/>
            </w:tcBorders>
            <w:vAlign w:val="center"/>
          </w:tcPr>
          <w:p w14:paraId="1D0F4E66">
            <w:pPr>
              <w:adjustRightInd w:val="0"/>
              <w:snapToGrid w:val="0"/>
              <w:jc w:val="center"/>
              <w:rPr>
                <w:color w:val="auto"/>
                <w:szCs w:val="21"/>
              </w:rPr>
            </w:pPr>
          </w:p>
        </w:tc>
        <w:tc>
          <w:tcPr>
            <w:tcW w:w="307" w:type="pct"/>
            <w:vMerge w:val="continue"/>
            <w:tcBorders>
              <w:tl2br w:val="nil"/>
              <w:tr2bl w:val="nil"/>
            </w:tcBorders>
            <w:vAlign w:val="center"/>
          </w:tcPr>
          <w:p w14:paraId="6F3F5A2C">
            <w:pPr>
              <w:adjustRightInd w:val="0"/>
              <w:snapToGrid w:val="0"/>
              <w:jc w:val="center"/>
              <w:rPr>
                <w:color w:val="auto"/>
                <w:szCs w:val="21"/>
              </w:rPr>
            </w:pPr>
          </w:p>
        </w:tc>
        <w:tc>
          <w:tcPr>
            <w:tcW w:w="296" w:type="pct"/>
            <w:vMerge w:val="continue"/>
            <w:tcBorders>
              <w:tl2br w:val="nil"/>
              <w:tr2bl w:val="nil"/>
            </w:tcBorders>
            <w:vAlign w:val="center"/>
          </w:tcPr>
          <w:p w14:paraId="6C733B63">
            <w:pPr>
              <w:adjustRightInd w:val="0"/>
              <w:snapToGrid w:val="0"/>
              <w:jc w:val="center"/>
              <w:rPr>
                <w:color w:val="auto"/>
                <w:szCs w:val="21"/>
              </w:rPr>
            </w:pPr>
          </w:p>
        </w:tc>
        <w:tc>
          <w:tcPr>
            <w:tcW w:w="325" w:type="pct"/>
            <w:tcBorders>
              <w:tl2br w:val="nil"/>
              <w:tr2bl w:val="nil"/>
            </w:tcBorders>
            <w:vAlign w:val="center"/>
          </w:tcPr>
          <w:p w14:paraId="1BBA2EB1">
            <w:pPr>
              <w:jc w:val="center"/>
              <w:rPr>
                <w:color w:val="auto"/>
                <w:szCs w:val="21"/>
              </w:rPr>
            </w:pPr>
            <w:r>
              <w:rPr>
                <w:color w:val="auto"/>
                <w:szCs w:val="21"/>
              </w:rPr>
              <w:t>西</w:t>
            </w:r>
          </w:p>
        </w:tc>
        <w:tc>
          <w:tcPr>
            <w:tcW w:w="343" w:type="pct"/>
            <w:tcBorders>
              <w:tl2br w:val="nil"/>
              <w:tr2bl w:val="nil"/>
            </w:tcBorders>
            <w:vAlign w:val="center"/>
          </w:tcPr>
          <w:p w14:paraId="509DFB2A">
            <w:pPr>
              <w:adjustRightInd w:val="0"/>
              <w:snapToGrid w:val="0"/>
              <w:jc w:val="center"/>
              <w:rPr>
                <w:color w:val="auto"/>
                <w:szCs w:val="21"/>
              </w:rPr>
            </w:pPr>
            <w:r>
              <w:rPr>
                <w:rFonts w:hint="eastAsia"/>
                <w:color w:val="auto"/>
                <w:szCs w:val="21"/>
              </w:rPr>
              <w:t>68</w:t>
            </w:r>
          </w:p>
        </w:tc>
        <w:tc>
          <w:tcPr>
            <w:tcW w:w="466" w:type="pct"/>
            <w:tcBorders>
              <w:tl2br w:val="nil"/>
              <w:tr2bl w:val="nil"/>
            </w:tcBorders>
            <w:vAlign w:val="center"/>
          </w:tcPr>
          <w:p w14:paraId="57B9634E">
            <w:pPr>
              <w:adjustRightInd w:val="0"/>
              <w:snapToGrid w:val="0"/>
              <w:jc w:val="center"/>
              <w:rPr>
                <w:color w:val="auto"/>
                <w:szCs w:val="21"/>
              </w:rPr>
            </w:pPr>
            <w:r>
              <w:rPr>
                <w:rFonts w:hint="eastAsia"/>
                <w:color w:val="auto"/>
                <w:szCs w:val="21"/>
              </w:rPr>
              <w:t>28.35</w:t>
            </w:r>
          </w:p>
        </w:tc>
        <w:tc>
          <w:tcPr>
            <w:tcW w:w="247" w:type="pct"/>
            <w:vMerge w:val="continue"/>
            <w:tcBorders>
              <w:tl2br w:val="nil"/>
              <w:tr2bl w:val="nil"/>
            </w:tcBorders>
            <w:vAlign w:val="center"/>
          </w:tcPr>
          <w:p w14:paraId="7E239A7F">
            <w:pPr>
              <w:adjustRightInd w:val="0"/>
              <w:snapToGrid w:val="0"/>
              <w:jc w:val="center"/>
              <w:rPr>
                <w:color w:val="auto"/>
                <w:szCs w:val="21"/>
              </w:rPr>
            </w:pPr>
          </w:p>
        </w:tc>
        <w:tc>
          <w:tcPr>
            <w:tcW w:w="409" w:type="pct"/>
            <w:vMerge w:val="continue"/>
            <w:tcBorders>
              <w:tl2br w:val="nil"/>
              <w:tr2bl w:val="nil"/>
            </w:tcBorders>
            <w:vAlign w:val="center"/>
          </w:tcPr>
          <w:p w14:paraId="36EB014F">
            <w:pPr>
              <w:adjustRightInd w:val="0"/>
              <w:snapToGrid w:val="0"/>
              <w:jc w:val="center"/>
              <w:rPr>
                <w:color w:val="auto"/>
                <w:szCs w:val="21"/>
              </w:rPr>
            </w:pPr>
          </w:p>
        </w:tc>
        <w:tc>
          <w:tcPr>
            <w:tcW w:w="1153" w:type="dxa"/>
            <w:tcBorders>
              <w:tl2br w:val="nil"/>
              <w:tr2bl w:val="nil"/>
            </w:tcBorders>
            <w:vAlign w:val="center"/>
          </w:tcPr>
          <w:p w14:paraId="709E013F">
            <w:pPr>
              <w:adjustRightInd w:val="0"/>
              <w:snapToGrid w:val="0"/>
              <w:jc w:val="center"/>
              <w:rPr>
                <w:color w:val="auto"/>
                <w:szCs w:val="21"/>
              </w:rPr>
            </w:pPr>
            <w:r>
              <w:rPr>
                <w:rFonts w:hint="eastAsia"/>
                <w:color w:val="auto"/>
                <w:szCs w:val="21"/>
              </w:rPr>
              <w:t>23.35</w:t>
            </w:r>
          </w:p>
        </w:tc>
        <w:tc>
          <w:tcPr>
            <w:tcW w:w="319" w:type="pct"/>
            <w:tcBorders>
              <w:tl2br w:val="nil"/>
              <w:tr2bl w:val="nil"/>
            </w:tcBorders>
            <w:vAlign w:val="center"/>
          </w:tcPr>
          <w:p w14:paraId="78A2CE03">
            <w:pPr>
              <w:adjustRightInd w:val="0"/>
              <w:snapToGrid w:val="0"/>
              <w:jc w:val="center"/>
              <w:rPr>
                <w:color w:val="auto"/>
                <w:szCs w:val="21"/>
              </w:rPr>
            </w:pPr>
            <w:r>
              <w:rPr>
                <w:color w:val="auto"/>
                <w:szCs w:val="21"/>
              </w:rPr>
              <w:t>1</w:t>
            </w:r>
          </w:p>
        </w:tc>
      </w:tr>
      <w:tr w14:paraId="355D7F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07B7ADDD">
            <w:pPr>
              <w:adjustRightInd w:val="0"/>
              <w:snapToGrid w:val="0"/>
              <w:jc w:val="center"/>
              <w:rPr>
                <w:color w:val="auto"/>
                <w:szCs w:val="21"/>
              </w:rPr>
            </w:pPr>
          </w:p>
        </w:tc>
        <w:tc>
          <w:tcPr>
            <w:tcW w:w="240" w:type="pct"/>
            <w:vMerge w:val="continue"/>
            <w:tcBorders>
              <w:tl2br w:val="nil"/>
              <w:tr2bl w:val="nil"/>
            </w:tcBorders>
            <w:vAlign w:val="center"/>
          </w:tcPr>
          <w:p w14:paraId="2C959D80">
            <w:pPr>
              <w:adjustRightInd w:val="0"/>
              <w:snapToGrid w:val="0"/>
              <w:jc w:val="center"/>
              <w:rPr>
                <w:color w:val="auto"/>
                <w:szCs w:val="21"/>
              </w:rPr>
            </w:pPr>
          </w:p>
        </w:tc>
        <w:tc>
          <w:tcPr>
            <w:tcW w:w="351" w:type="pct"/>
            <w:vMerge w:val="continue"/>
            <w:tcBorders>
              <w:tl2br w:val="nil"/>
              <w:tr2bl w:val="nil"/>
            </w:tcBorders>
            <w:vAlign w:val="center"/>
          </w:tcPr>
          <w:p w14:paraId="02C80368">
            <w:pPr>
              <w:adjustRightInd w:val="0"/>
              <w:snapToGrid w:val="0"/>
              <w:jc w:val="center"/>
              <w:rPr>
                <w:color w:val="auto"/>
                <w:szCs w:val="21"/>
              </w:rPr>
            </w:pPr>
          </w:p>
        </w:tc>
        <w:tc>
          <w:tcPr>
            <w:tcW w:w="408" w:type="pct"/>
            <w:vMerge w:val="continue"/>
            <w:tcBorders>
              <w:tl2br w:val="nil"/>
              <w:tr2bl w:val="nil"/>
            </w:tcBorders>
            <w:vAlign w:val="center"/>
          </w:tcPr>
          <w:p w14:paraId="4E376055">
            <w:pPr>
              <w:adjustRightInd w:val="0"/>
              <w:snapToGrid w:val="0"/>
              <w:jc w:val="center"/>
              <w:rPr>
                <w:color w:val="auto"/>
                <w:szCs w:val="21"/>
              </w:rPr>
            </w:pPr>
          </w:p>
        </w:tc>
        <w:tc>
          <w:tcPr>
            <w:tcW w:w="355" w:type="pct"/>
            <w:vMerge w:val="continue"/>
            <w:tcBorders>
              <w:tl2br w:val="nil"/>
              <w:tr2bl w:val="nil"/>
            </w:tcBorders>
            <w:vAlign w:val="center"/>
          </w:tcPr>
          <w:p w14:paraId="3D777586">
            <w:pPr>
              <w:adjustRightInd w:val="0"/>
              <w:snapToGrid w:val="0"/>
              <w:jc w:val="center"/>
              <w:rPr>
                <w:color w:val="auto"/>
                <w:szCs w:val="21"/>
              </w:rPr>
            </w:pPr>
          </w:p>
        </w:tc>
        <w:tc>
          <w:tcPr>
            <w:tcW w:w="283" w:type="pct"/>
            <w:vMerge w:val="continue"/>
            <w:tcBorders>
              <w:tl2br w:val="nil"/>
              <w:tr2bl w:val="nil"/>
            </w:tcBorders>
            <w:vAlign w:val="center"/>
          </w:tcPr>
          <w:p w14:paraId="2AE45B97">
            <w:pPr>
              <w:adjustRightInd w:val="0"/>
              <w:snapToGrid w:val="0"/>
              <w:jc w:val="center"/>
              <w:rPr>
                <w:color w:val="auto"/>
                <w:szCs w:val="21"/>
              </w:rPr>
            </w:pPr>
          </w:p>
        </w:tc>
        <w:tc>
          <w:tcPr>
            <w:tcW w:w="307" w:type="pct"/>
            <w:vMerge w:val="continue"/>
            <w:tcBorders>
              <w:tl2br w:val="nil"/>
              <w:tr2bl w:val="nil"/>
            </w:tcBorders>
            <w:vAlign w:val="center"/>
          </w:tcPr>
          <w:p w14:paraId="159A7564">
            <w:pPr>
              <w:adjustRightInd w:val="0"/>
              <w:snapToGrid w:val="0"/>
              <w:jc w:val="center"/>
              <w:rPr>
                <w:color w:val="auto"/>
                <w:szCs w:val="21"/>
              </w:rPr>
            </w:pPr>
          </w:p>
        </w:tc>
        <w:tc>
          <w:tcPr>
            <w:tcW w:w="296" w:type="pct"/>
            <w:vMerge w:val="continue"/>
            <w:tcBorders>
              <w:tl2br w:val="nil"/>
              <w:tr2bl w:val="nil"/>
            </w:tcBorders>
            <w:vAlign w:val="center"/>
          </w:tcPr>
          <w:p w14:paraId="61964662">
            <w:pPr>
              <w:adjustRightInd w:val="0"/>
              <w:snapToGrid w:val="0"/>
              <w:jc w:val="center"/>
              <w:rPr>
                <w:color w:val="auto"/>
                <w:szCs w:val="21"/>
              </w:rPr>
            </w:pPr>
          </w:p>
        </w:tc>
        <w:tc>
          <w:tcPr>
            <w:tcW w:w="325" w:type="pct"/>
            <w:tcBorders>
              <w:tl2br w:val="nil"/>
              <w:tr2bl w:val="nil"/>
            </w:tcBorders>
            <w:vAlign w:val="center"/>
          </w:tcPr>
          <w:p w14:paraId="5D16FB43">
            <w:pPr>
              <w:jc w:val="center"/>
              <w:rPr>
                <w:color w:val="auto"/>
                <w:szCs w:val="21"/>
              </w:rPr>
            </w:pPr>
            <w:r>
              <w:rPr>
                <w:color w:val="auto"/>
                <w:szCs w:val="21"/>
              </w:rPr>
              <w:t>北</w:t>
            </w:r>
          </w:p>
        </w:tc>
        <w:tc>
          <w:tcPr>
            <w:tcW w:w="343" w:type="pct"/>
            <w:tcBorders>
              <w:tl2br w:val="nil"/>
              <w:tr2bl w:val="nil"/>
            </w:tcBorders>
            <w:vAlign w:val="center"/>
          </w:tcPr>
          <w:p w14:paraId="55B21520">
            <w:pPr>
              <w:adjustRightInd w:val="0"/>
              <w:snapToGrid w:val="0"/>
              <w:jc w:val="center"/>
              <w:rPr>
                <w:color w:val="auto"/>
                <w:szCs w:val="21"/>
              </w:rPr>
            </w:pPr>
            <w:r>
              <w:rPr>
                <w:rFonts w:hint="eastAsia"/>
                <w:color w:val="auto"/>
                <w:szCs w:val="21"/>
              </w:rPr>
              <w:t>60</w:t>
            </w:r>
          </w:p>
        </w:tc>
        <w:tc>
          <w:tcPr>
            <w:tcW w:w="466" w:type="pct"/>
            <w:tcBorders>
              <w:tl2br w:val="nil"/>
              <w:tr2bl w:val="nil"/>
            </w:tcBorders>
            <w:vAlign w:val="center"/>
          </w:tcPr>
          <w:p w14:paraId="2BE15A06">
            <w:pPr>
              <w:adjustRightInd w:val="0"/>
              <w:snapToGrid w:val="0"/>
              <w:jc w:val="center"/>
              <w:rPr>
                <w:color w:val="auto"/>
                <w:szCs w:val="21"/>
              </w:rPr>
            </w:pPr>
            <w:r>
              <w:rPr>
                <w:rFonts w:hint="eastAsia"/>
                <w:color w:val="auto"/>
                <w:szCs w:val="21"/>
              </w:rPr>
              <w:t>29.44</w:t>
            </w:r>
          </w:p>
        </w:tc>
        <w:tc>
          <w:tcPr>
            <w:tcW w:w="247" w:type="pct"/>
            <w:vMerge w:val="continue"/>
            <w:tcBorders>
              <w:tl2br w:val="nil"/>
              <w:tr2bl w:val="nil"/>
            </w:tcBorders>
            <w:vAlign w:val="center"/>
          </w:tcPr>
          <w:p w14:paraId="7F475325">
            <w:pPr>
              <w:adjustRightInd w:val="0"/>
              <w:snapToGrid w:val="0"/>
              <w:jc w:val="center"/>
              <w:rPr>
                <w:color w:val="auto"/>
                <w:szCs w:val="21"/>
              </w:rPr>
            </w:pPr>
          </w:p>
        </w:tc>
        <w:tc>
          <w:tcPr>
            <w:tcW w:w="409" w:type="pct"/>
            <w:vMerge w:val="continue"/>
            <w:tcBorders>
              <w:tl2br w:val="nil"/>
              <w:tr2bl w:val="nil"/>
            </w:tcBorders>
            <w:vAlign w:val="center"/>
          </w:tcPr>
          <w:p w14:paraId="6E4DB0C5">
            <w:pPr>
              <w:adjustRightInd w:val="0"/>
              <w:snapToGrid w:val="0"/>
              <w:jc w:val="center"/>
              <w:rPr>
                <w:color w:val="auto"/>
                <w:szCs w:val="21"/>
              </w:rPr>
            </w:pPr>
          </w:p>
        </w:tc>
        <w:tc>
          <w:tcPr>
            <w:tcW w:w="1153" w:type="dxa"/>
            <w:tcBorders>
              <w:tl2br w:val="nil"/>
              <w:tr2bl w:val="nil"/>
            </w:tcBorders>
            <w:vAlign w:val="center"/>
          </w:tcPr>
          <w:p w14:paraId="358358FF">
            <w:pPr>
              <w:adjustRightInd w:val="0"/>
              <w:snapToGrid w:val="0"/>
              <w:jc w:val="center"/>
              <w:rPr>
                <w:color w:val="auto"/>
                <w:szCs w:val="21"/>
              </w:rPr>
            </w:pPr>
            <w:r>
              <w:rPr>
                <w:rFonts w:hint="eastAsia"/>
                <w:color w:val="auto"/>
                <w:szCs w:val="21"/>
              </w:rPr>
              <w:t>24.44</w:t>
            </w:r>
          </w:p>
        </w:tc>
        <w:tc>
          <w:tcPr>
            <w:tcW w:w="319" w:type="pct"/>
            <w:tcBorders>
              <w:tl2br w:val="nil"/>
              <w:tr2bl w:val="nil"/>
            </w:tcBorders>
            <w:vAlign w:val="center"/>
          </w:tcPr>
          <w:p w14:paraId="0AFA09FA">
            <w:pPr>
              <w:adjustRightInd w:val="0"/>
              <w:snapToGrid w:val="0"/>
              <w:jc w:val="center"/>
              <w:rPr>
                <w:color w:val="auto"/>
                <w:szCs w:val="21"/>
              </w:rPr>
            </w:pPr>
            <w:r>
              <w:rPr>
                <w:color w:val="auto"/>
                <w:szCs w:val="21"/>
              </w:rPr>
              <w:t>1</w:t>
            </w:r>
          </w:p>
        </w:tc>
      </w:tr>
      <w:tr w14:paraId="43CE93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5EED8C79">
            <w:pPr>
              <w:widowControl/>
              <w:jc w:val="center"/>
              <w:textAlignment w:val="center"/>
              <w:rPr>
                <w:color w:val="auto"/>
                <w:szCs w:val="21"/>
              </w:rPr>
            </w:pPr>
            <w:r>
              <w:rPr>
                <w:color w:val="auto"/>
                <w:kern w:val="0"/>
                <w:szCs w:val="21"/>
              </w:rPr>
              <w:t>2</w:t>
            </w:r>
          </w:p>
        </w:tc>
        <w:tc>
          <w:tcPr>
            <w:tcW w:w="240" w:type="pct"/>
            <w:vMerge w:val="continue"/>
            <w:tcBorders>
              <w:tl2br w:val="nil"/>
              <w:tr2bl w:val="nil"/>
            </w:tcBorders>
            <w:vAlign w:val="center"/>
          </w:tcPr>
          <w:p w14:paraId="5A32FA09">
            <w:pPr>
              <w:adjustRightInd w:val="0"/>
              <w:snapToGrid w:val="0"/>
              <w:jc w:val="center"/>
              <w:rPr>
                <w:color w:val="auto"/>
                <w:szCs w:val="21"/>
              </w:rPr>
            </w:pPr>
          </w:p>
        </w:tc>
        <w:tc>
          <w:tcPr>
            <w:tcW w:w="351" w:type="pct"/>
            <w:vMerge w:val="restart"/>
            <w:tcBorders>
              <w:tl2br w:val="nil"/>
              <w:tr2bl w:val="nil"/>
            </w:tcBorders>
            <w:vAlign w:val="center"/>
          </w:tcPr>
          <w:p w14:paraId="70AF23AD">
            <w:pPr>
              <w:widowControl/>
              <w:jc w:val="center"/>
              <w:textAlignment w:val="center"/>
              <w:rPr>
                <w:color w:val="auto"/>
                <w:szCs w:val="21"/>
              </w:rPr>
            </w:pPr>
            <w:r>
              <w:rPr>
                <w:color w:val="auto"/>
                <w:kern w:val="0"/>
                <w:szCs w:val="21"/>
                <w:lang w:bidi="ar"/>
              </w:rPr>
              <w:t>二级送料风机</w:t>
            </w:r>
          </w:p>
        </w:tc>
        <w:tc>
          <w:tcPr>
            <w:tcW w:w="408" w:type="pct"/>
            <w:vMerge w:val="restart"/>
            <w:tcBorders>
              <w:tl2br w:val="nil"/>
              <w:tr2bl w:val="nil"/>
            </w:tcBorders>
            <w:vAlign w:val="center"/>
          </w:tcPr>
          <w:p w14:paraId="09F8A015">
            <w:pPr>
              <w:widowControl/>
              <w:snapToGrid w:val="0"/>
              <w:jc w:val="center"/>
              <w:rPr>
                <w:color w:val="auto"/>
                <w:szCs w:val="21"/>
              </w:rPr>
            </w:pPr>
            <w:r>
              <w:rPr>
                <w:rFonts w:hint="eastAsia"/>
                <w:color w:val="auto"/>
                <w:kern w:val="0"/>
                <w:szCs w:val="21"/>
              </w:rPr>
              <w:t>75</w:t>
            </w:r>
          </w:p>
        </w:tc>
        <w:tc>
          <w:tcPr>
            <w:tcW w:w="355" w:type="pct"/>
            <w:vMerge w:val="continue"/>
            <w:tcBorders>
              <w:tl2br w:val="nil"/>
              <w:tr2bl w:val="nil"/>
            </w:tcBorders>
            <w:vAlign w:val="center"/>
          </w:tcPr>
          <w:p w14:paraId="2221FF67">
            <w:pPr>
              <w:adjustRightInd w:val="0"/>
              <w:snapToGrid w:val="0"/>
              <w:jc w:val="center"/>
              <w:rPr>
                <w:color w:val="auto"/>
                <w:szCs w:val="21"/>
              </w:rPr>
            </w:pPr>
          </w:p>
        </w:tc>
        <w:tc>
          <w:tcPr>
            <w:tcW w:w="283" w:type="pct"/>
            <w:vMerge w:val="restart"/>
            <w:tcBorders>
              <w:tl2br w:val="nil"/>
              <w:tr2bl w:val="nil"/>
            </w:tcBorders>
            <w:vAlign w:val="center"/>
          </w:tcPr>
          <w:p w14:paraId="0D4FC79F">
            <w:pPr>
              <w:adjustRightInd w:val="0"/>
              <w:snapToGrid w:val="0"/>
              <w:jc w:val="center"/>
              <w:rPr>
                <w:color w:val="auto"/>
                <w:szCs w:val="21"/>
              </w:rPr>
            </w:pPr>
            <w:r>
              <w:rPr>
                <w:color w:val="auto"/>
                <w:szCs w:val="21"/>
              </w:rPr>
              <w:t>-400</w:t>
            </w:r>
          </w:p>
        </w:tc>
        <w:tc>
          <w:tcPr>
            <w:tcW w:w="307" w:type="pct"/>
            <w:vMerge w:val="restart"/>
            <w:tcBorders>
              <w:tl2br w:val="nil"/>
              <w:tr2bl w:val="nil"/>
            </w:tcBorders>
            <w:vAlign w:val="center"/>
          </w:tcPr>
          <w:p w14:paraId="48A9D0E3">
            <w:pPr>
              <w:adjustRightInd w:val="0"/>
              <w:snapToGrid w:val="0"/>
              <w:jc w:val="center"/>
              <w:rPr>
                <w:color w:val="auto"/>
                <w:szCs w:val="21"/>
              </w:rPr>
            </w:pPr>
            <w:r>
              <w:rPr>
                <w:color w:val="auto"/>
                <w:szCs w:val="21"/>
              </w:rPr>
              <w:t>-135</w:t>
            </w:r>
          </w:p>
        </w:tc>
        <w:tc>
          <w:tcPr>
            <w:tcW w:w="296" w:type="pct"/>
            <w:vMerge w:val="restart"/>
            <w:tcBorders>
              <w:tl2br w:val="nil"/>
              <w:tr2bl w:val="nil"/>
            </w:tcBorders>
            <w:vAlign w:val="center"/>
          </w:tcPr>
          <w:p w14:paraId="35BF8229">
            <w:pPr>
              <w:adjustRightInd w:val="0"/>
              <w:snapToGrid w:val="0"/>
              <w:jc w:val="center"/>
              <w:rPr>
                <w:color w:val="auto"/>
                <w:szCs w:val="21"/>
              </w:rPr>
            </w:pPr>
            <w:r>
              <w:rPr>
                <w:color w:val="auto"/>
                <w:szCs w:val="21"/>
              </w:rPr>
              <w:t>0.5</w:t>
            </w:r>
          </w:p>
        </w:tc>
        <w:tc>
          <w:tcPr>
            <w:tcW w:w="325" w:type="pct"/>
            <w:tcBorders>
              <w:tl2br w:val="nil"/>
              <w:tr2bl w:val="nil"/>
            </w:tcBorders>
            <w:vAlign w:val="center"/>
          </w:tcPr>
          <w:p w14:paraId="0EF135BD">
            <w:pPr>
              <w:jc w:val="center"/>
              <w:rPr>
                <w:color w:val="auto"/>
                <w:szCs w:val="21"/>
              </w:rPr>
            </w:pPr>
            <w:r>
              <w:rPr>
                <w:color w:val="auto"/>
                <w:szCs w:val="21"/>
              </w:rPr>
              <w:t>东</w:t>
            </w:r>
          </w:p>
        </w:tc>
        <w:tc>
          <w:tcPr>
            <w:tcW w:w="343" w:type="pct"/>
            <w:tcBorders>
              <w:tl2br w:val="nil"/>
              <w:tr2bl w:val="nil"/>
            </w:tcBorders>
            <w:vAlign w:val="center"/>
          </w:tcPr>
          <w:p w14:paraId="56A75B24">
            <w:pPr>
              <w:adjustRightInd w:val="0"/>
              <w:snapToGrid w:val="0"/>
              <w:jc w:val="center"/>
              <w:rPr>
                <w:color w:val="auto"/>
                <w:szCs w:val="21"/>
              </w:rPr>
            </w:pPr>
            <w:r>
              <w:rPr>
                <w:rFonts w:hint="eastAsia"/>
                <w:color w:val="auto"/>
                <w:szCs w:val="21"/>
              </w:rPr>
              <w:t>354</w:t>
            </w:r>
          </w:p>
        </w:tc>
        <w:tc>
          <w:tcPr>
            <w:tcW w:w="466" w:type="pct"/>
            <w:tcBorders>
              <w:tl2br w:val="nil"/>
              <w:tr2bl w:val="nil"/>
            </w:tcBorders>
            <w:vAlign w:val="center"/>
          </w:tcPr>
          <w:p w14:paraId="6D6058DB">
            <w:pPr>
              <w:adjustRightInd w:val="0"/>
              <w:snapToGrid w:val="0"/>
              <w:jc w:val="center"/>
              <w:rPr>
                <w:color w:val="auto"/>
                <w:szCs w:val="21"/>
              </w:rPr>
            </w:pPr>
            <w:r>
              <w:rPr>
                <w:color w:val="auto"/>
                <w:szCs w:val="21"/>
              </w:rPr>
              <w:t>2</w:t>
            </w:r>
            <w:r>
              <w:rPr>
                <w:rFonts w:hint="eastAsia"/>
                <w:color w:val="auto"/>
                <w:szCs w:val="21"/>
              </w:rPr>
              <w:t>4.02</w:t>
            </w:r>
          </w:p>
        </w:tc>
        <w:tc>
          <w:tcPr>
            <w:tcW w:w="247" w:type="pct"/>
            <w:vMerge w:val="continue"/>
            <w:tcBorders>
              <w:tl2br w:val="nil"/>
              <w:tr2bl w:val="nil"/>
            </w:tcBorders>
            <w:vAlign w:val="center"/>
          </w:tcPr>
          <w:p w14:paraId="243DAF2A">
            <w:pPr>
              <w:adjustRightInd w:val="0"/>
              <w:snapToGrid w:val="0"/>
              <w:jc w:val="center"/>
              <w:rPr>
                <w:color w:val="auto"/>
                <w:szCs w:val="21"/>
              </w:rPr>
            </w:pPr>
          </w:p>
        </w:tc>
        <w:tc>
          <w:tcPr>
            <w:tcW w:w="409" w:type="pct"/>
            <w:vMerge w:val="restart"/>
            <w:tcBorders>
              <w:tl2br w:val="nil"/>
              <w:tr2bl w:val="nil"/>
            </w:tcBorders>
            <w:vAlign w:val="center"/>
          </w:tcPr>
          <w:p w14:paraId="6D759D6B">
            <w:pPr>
              <w:adjustRightInd w:val="0"/>
              <w:snapToGrid w:val="0"/>
              <w:jc w:val="center"/>
              <w:rPr>
                <w:color w:val="auto"/>
                <w:szCs w:val="21"/>
              </w:rPr>
            </w:pPr>
            <w:r>
              <w:rPr>
                <w:color w:val="auto"/>
                <w:szCs w:val="21"/>
              </w:rPr>
              <w:t>5</w:t>
            </w:r>
          </w:p>
        </w:tc>
        <w:tc>
          <w:tcPr>
            <w:tcW w:w="1153" w:type="dxa"/>
            <w:tcBorders>
              <w:tl2br w:val="nil"/>
              <w:tr2bl w:val="nil"/>
            </w:tcBorders>
            <w:vAlign w:val="center"/>
          </w:tcPr>
          <w:p w14:paraId="542516CB">
            <w:pPr>
              <w:adjustRightInd w:val="0"/>
              <w:snapToGrid w:val="0"/>
              <w:jc w:val="center"/>
              <w:rPr>
                <w:color w:val="auto"/>
                <w:szCs w:val="21"/>
              </w:rPr>
            </w:pPr>
            <w:r>
              <w:rPr>
                <w:rFonts w:hint="eastAsia"/>
                <w:color w:val="auto"/>
                <w:szCs w:val="21"/>
              </w:rPr>
              <w:t>19.02</w:t>
            </w:r>
          </w:p>
        </w:tc>
        <w:tc>
          <w:tcPr>
            <w:tcW w:w="319" w:type="pct"/>
            <w:tcBorders>
              <w:tl2br w:val="nil"/>
              <w:tr2bl w:val="nil"/>
            </w:tcBorders>
            <w:vAlign w:val="center"/>
          </w:tcPr>
          <w:p w14:paraId="2DE84C94">
            <w:pPr>
              <w:adjustRightInd w:val="0"/>
              <w:snapToGrid w:val="0"/>
              <w:jc w:val="center"/>
              <w:rPr>
                <w:color w:val="auto"/>
                <w:szCs w:val="21"/>
              </w:rPr>
            </w:pPr>
            <w:r>
              <w:rPr>
                <w:color w:val="auto"/>
                <w:szCs w:val="21"/>
              </w:rPr>
              <w:t>1</w:t>
            </w:r>
          </w:p>
        </w:tc>
      </w:tr>
      <w:tr w14:paraId="1EC715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6702FE86">
            <w:pPr>
              <w:adjustRightInd w:val="0"/>
              <w:snapToGrid w:val="0"/>
              <w:jc w:val="center"/>
              <w:rPr>
                <w:color w:val="auto"/>
                <w:szCs w:val="21"/>
              </w:rPr>
            </w:pPr>
          </w:p>
        </w:tc>
        <w:tc>
          <w:tcPr>
            <w:tcW w:w="240" w:type="pct"/>
            <w:vMerge w:val="continue"/>
            <w:tcBorders>
              <w:tl2br w:val="nil"/>
              <w:tr2bl w:val="nil"/>
            </w:tcBorders>
            <w:vAlign w:val="center"/>
          </w:tcPr>
          <w:p w14:paraId="78EB55DC">
            <w:pPr>
              <w:adjustRightInd w:val="0"/>
              <w:snapToGrid w:val="0"/>
              <w:jc w:val="center"/>
              <w:rPr>
                <w:color w:val="auto"/>
                <w:szCs w:val="21"/>
              </w:rPr>
            </w:pPr>
          </w:p>
        </w:tc>
        <w:tc>
          <w:tcPr>
            <w:tcW w:w="351" w:type="pct"/>
            <w:vMerge w:val="continue"/>
            <w:tcBorders>
              <w:tl2br w:val="nil"/>
              <w:tr2bl w:val="nil"/>
            </w:tcBorders>
            <w:vAlign w:val="center"/>
          </w:tcPr>
          <w:p w14:paraId="7749CA6F">
            <w:pPr>
              <w:adjustRightInd w:val="0"/>
              <w:snapToGrid w:val="0"/>
              <w:jc w:val="center"/>
              <w:rPr>
                <w:color w:val="auto"/>
                <w:szCs w:val="21"/>
              </w:rPr>
            </w:pPr>
          </w:p>
        </w:tc>
        <w:tc>
          <w:tcPr>
            <w:tcW w:w="408" w:type="pct"/>
            <w:vMerge w:val="continue"/>
            <w:tcBorders>
              <w:tl2br w:val="nil"/>
              <w:tr2bl w:val="nil"/>
            </w:tcBorders>
            <w:vAlign w:val="center"/>
          </w:tcPr>
          <w:p w14:paraId="64E80BB8">
            <w:pPr>
              <w:adjustRightInd w:val="0"/>
              <w:snapToGrid w:val="0"/>
              <w:jc w:val="center"/>
              <w:rPr>
                <w:color w:val="auto"/>
                <w:szCs w:val="21"/>
              </w:rPr>
            </w:pPr>
          </w:p>
        </w:tc>
        <w:tc>
          <w:tcPr>
            <w:tcW w:w="355" w:type="pct"/>
            <w:vMerge w:val="continue"/>
            <w:tcBorders>
              <w:tl2br w:val="nil"/>
              <w:tr2bl w:val="nil"/>
            </w:tcBorders>
            <w:vAlign w:val="center"/>
          </w:tcPr>
          <w:p w14:paraId="35167460">
            <w:pPr>
              <w:adjustRightInd w:val="0"/>
              <w:snapToGrid w:val="0"/>
              <w:jc w:val="center"/>
              <w:rPr>
                <w:color w:val="auto"/>
                <w:szCs w:val="21"/>
              </w:rPr>
            </w:pPr>
          </w:p>
        </w:tc>
        <w:tc>
          <w:tcPr>
            <w:tcW w:w="283" w:type="pct"/>
            <w:vMerge w:val="continue"/>
            <w:tcBorders>
              <w:tl2br w:val="nil"/>
              <w:tr2bl w:val="nil"/>
            </w:tcBorders>
            <w:vAlign w:val="center"/>
          </w:tcPr>
          <w:p w14:paraId="397B5B3F">
            <w:pPr>
              <w:adjustRightInd w:val="0"/>
              <w:snapToGrid w:val="0"/>
              <w:jc w:val="center"/>
              <w:rPr>
                <w:color w:val="auto"/>
                <w:szCs w:val="21"/>
              </w:rPr>
            </w:pPr>
          </w:p>
        </w:tc>
        <w:tc>
          <w:tcPr>
            <w:tcW w:w="307" w:type="pct"/>
            <w:vMerge w:val="continue"/>
            <w:tcBorders>
              <w:tl2br w:val="nil"/>
              <w:tr2bl w:val="nil"/>
            </w:tcBorders>
            <w:vAlign w:val="center"/>
          </w:tcPr>
          <w:p w14:paraId="4C684798">
            <w:pPr>
              <w:adjustRightInd w:val="0"/>
              <w:snapToGrid w:val="0"/>
              <w:jc w:val="center"/>
              <w:rPr>
                <w:color w:val="auto"/>
                <w:szCs w:val="21"/>
              </w:rPr>
            </w:pPr>
          </w:p>
        </w:tc>
        <w:tc>
          <w:tcPr>
            <w:tcW w:w="296" w:type="pct"/>
            <w:vMerge w:val="continue"/>
            <w:tcBorders>
              <w:tl2br w:val="nil"/>
              <w:tr2bl w:val="nil"/>
            </w:tcBorders>
            <w:vAlign w:val="center"/>
          </w:tcPr>
          <w:p w14:paraId="578F658A">
            <w:pPr>
              <w:adjustRightInd w:val="0"/>
              <w:snapToGrid w:val="0"/>
              <w:jc w:val="center"/>
              <w:rPr>
                <w:color w:val="auto"/>
                <w:szCs w:val="21"/>
              </w:rPr>
            </w:pPr>
          </w:p>
        </w:tc>
        <w:tc>
          <w:tcPr>
            <w:tcW w:w="325" w:type="pct"/>
            <w:tcBorders>
              <w:tl2br w:val="nil"/>
              <w:tr2bl w:val="nil"/>
            </w:tcBorders>
            <w:vAlign w:val="center"/>
          </w:tcPr>
          <w:p w14:paraId="33373860">
            <w:pPr>
              <w:jc w:val="center"/>
              <w:rPr>
                <w:color w:val="auto"/>
                <w:szCs w:val="21"/>
              </w:rPr>
            </w:pPr>
            <w:r>
              <w:rPr>
                <w:color w:val="auto"/>
                <w:szCs w:val="21"/>
              </w:rPr>
              <w:t>南</w:t>
            </w:r>
          </w:p>
        </w:tc>
        <w:tc>
          <w:tcPr>
            <w:tcW w:w="343" w:type="pct"/>
            <w:tcBorders>
              <w:tl2br w:val="nil"/>
              <w:tr2bl w:val="nil"/>
            </w:tcBorders>
            <w:vAlign w:val="center"/>
          </w:tcPr>
          <w:p w14:paraId="687A7B29">
            <w:pPr>
              <w:adjustRightInd w:val="0"/>
              <w:snapToGrid w:val="0"/>
              <w:jc w:val="center"/>
              <w:rPr>
                <w:color w:val="auto"/>
                <w:szCs w:val="21"/>
              </w:rPr>
            </w:pPr>
            <w:r>
              <w:rPr>
                <w:rFonts w:hint="eastAsia"/>
                <w:color w:val="auto"/>
                <w:szCs w:val="21"/>
              </w:rPr>
              <w:t>227</w:t>
            </w:r>
          </w:p>
        </w:tc>
        <w:tc>
          <w:tcPr>
            <w:tcW w:w="466" w:type="pct"/>
            <w:tcBorders>
              <w:tl2br w:val="nil"/>
              <w:tr2bl w:val="nil"/>
            </w:tcBorders>
            <w:vAlign w:val="center"/>
          </w:tcPr>
          <w:p w14:paraId="3DD3CE41">
            <w:pPr>
              <w:adjustRightInd w:val="0"/>
              <w:snapToGrid w:val="0"/>
              <w:jc w:val="center"/>
              <w:rPr>
                <w:color w:val="auto"/>
                <w:szCs w:val="21"/>
              </w:rPr>
            </w:pPr>
            <w:r>
              <w:rPr>
                <w:color w:val="auto"/>
                <w:szCs w:val="21"/>
              </w:rPr>
              <w:t>27.</w:t>
            </w:r>
            <w:r>
              <w:rPr>
                <w:rFonts w:hint="eastAsia"/>
                <w:color w:val="auto"/>
                <w:szCs w:val="21"/>
              </w:rPr>
              <w:t>88</w:t>
            </w:r>
          </w:p>
        </w:tc>
        <w:tc>
          <w:tcPr>
            <w:tcW w:w="247" w:type="pct"/>
            <w:vMerge w:val="continue"/>
            <w:tcBorders>
              <w:tl2br w:val="nil"/>
              <w:tr2bl w:val="nil"/>
            </w:tcBorders>
            <w:vAlign w:val="center"/>
          </w:tcPr>
          <w:p w14:paraId="019C5ED8">
            <w:pPr>
              <w:adjustRightInd w:val="0"/>
              <w:snapToGrid w:val="0"/>
              <w:jc w:val="center"/>
              <w:rPr>
                <w:color w:val="auto"/>
                <w:szCs w:val="21"/>
              </w:rPr>
            </w:pPr>
          </w:p>
        </w:tc>
        <w:tc>
          <w:tcPr>
            <w:tcW w:w="409" w:type="pct"/>
            <w:vMerge w:val="continue"/>
            <w:tcBorders>
              <w:tl2br w:val="nil"/>
              <w:tr2bl w:val="nil"/>
            </w:tcBorders>
            <w:vAlign w:val="center"/>
          </w:tcPr>
          <w:p w14:paraId="66EF4607">
            <w:pPr>
              <w:adjustRightInd w:val="0"/>
              <w:snapToGrid w:val="0"/>
              <w:jc w:val="center"/>
              <w:rPr>
                <w:color w:val="auto"/>
                <w:szCs w:val="21"/>
              </w:rPr>
            </w:pPr>
          </w:p>
        </w:tc>
        <w:tc>
          <w:tcPr>
            <w:tcW w:w="1153" w:type="dxa"/>
            <w:tcBorders>
              <w:tl2br w:val="nil"/>
              <w:tr2bl w:val="nil"/>
            </w:tcBorders>
            <w:vAlign w:val="center"/>
          </w:tcPr>
          <w:p w14:paraId="045E7847">
            <w:pPr>
              <w:adjustRightInd w:val="0"/>
              <w:snapToGrid w:val="0"/>
              <w:jc w:val="center"/>
              <w:rPr>
                <w:color w:val="auto"/>
                <w:szCs w:val="21"/>
              </w:rPr>
            </w:pPr>
            <w:r>
              <w:rPr>
                <w:rFonts w:hint="eastAsia"/>
                <w:color w:val="auto"/>
                <w:szCs w:val="21"/>
              </w:rPr>
              <w:t>22.88</w:t>
            </w:r>
          </w:p>
        </w:tc>
        <w:tc>
          <w:tcPr>
            <w:tcW w:w="319" w:type="pct"/>
            <w:tcBorders>
              <w:tl2br w:val="nil"/>
              <w:tr2bl w:val="nil"/>
            </w:tcBorders>
            <w:vAlign w:val="center"/>
          </w:tcPr>
          <w:p w14:paraId="3738F2CB">
            <w:pPr>
              <w:adjustRightInd w:val="0"/>
              <w:snapToGrid w:val="0"/>
              <w:jc w:val="center"/>
              <w:rPr>
                <w:color w:val="auto"/>
                <w:szCs w:val="21"/>
              </w:rPr>
            </w:pPr>
            <w:r>
              <w:rPr>
                <w:color w:val="auto"/>
                <w:szCs w:val="21"/>
              </w:rPr>
              <w:t>1</w:t>
            </w:r>
          </w:p>
        </w:tc>
      </w:tr>
      <w:tr w14:paraId="1A12D3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5696CBE9">
            <w:pPr>
              <w:adjustRightInd w:val="0"/>
              <w:snapToGrid w:val="0"/>
              <w:jc w:val="center"/>
              <w:rPr>
                <w:color w:val="auto"/>
                <w:szCs w:val="21"/>
              </w:rPr>
            </w:pPr>
          </w:p>
        </w:tc>
        <w:tc>
          <w:tcPr>
            <w:tcW w:w="240" w:type="pct"/>
            <w:vMerge w:val="continue"/>
            <w:tcBorders>
              <w:tl2br w:val="nil"/>
              <w:tr2bl w:val="nil"/>
            </w:tcBorders>
            <w:vAlign w:val="center"/>
          </w:tcPr>
          <w:p w14:paraId="7219897A">
            <w:pPr>
              <w:adjustRightInd w:val="0"/>
              <w:snapToGrid w:val="0"/>
              <w:jc w:val="center"/>
              <w:rPr>
                <w:color w:val="auto"/>
                <w:szCs w:val="21"/>
              </w:rPr>
            </w:pPr>
          </w:p>
        </w:tc>
        <w:tc>
          <w:tcPr>
            <w:tcW w:w="351" w:type="pct"/>
            <w:vMerge w:val="continue"/>
            <w:tcBorders>
              <w:tl2br w:val="nil"/>
              <w:tr2bl w:val="nil"/>
            </w:tcBorders>
            <w:vAlign w:val="center"/>
          </w:tcPr>
          <w:p w14:paraId="58BBF35F">
            <w:pPr>
              <w:adjustRightInd w:val="0"/>
              <w:snapToGrid w:val="0"/>
              <w:jc w:val="center"/>
              <w:rPr>
                <w:color w:val="auto"/>
                <w:szCs w:val="21"/>
              </w:rPr>
            </w:pPr>
          </w:p>
        </w:tc>
        <w:tc>
          <w:tcPr>
            <w:tcW w:w="408" w:type="pct"/>
            <w:vMerge w:val="continue"/>
            <w:tcBorders>
              <w:tl2br w:val="nil"/>
              <w:tr2bl w:val="nil"/>
            </w:tcBorders>
            <w:vAlign w:val="center"/>
          </w:tcPr>
          <w:p w14:paraId="3D746CA3">
            <w:pPr>
              <w:adjustRightInd w:val="0"/>
              <w:snapToGrid w:val="0"/>
              <w:jc w:val="center"/>
              <w:rPr>
                <w:color w:val="auto"/>
                <w:szCs w:val="21"/>
              </w:rPr>
            </w:pPr>
          </w:p>
        </w:tc>
        <w:tc>
          <w:tcPr>
            <w:tcW w:w="355" w:type="pct"/>
            <w:vMerge w:val="continue"/>
            <w:tcBorders>
              <w:tl2br w:val="nil"/>
              <w:tr2bl w:val="nil"/>
            </w:tcBorders>
            <w:vAlign w:val="center"/>
          </w:tcPr>
          <w:p w14:paraId="36787CFC">
            <w:pPr>
              <w:adjustRightInd w:val="0"/>
              <w:snapToGrid w:val="0"/>
              <w:jc w:val="center"/>
              <w:rPr>
                <w:color w:val="auto"/>
                <w:szCs w:val="21"/>
              </w:rPr>
            </w:pPr>
          </w:p>
        </w:tc>
        <w:tc>
          <w:tcPr>
            <w:tcW w:w="283" w:type="pct"/>
            <w:vMerge w:val="continue"/>
            <w:tcBorders>
              <w:tl2br w:val="nil"/>
              <w:tr2bl w:val="nil"/>
            </w:tcBorders>
            <w:vAlign w:val="center"/>
          </w:tcPr>
          <w:p w14:paraId="475FAC3C">
            <w:pPr>
              <w:adjustRightInd w:val="0"/>
              <w:snapToGrid w:val="0"/>
              <w:jc w:val="center"/>
              <w:rPr>
                <w:color w:val="auto"/>
                <w:szCs w:val="21"/>
              </w:rPr>
            </w:pPr>
          </w:p>
        </w:tc>
        <w:tc>
          <w:tcPr>
            <w:tcW w:w="307" w:type="pct"/>
            <w:vMerge w:val="continue"/>
            <w:tcBorders>
              <w:tl2br w:val="nil"/>
              <w:tr2bl w:val="nil"/>
            </w:tcBorders>
            <w:vAlign w:val="center"/>
          </w:tcPr>
          <w:p w14:paraId="3C5F47B9">
            <w:pPr>
              <w:adjustRightInd w:val="0"/>
              <w:snapToGrid w:val="0"/>
              <w:jc w:val="center"/>
              <w:rPr>
                <w:color w:val="auto"/>
                <w:szCs w:val="21"/>
              </w:rPr>
            </w:pPr>
          </w:p>
        </w:tc>
        <w:tc>
          <w:tcPr>
            <w:tcW w:w="296" w:type="pct"/>
            <w:vMerge w:val="continue"/>
            <w:tcBorders>
              <w:tl2br w:val="nil"/>
              <w:tr2bl w:val="nil"/>
            </w:tcBorders>
            <w:vAlign w:val="center"/>
          </w:tcPr>
          <w:p w14:paraId="2E4F5A73">
            <w:pPr>
              <w:adjustRightInd w:val="0"/>
              <w:snapToGrid w:val="0"/>
              <w:jc w:val="center"/>
              <w:rPr>
                <w:color w:val="auto"/>
                <w:szCs w:val="21"/>
              </w:rPr>
            </w:pPr>
          </w:p>
        </w:tc>
        <w:tc>
          <w:tcPr>
            <w:tcW w:w="325" w:type="pct"/>
            <w:tcBorders>
              <w:tl2br w:val="nil"/>
              <w:tr2bl w:val="nil"/>
            </w:tcBorders>
            <w:vAlign w:val="center"/>
          </w:tcPr>
          <w:p w14:paraId="354DCA3D">
            <w:pPr>
              <w:jc w:val="center"/>
              <w:rPr>
                <w:color w:val="auto"/>
                <w:szCs w:val="21"/>
              </w:rPr>
            </w:pPr>
            <w:r>
              <w:rPr>
                <w:color w:val="auto"/>
                <w:szCs w:val="21"/>
              </w:rPr>
              <w:t>西</w:t>
            </w:r>
          </w:p>
        </w:tc>
        <w:tc>
          <w:tcPr>
            <w:tcW w:w="343" w:type="pct"/>
            <w:tcBorders>
              <w:tl2br w:val="nil"/>
              <w:tr2bl w:val="nil"/>
            </w:tcBorders>
            <w:vAlign w:val="center"/>
          </w:tcPr>
          <w:p w14:paraId="0454658C">
            <w:pPr>
              <w:adjustRightInd w:val="0"/>
              <w:snapToGrid w:val="0"/>
              <w:jc w:val="center"/>
              <w:rPr>
                <w:color w:val="auto"/>
                <w:szCs w:val="21"/>
              </w:rPr>
            </w:pPr>
            <w:r>
              <w:rPr>
                <w:rFonts w:hint="eastAsia"/>
                <w:color w:val="auto"/>
                <w:szCs w:val="21"/>
              </w:rPr>
              <w:t>73</w:t>
            </w:r>
          </w:p>
        </w:tc>
        <w:tc>
          <w:tcPr>
            <w:tcW w:w="466" w:type="pct"/>
            <w:tcBorders>
              <w:tl2br w:val="nil"/>
              <w:tr2bl w:val="nil"/>
            </w:tcBorders>
            <w:vAlign w:val="center"/>
          </w:tcPr>
          <w:p w14:paraId="34C8681A">
            <w:pPr>
              <w:adjustRightInd w:val="0"/>
              <w:snapToGrid w:val="0"/>
              <w:jc w:val="center"/>
              <w:rPr>
                <w:color w:val="auto"/>
                <w:szCs w:val="21"/>
              </w:rPr>
            </w:pPr>
            <w:r>
              <w:rPr>
                <w:color w:val="auto"/>
                <w:szCs w:val="21"/>
              </w:rPr>
              <w:t>3</w:t>
            </w:r>
            <w:r>
              <w:rPr>
                <w:rFonts w:hint="eastAsia"/>
                <w:color w:val="auto"/>
                <w:szCs w:val="21"/>
              </w:rPr>
              <w:t>7.73</w:t>
            </w:r>
          </w:p>
        </w:tc>
        <w:tc>
          <w:tcPr>
            <w:tcW w:w="247" w:type="pct"/>
            <w:vMerge w:val="continue"/>
            <w:tcBorders>
              <w:tl2br w:val="nil"/>
              <w:tr2bl w:val="nil"/>
            </w:tcBorders>
            <w:vAlign w:val="center"/>
          </w:tcPr>
          <w:p w14:paraId="074E88C9">
            <w:pPr>
              <w:adjustRightInd w:val="0"/>
              <w:snapToGrid w:val="0"/>
              <w:jc w:val="center"/>
              <w:rPr>
                <w:color w:val="auto"/>
                <w:szCs w:val="21"/>
              </w:rPr>
            </w:pPr>
          </w:p>
        </w:tc>
        <w:tc>
          <w:tcPr>
            <w:tcW w:w="409" w:type="pct"/>
            <w:vMerge w:val="continue"/>
            <w:tcBorders>
              <w:tl2br w:val="nil"/>
              <w:tr2bl w:val="nil"/>
            </w:tcBorders>
            <w:vAlign w:val="center"/>
          </w:tcPr>
          <w:p w14:paraId="6AE24A9A">
            <w:pPr>
              <w:adjustRightInd w:val="0"/>
              <w:snapToGrid w:val="0"/>
              <w:jc w:val="center"/>
              <w:rPr>
                <w:color w:val="auto"/>
                <w:szCs w:val="21"/>
              </w:rPr>
            </w:pPr>
          </w:p>
        </w:tc>
        <w:tc>
          <w:tcPr>
            <w:tcW w:w="1153" w:type="dxa"/>
            <w:tcBorders>
              <w:tl2br w:val="nil"/>
              <w:tr2bl w:val="nil"/>
            </w:tcBorders>
            <w:vAlign w:val="center"/>
          </w:tcPr>
          <w:p w14:paraId="0654F002">
            <w:pPr>
              <w:adjustRightInd w:val="0"/>
              <w:snapToGrid w:val="0"/>
              <w:jc w:val="center"/>
              <w:rPr>
                <w:color w:val="auto"/>
                <w:szCs w:val="21"/>
              </w:rPr>
            </w:pPr>
            <w:r>
              <w:rPr>
                <w:rFonts w:hint="eastAsia"/>
                <w:color w:val="auto"/>
                <w:szCs w:val="21"/>
              </w:rPr>
              <w:t>32.73</w:t>
            </w:r>
          </w:p>
        </w:tc>
        <w:tc>
          <w:tcPr>
            <w:tcW w:w="319" w:type="pct"/>
            <w:tcBorders>
              <w:tl2br w:val="nil"/>
              <w:tr2bl w:val="nil"/>
            </w:tcBorders>
            <w:vAlign w:val="center"/>
          </w:tcPr>
          <w:p w14:paraId="03882C29">
            <w:pPr>
              <w:adjustRightInd w:val="0"/>
              <w:snapToGrid w:val="0"/>
              <w:jc w:val="center"/>
              <w:rPr>
                <w:color w:val="auto"/>
                <w:szCs w:val="21"/>
              </w:rPr>
            </w:pPr>
            <w:r>
              <w:rPr>
                <w:color w:val="auto"/>
                <w:szCs w:val="21"/>
              </w:rPr>
              <w:t>1</w:t>
            </w:r>
          </w:p>
        </w:tc>
      </w:tr>
      <w:tr w14:paraId="19052D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5F4A739B">
            <w:pPr>
              <w:adjustRightInd w:val="0"/>
              <w:snapToGrid w:val="0"/>
              <w:jc w:val="center"/>
              <w:rPr>
                <w:color w:val="auto"/>
                <w:szCs w:val="21"/>
              </w:rPr>
            </w:pPr>
          </w:p>
        </w:tc>
        <w:tc>
          <w:tcPr>
            <w:tcW w:w="240" w:type="pct"/>
            <w:vMerge w:val="continue"/>
            <w:tcBorders>
              <w:tl2br w:val="nil"/>
              <w:tr2bl w:val="nil"/>
            </w:tcBorders>
            <w:vAlign w:val="center"/>
          </w:tcPr>
          <w:p w14:paraId="4641E1AB">
            <w:pPr>
              <w:adjustRightInd w:val="0"/>
              <w:snapToGrid w:val="0"/>
              <w:jc w:val="center"/>
              <w:rPr>
                <w:color w:val="auto"/>
                <w:szCs w:val="21"/>
              </w:rPr>
            </w:pPr>
          </w:p>
        </w:tc>
        <w:tc>
          <w:tcPr>
            <w:tcW w:w="351" w:type="pct"/>
            <w:vMerge w:val="continue"/>
            <w:tcBorders>
              <w:tl2br w:val="nil"/>
              <w:tr2bl w:val="nil"/>
            </w:tcBorders>
            <w:vAlign w:val="center"/>
          </w:tcPr>
          <w:p w14:paraId="687B2739">
            <w:pPr>
              <w:adjustRightInd w:val="0"/>
              <w:snapToGrid w:val="0"/>
              <w:jc w:val="center"/>
              <w:rPr>
                <w:color w:val="auto"/>
                <w:szCs w:val="21"/>
              </w:rPr>
            </w:pPr>
          </w:p>
        </w:tc>
        <w:tc>
          <w:tcPr>
            <w:tcW w:w="408" w:type="pct"/>
            <w:vMerge w:val="continue"/>
            <w:tcBorders>
              <w:tl2br w:val="nil"/>
              <w:tr2bl w:val="nil"/>
            </w:tcBorders>
            <w:vAlign w:val="center"/>
          </w:tcPr>
          <w:p w14:paraId="579CA832">
            <w:pPr>
              <w:adjustRightInd w:val="0"/>
              <w:snapToGrid w:val="0"/>
              <w:jc w:val="center"/>
              <w:rPr>
                <w:color w:val="auto"/>
                <w:szCs w:val="21"/>
              </w:rPr>
            </w:pPr>
          </w:p>
        </w:tc>
        <w:tc>
          <w:tcPr>
            <w:tcW w:w="355" w:type="pct"/>
            <w:vMerge w:val="continue"/>
            <w:tcBorders>
              <w:tl2br w:val="nil"/>
              <w:tr2bl w:val="nil"/>
            </w:tcBorders>
            <w:vAlign w:val="center"/>
          </w:tcPr>
          <w:p w14:paraId="2FED74FC">
            <w:pPr>
              <w:adjustRightInd w:val="0"/>
              <w:snapToGrid w:val="0"/>
              <w:jc w:val="center"/>
              <w:rPr>
                <w:color w:val="auto"/>
                <w:szCs w:val="21"/>
              </w:rPr>
            </w:pPr>
          </w:p>
        </w:tc>
        <w:tc>
          <w:tcPr>
            <w:tcW w:w="283" w:type="pct"/>
            <w:vMerge w:val="continue"/>
            <w:tcBorders>
              <w:tl2br w:val="nil"/>
              <w:tr2bl w:val="nil"/>
            </w:tcBorders>
            <w:vAlign w:val="center"/>
          </w:tcPr>
          <w:p w14:paraId="43ADB3D3">
            <w:pPr>
              <w:adjustRightInd w:val="0"/>
              <w:snapToGrid w:val="0"/>
              <w:jc w:val="center"/>
              <w:rPr>
                <w:color w:val="auto"/>
                <w:szCs w:val="21"/>
              </w:rPr>
            </w:pPr>
          </w:p>
        </w:tc>
        <w:tc>
          <w:tcPr>
            <w:tcW w:w="307" w:type="pct"/>
            <w:vMerge w:val="continue"/>
            <w:tcBorders>
              <w:tl2br w:val="nil"/>
              <w:tr2bl w:val="nil"/>
            </w:tcBorders>
            <w:vAlign w:val="center"/>
          </w:tcPr>
          <w:p w14:paraId="79D87C0B">
            <w:pPr>
              <w:adjustRightInd w:val="0"/>
              <w:snapToGrid w:val="0"/>
              <w:jc w:val="center"/>
              <w:rPr>
                <w:color w:val="auto"/>
                <w:szCs w:val="21"/>
              </w:rPr>
            </w:pPr>
          </w:p>
        </w:tc>
        <w:tc>
          <w:tcPr>
            <w:tcW w:w="296" w:type="pct"/>
            <w:vMerge w:val="continue"/>
            <w:tcBorders>
              <w:tl2br w:val="nil"/>
              <w:tr2bl w:val="nil"/>
            </w:tcBorders>
            <w:vAlign w:val="center"/>
          </w:tcPr>
          <w:p w14:paraId="011B9C66">
            <w:pPr>
              <w:adjustRightInd w:val="0"/>
              <w:snapToGrid w:val="0"/>
              <w:jc w:val="center"/>
              <w:rPr>
                <w:color w:val="auto"/>
                <w:szCs w:val="21"/>
              </w:rPr>
            </w:pPr>
          </w:p>
        </w:tc>
        <w:tc>
          <w:tcPr>
            <w:tcW w:w="325" w:type="pct"/>
            <w:tcBorders>
              <w:tl2br w:val="nil"/>
              <w:tr2bl w:val="nil"/>
            </w:tcBorders>
            <w:vAlign w:val="center"/>
          </w:tcPr>
          <w:p w14:paraId="1B4BA5D6">
            <w:pPr>
              <w:jc w:val="center"/>
              <w:rPr>
                <w:color w:val="auto"/>
                <w:szCs w:val="21"/>
              </w:rPr>
            </w:pPr>
            <w:r>
              <w:rPr>
                <w:color w:val="auto"/>
                <w:szCs w:val="21"/>
              </w:rPr>
              <w:t>北</w:t>
            </w:r>
          </w:p>
        </w:tc>
        <w:tc>
          <w:tcPr>
            <w:tcW w:w="343" w:type="pct"/>
            <w:tcBorders>
              <w:tl2br w:val="nil"/>
              <w:tr2bl w:val="nil"/>
            </w:tcBorders>
            <w:vAlign w:val="center"/>
          </w:tcPr>
          <w:p w14:paraId="4025BFBC">
            <w:pPr>
              <w:adjustRightInd w:val="0"/>
              <w:snapToGrid w:val="0"/>
              <w:jc w:val="center"/>
              <w:rPr>
                <w:color w:val="auto"/>
                <w:szCs w:val="21"/>
              </w:rPr>
            </w:pPr>
            <w:r>
              <w:rPr>
                <w:rFonts w:hint="eastAsia"/>
                <w:color w:val="auto"/>
                <w:szCs w:val="21"/>
              </w:rPr>
              <w:t>252</w:t>
            </w:r>
          </w:p>
        </w:tc>
        <w:tc>
          <w:tcPr>
            <w:tcW w:w="466" w:type="pct"/>
            <w:tcBorders>
              <w:tl2br w:val="nil"/>
              <w:tr2bl w:val="nil"/>
            </w:tcBorders>
            <w:vAlign w:val="center"/>
          </w:tcPr>
          <w:p w14:paraId="03396F19">
            <w:pPr>
              <w:adjustRightInd w:val="0"/>
              <w:snapToGrid w:val="0"/>
              <w:jc w:val="center"/>
              <w:rPr>
                <w:color w:val="auto"/>
                <w:szCs w:val="21"/>
              </w:rPr>
            </w:pPr>
            <w:r>
              <w:rPr>
                <w:rFonts w:hint="eastAsia"/>
                <w:color w:val="auto"/>
                <w:szCs w:val="21"/>
              </w:rPr>
              <w:t>26.97</w:t>
            </w:r>
          </w:p>
        </w:tc>
        <w:tc>
          <w:tcPr>
            <w:tcW w:w="247" w:type="pct"/>
            <w:vMerge w:val="continue"/>
            <w:tcBorders>
              <w:tl2br w:val="nil"/>
              <w:tr2bl w:val="nil"/>
            </w:tcBorders>
            <w:vAlign w:val="center"/>
          </w:tcPr>
          <w:p w14:paraId="4D67BB24">
            <w:pPr>
              <w:adjustRightInd w:val="0"/>
              <w:snapToGrid w:val="0"/>
              <w:jc w:val="center"/>
              <w:rPr>
                <w:color w:val="auto"/>
                <w:szCs w:val="21"/>
              </w:rPr>
            </w:pPr>
          </w:p>
        </w:tc>
        <w:tc>
          <w:tcPr>
            <w:tcW w:w="409" w:type="pct"/>
            <w:vMerge w:val="continue"/>
            <w:tcBorders>
              <w:tl2br w:val="nil"/>
              <w:tr2bl w:val="nil"/>
            </w:tcBorders>
            <w:vAlign w:val="center"/>
          </w:tcPr>
          <w:p w14:paraId="1F83429A">
            <w:pPr>
              <w:adjustRightInd w:val="0"/>
              <w:snapToGrid w:val="0"/>
              <w:jc w:val="center"/>
              <w:rPr>
                <w:color w:val="auto"/>
                <w:szCs w:val="21"/>
              </w:rPr>
            </w:pPr>
          </w:p>
        </w:tc>
        <w:tc>
          <w:tcPr>
            <w:tcW w:w="1153" w:type="dxa"/>
            <w:tcBorders>
              <w:tl2br w:val="nil"/>
              <w:tr2bl w:val="nil"/>
            </w:tcBorders>
            <w:vAlign w:val="center"/>
          </w:tcPr>
          <w:p w14:paraId="099ED55B">
            <w:pPr>
              <w:adjustRightInd w:val="0"/>
              <w:snapToGrid w:val="0"/>
              <w:jc w:val="center"/>
              <w:rPr>
                <w:color w:val="auto"/>
                <w:szCs w:val="21"/>
              </w:rPr>
            </w:pPr>
            <w:r>
              <w:rPr>
                <w:rFonts w:hint="eastAsia"/>
                <w:color w:val="auto"/>
                <w:szCs w:val="21"/>
              </w:rPr>
              <w:t>21.97</w:t>
            </w:r>
          </w:p>
        </w:tc>
        <w:tc>
          <w:tcPr>
            <w:tcW w:w="319" w:type="pct"/>
            <w:tcBorders>
              <w:tl2br w:val="nil"/>
              <w:tr2bl w:val="nil"/>
            </w:tcBorders>
            <w:vAlign w:val="center"/>
          </w:tcPr>
          <w:p w14:paraId="2D6BBB82">
            <w:pPr>
              <w:adjustRightInd w:val="0"/>
              <w:snapToGrid w:val="0"/>
              <w:jc w:val="center"/>
              <w:rPr>
                <w:color w:val="auto"/>
                <w:szCs w:val="21"/>
              </w:rPr>
            </w:pPr>
            <w:r>
              <w:rPr>
                <w:color w:val="auto"/>
                <w:szCs w:val="21"/>
              </w:rPr>
              <w:t>1</w:t>
            </w:r>
          </w:p>
        </w:tc>
      </w:tr>
      <w:tr w14:paraId="3F06FA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76B2B8A4">
            <w:pPr>
              <w:widowControl/>
              <w:jc w:val="center"/>
              <w:textAlignment w:val="center"/>
              <w:rPr>
                <w:color w:val="auto"/>
                <w:szCs w:val="21"/>
              </w:rPr>
            </w:pPr>
            <w:r>
              <w:rPr>
                <w:color w:val="auto"/>
                <w:kern w:val="0"/>
                <w:szCs w:val="21"/>
              </w:rPr>
              <w:t>3</w:t>
            </w:r>
          </w:p>
        </w:tc>
        <w:tc>
          <w:tcPr>
            <w:tcW w:w="240" w:type="pct"/>
            <w:vMerge w:val="continue"/>
            <w:tcBorders>
              <w:tl2br w:val="nil"/>
              <w:tr2bl w:val="nil"/>
            </w:tcBorders>
            <w:vAlign w:val="center"/>
          </w:tcPr>
          <w:p w14:paraId="41627406">
            <w:pPr>
              <w:adjustRightInd w:val="0"/>
              <w:snapToGrid w:val="0"/>
              <w:jc w:val="center"/>
              <w:rPr>
                <w:color w:val="auto"/>
                <w:szCs w:val="21"/>
              </w:rPr>
            </w:pPr>
          </w:p>
        </w:tc>
        <w:tc>
          <w:tcPr>
            <w:tcW w:w="351" w:type="pct"/>
            <w:vMerge w:val="restart"/>
            <w:tcBorders>
              <w:tl2br w:val="nil"/>
              <w:tr2bl w:val="nil"/>
            </w:tcBorders>
            <w:vAlign w:val="center"/>
          </w:tcPr>
          <w:p w14:paraId="7909DB2D">
            <w:pPr>
              <w:widowControl/>
              <w:jc w:val="center"/>
              <w:textAlignment w:val="center"/>
              <w:rPr>
                <w:color w:val="auto"/>
                <w:szCs w:val="21"/>
              </w:rPr>
            </w:pPr>
            <w:r>
              <w:rPr>
                <w:color w:val="auto"/>
                <w:kern w:val="0"/>
                <w:szCs w:val="21"/>
                <w:lang w:bidi="ar"/>
              </w:rPr>
              <w:t>轨道运输车</w:t>
            </w:r>
          </w:p>
        </w:tc>
        <w:tc>
          <w:tcPr>
            <w:tcW w:w="408" w:type="pct"/>
            <w:vMerge w:val="restart"/>
            <w:tcBorders>
              <w:tl2br w:val="nil"/>
              <w:tr2bl w:val="nil"/>
            </w:tcBorders>
            <w:vAlign w:val="center"/>
          </w:tcPr>
          <w:p w14:paraId="0A2A34C1">
            <w:pPr>
              <w:widowControl/>
              <w:snapToGrid w:val="0"/>
              <w:jc w:val="center"/>
              <w:rPr>
                <w:color w:val="auto"/>
                <w:szCs w:val="21"/>
              </w:rPr>
            </w:pPr>
            <w:r>
              <w:rPr>
                <w:rFonts w:hint="eastAsia"/>
                <w:color w:val="auto"/>
                <w:szCs w:val="21"/>
              </w:rPr>
              <w:t>80</w:t>
            </w:r>
          </w:p>
        </w:tc>
        <w:tc>
          <w:tcPr>
            <w:tcW w:w="355" w:type="pct"/>
            <w:vMerge w:val="continue"/>
            <w:tcBorders>
              <w:tl2br w:val="nil"/>
              <w:tr2bl w:val="nil"/>
            </w:tcBorders>
            <w:vAlign w:val="center"/>
          </w:tcPr>
          <w:p w14:paraId="103676B4">
            <w:pPr>
              <w:adjustRightInd w:val="0"/>
              <w:snapToGrid w:val="0"/>
              <w:jc w:val="center"/>
              <w:rPr>
                <w:color w:val="auto"/>
                <w:szCs w:val="21"/>
              </w:rPr>
            </w:pPr>
          </w:p>
        </w:tc>
        <w:tc>
          <w:tcPr>
            <w:tcW w:w="283" w:type="pct"/>
            <w:vMerge w:val="restart"/>
            <w:tcBorders>
              <w:tl2br w:val="nil"/>
              <w:tr2bl w:val="nil"/>
            </w:tcBorders>
            <w:vAlign w:val="center"/>
          </w:tcPr>
          <w:p w14:paraId="14749FC6">
            <w:pPr>
              <w:adjustRightInd w:val="0"/>
              <w:snapToGrid w:val="0"/>
              <w:jc w:val="center"/>
              <w:rPr>
                <w:color w:val="auto"/>
                <w:szCs w:val="21"/>
              </w:rPr>
            </w:pPr>
            <w:r>
              <w:rPr>
                <w:color w:val="auto"/>
                <w:szCs w:val="21"/>
              </w:rPr>
              <w:t>-370</w:t>
            </w:r>
          </w:p>
        </w:tc>
        <w:tc>
          <w:tcPr>
            <w:tcW w:w="307" w:type="pct"/>
            <w:vMerge w:val="restart"/>
            <w:tcBorders>
              <w:tl2br w:val="nil"/>
              <w:tr2bl w:val="nil"/>
            </w:tcBorders>
            <w:vAlign w:val="center"/>
          </w:tcPr>
          <w:p w14:paraId="5922343D">
            <w:pPr>
              <w:adjustRightInd w:val="0"/>
              <w:snapToGrid w:val="0"/>
              <w:jc w:val="center"/>
              <w:rPr>
                <w:color w:val="auto"/>
                <w:szCs w:val="21"/>
              </w:rPr>
            </w:pPr>
            <w:r>
              <w:rPr>
                <w:color w:val="auto"/>
                <w:szCs w:val="21"/>
              </w:rPr>
              <w:t>-80</w:t>
            </w:r>
          </w:p>
        </w:tc>
        <w:tc>
          <w:tcPr>
            <w:tcW w:w="296" w:type="pct"/>
            <w:vMerge w:val="restart"/>
            <w:tcBorders>
              <w:tl2br w:val="nil"/>
              <w:tr2bl w:val="nil"/>
            </w:tcBorders>
            <w:vAlign w:val="center"/>
          </w:tcPr>
          <w:p w14:paraId="103AE2AD">
            <w:pPr>
              <w:adjustRightInd w:val="0"/>
              <w:snapToGrid w:val="0"/>
              <w:jc w:val="center"/>
              <w:rPr>
                <w:color w:val="auto"/>
                <w:szCs w:val="21"/>
              </w:rPr>
            </w:pPr>
            <w:r>
              <w:rPr>
                <w:color w:val="auto"/>
                <w:szCs w:val="21"/>
              </w:rPr>
              <w:t>0.5</w:t>
            </w:r>
          </w:p>
        </w:tc>
        <w:tc>
          <w:tcPr>
            <w:tcW w:w="325" w:type="pct"/>
            <w:tcBorders>
              <w:tl2br w:val="nil"/>
              <w:tr2bl w:val="nil"/>
            </w:tcBorders>
            <w:vAlign w:val="center"/>
          </w:tcPr>
          <w:p w14:paraId="3E16CA82">
            <w:pPr>
              <w:jc w:val="center"/>
              <w:rPr>
                <w:color w:val="auto"/>
                <w:szCs w:val="21"/>
              </w:rPr>
            </w:pPr>
            <w:r>
              <w:rPr>
                <w:color w:val="auto"/>
                <w:szCs w:val="21"/>
              </w:rPr>
              <w:t>东</w:t>
            </w:r>
          </w:p>
        </w:tc>
        <w:tc>
          <w:tcPr>
            <w:tcW w:w="343" w:type="pct"/>
            <w:tcBorders>
              <w:tl2br w:val="nil"/>
              <w:tr2bl w:val="nil"/>
            </w:tcBorders>
            <w:vAlign w:val="center"/>
          </w:tcPr>
          <w:p w14:paraId="0B63B7E5">
            <w:pPr>
              <w:adjustRightInd w:val="0"/>
              <w:snapToGrid w:val="0"/>
              <w:jc w:val="center"/>
              <w:rPr>
                <w:color w:val="auto"/>
                <w:szCs w:val="21"/>
              </w:rPr>
            </w:pPr>
            <w:r>
              <w:rPr>
                <w:color w:val="auto"/>
                <w:szCs w:val="21"/>
              </w:rPr>
              <w:t>37</w:t>
            </w:r>
            <w:r>
              <w:rPr>
                <w:rFonts w:hint="eastAsia"/>
                <w:color w:val="auto"/>
                <w:szCs w:val="21"/>
              </w:rPr>
              <w:t>5</w:t>
            </w:r>
          </w:p>
        </w:tc>
        <w:tc>
          <w:tcPr>
            <w:tcW w:w="466" w:type="pct"/>
            <w:tcBorders>
              <w:tl2br w:val="nil"/>
              <w:tr2bl w:val="nil"/>
            </w:tcBorders>
            <w:vAlign w:val="center"/>
          </w:tcPr>
          <w:p w14:paraId="0B92776E">
            <w:pPr>
              <w:adjustRightInd w:val="0"/>
              <w:snapToGrid w:val="0"/>
              <w:jc w:val="center"/>
              <w:rPr>
                <w:color w:val="auto"/>
                <w:szCs w:val="21"/>
              </w:rPr>
            </w:pPr>
            <w:r>
              <w:rPr>
                <w:rFonts w:hint="eastAsia"/>
                <w:color w:val="auto"/>
                <w:szCs w:val="21"/>
              </w:rPr>
              <w:t>28.52</w:t>
            </w:r>
          </w:p>
        </w:tc>
        <w:tc>
          <w:tcPr>
            <w:tcW w:w="247" w:type="pct"/>
            <w:vMerge w:val="continue"/>
            <w:tcBorders>
              <w:tl2br w:val="nil"/>
              <w:tr2bl w:val="nil"/>
            </w:tcBorders>
            <w:vAlign w:val="center"/>
          </w:tcPr>
          <w:p w14:paraId="0CFC6306">
            <w:pPr>
              <w:adjustRightInd w:val="0"/>
              <w:snapToGrid w:val="0"/>
              <w:jc w:val="center"/>
              <w:rPr>
                <w:color w:val="auto"/>
                <w:szCs w:val="21"/>
              </w:rPr>
            </w:pPr>
          </w:p>
        </w:tc>
        <w:tc>
          <w:tcPr>
            <w:tcW w:w="409" w:type="pct"/>
            <w:vMerge w:val="restart"/>
            <w:tcBorders>
              <w:tl2br w:val="nil"/>
              <w:tr2bl w:val="nil"/>
            </w:tcBorders>
            <w:vAlign w:val="center"/>
          </w:tcPr>
          <w:p w14:paraId="496F892A">
            <w:pPr>
              <w:adjustRightInd w:val="0"/>
              <w:snapToGrid w:val="0"/>
              <w:jc w:val="center"/>
              <w:rPr>
                <w:color w:val="auto"/>
                <w:szCs w:val="21"/>
              </w:rPr>
            </w:pPr>
            <w:r>
              <w:rPr>
                <w:color w:val="auto"/>
                <w:szCs w:val="21"/>
              </w:rPr>
              <w:t>5</w:t>
            </w:r>
          </w:p>
        </w:tc>
        <w:tc>
          <w:tcPr>
            <w:tcW w:w="1153" w:type="dxa"/>
            <w:tcBorders>
              <w:tl2br w:val="nil"/>
              <w:tr2bl w:val="nil"/>
            </w:tcBorders>
            <w:vAlign w:val="center"/>
          </w:tcPr>
          <w:p w14:paraId="56EDDBA2">
            <w:pPr>
              <w:adjustRightInd w:val="0"/>
              <w:snapToGrid w:val="0"/>
              <w:jc w:val="center"/>
              <w:rPr>
                <w:color w:val="auto"/>
                <w:szCs w:val="21"/>
              </w:rPr>
            </w:pPr>
            <w:r>
              <w:rPr>
                <w:rFonts w:hint="eastAsia"/>
                <w:color w:val="auto"/>
                <w:szCs w:val="21"/>
              </w:rPr>
              <w:t>23.52</w:t>
            </w:r>
          </w:p>
        </w:tc>
        <w:tc>
          <w:tcPr>
            <w:tcW w:w="319" w:type="pct"/>
            <w:tcBorders>
              <w:tl2br w:val="nil"/>
              <w:tr2bl w:val="nil"/>
            </w:tcBorders>
            <w:vAlign w:val="center"/>
          </w:tcPr>
          <w:p w14:paraId="7E0FCBB6">
            <w:pPr>
              <w:adjustRightInd w:val="0"/>
              <w:snapToGrid w:val="0"/>
              <w:jc w:val="center"/>
              <w:rPr>
                <w:color w:val="auto"/>
                <w:szCs w:val="21"/>
              </w:rPr>
            </w:pPr>
            <w:r>
              <w:rPr>
                <w:color w:val="auto"/>
                <w:szCs w:val="21"/>
              </w:rPr>
              <w:t>1</w:t>
            </w:r>
          </w:p>
        </w:tc>
      </w:tr>
      <w:tr w14:paraId="7B0F1D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09C8DEF5">
            <w:pPr>
              <w:adjustRightInd w:val="0"/>
              <w:snapToGrid w:val="0"/>
              <w:jc w:val="center"/>
              <w:rPr>
                <w:color w:val="auto"/>
                <w:szCs w:val="21"/>
              </w:rPr>
            </w:pPr>
          </w:p>
        </w:tc>
        <w:tc>
          <w:tcPr>
            <w:tcW w:w="240" w:type="pct"/>
            <w:vMerge w:val="continue"/>
            <w:tcBorders>
              <w:tl2br w:val="nil"/>
              <w:tr2bl w:val="nil"/>
            </w:tcBorders>
            <w:vAlign w:val="center"/>
          </w:tcPr>
          <w:p w14:paraId="7A1E1DE3">
            <w:pPr>
              <w:adjustRightInd w:val="0"/>
              <w:snapToGrid w:val="0"/>
              <w:jc w:val="center"/>
              <w:rPr>
                <w:color w:val="auto"/>
                <w:szCs w:val="21"/>
              </w:rPr>
            </w:pPr>
          </w:p>
        </w:tc>
        <w:tc>
          <w:tcPr>
            <w:tcW w:w="351" w:type="pct"/>
            <w:vMerge w:val="continue"/>
            <w:tcBorders>
              <w:tl2br w:val="nil"/>
              <w:tr2bl w:val="nil"/>
            </w:tcBorders>
            <w:vAlign w:val="center"/>
          </w:tcPr>
          <w:p w14:paraId="706D9934">
            <w:pPr>
              <w:adjustRightInd w:val="0"/>
              <w:snapToGrid w:val="0"/>
              <w:jc w:val="center"/>
              <w:rPr>
                <w:color w:val="auto"/>
                <w:szCs w:val="21"/>
              </w:rPr>
            </w:pPr>
          </w:p>
        </w:tc>
        <w:tc>
          <w:tcPr>
            <w:tcW w:w="408" w:type="pct"/>
            <w:vMerge w:val="continue"/>
            <w:tcBorders>
              <w:tl2br w:val="nil"/>
              <w:tr2bl w:val="nil"/>
            </w:tcBorders>
            <w:vAlign w:val="center"/>
          </w:tcPr>
          <w:p w14:paraId="379B56F4">
            <w:pPr>
              <w:adjustRightInd w:val="0"/>
              <w:snapToGrid w:val="0"/>
              <w:jc w:val="center"/>
              <w:rPr>
                <w:color w:val="auto"/>
                <w:szCs w:val="21"/>
              </w:rPr>
            </w:pPr>
          </w:p>
        </w:tc>
        <w:tc>
          <w:tcPr>
            <w:tcW w:w="355" w:type="pct"/>
            <w:vMerge w:val="continue"/>
            <w:tcBorders>
              <w:tl2br w:val="nil"/>
              <w:tr2bl w:val="nil"/>
            </w:tcBorders>
            <w:vAlign w:val="center"/>
          </w:tcPr>
          <w:p w14:paraId="5D639A3E">
            <w:pPr>
              <w:adjustRightInd w:val="0"/>
              <w:snapToGrid w:val="0"/>
              <w:jc w:val="center"/>
              <w:rPr>
                <w:color w:val="auto"/>
                <w:szCs w:val="21"/>
              </w:rPr>
            </w:pPr>
          </w:p>
        </w:tc>
        <w:tc>
          <w:tcPr>
            <w:tcW w:w="283" w:type="pct"/>
            <w:vMerge w:val="continue"/>
            <w:tcBorders>
              <w:tl2br w:val="nil"/>
              <w:tr2bl w:val="nil"/>
            </w:tcBorders>
            <w:vAlign w:val="center"/>
          </w:tcPr>
          <w:p w14:paraId="512120ED">
            <w:pPr>
              <w:adjustRightInd w:val="0"/>
              <w:snapToGrid w:val="0"/>
              <w:jc w:val="center"/>
              <w:rPr>
                <w:color w:val="auto"/>
                <w:szCs w:val="21"/>
              </w:rPr>
            </w:pPr>
          </w:p>
        </w:tc>
        <w:tc>
          <w:tcPr>
            <w:tcW w:w="307" w:type="pct"/>
            <w:vMerge w:val="continue"/>
            <w:tcBorders>
              <w:tl2br w:val="nil"/>
              <w:tr2bl w:val="nil"/>
            </w:tcBorders>
            <w:vAlign w:val="center"/>
          </w:tcPr>
          <w:p w14:paraId="7EF90D38">
            <w:pPr>
              <w:adjustRightInd w:val="0"/>
              <w:snapToGrid w:val="0"/>
              <w:jc w:val="center"/>
              <w:rPr>
                <w:color w:val="auto"/>
                <w:szCs w:val="21"/>
              </w:rPr>
            </w:pPr>
          </w:p>
        </w:tc>
        <w:tc>
          <w:tcPr>
            <w:tcW w:w="296" w:type="pct"/>
            <w:vMerge w:val="continue"/>
            <w:tcBorders>
              <w:tl2br w:val="nil"/>
              <w:tr2bl w:val="nil"/>
            </w:tcBorders>
            <w:vAlign w:val="center"/>
          </w:tcPr>
          <w:p w14:paraId="337D177A">
            <w:pPr>
              <w:adjustRightInd w:val="0"/>
              <w:snapToGrid w:val="0"/>
              <w:jc w:val="center"/>
              <w:rPr>
                <w:color w:val="auto"/>
                <w:szCs w:val="21"/>
              </w:rPr>
            </w:pPr>
          </w:p>
        </w:tc>
        <w:tc>
          <w:tcPr>
            <w:tcW w:w="325" w:type="pct"/>
            <w:tcBorders>
              <w:tl2br w:val="nil"/>
              <w:tr2bl w:val="nil"/>
            </w:tcBorders>
            <w:vAlign w:val="center"/>
          </w:tcPr>
          <w:p w14:paraId="60FA8028">
            <w:pPr>
              <w:jc w:val="center"/>
              <w:rPr>
                <w:color w:val="auto"/>
                <w:szCs w:val="21"/>
              </w:rPr>
            </w:pPr>
            <w:r>
              <w:rPr>
                <w:color w:val="auto"/>
                <w:szCs w:val="21"/>
              </w:rPr>
              <w:t>南</w:t>
            </w:r>
          </w:p>
        </w:tc>
        <w:tc>
          <w:tcPr>
            <w:tcW w:w="343" w:type="pct"/>
            <w:tcBorders>
              <w:tl2br w:val="nil"/>
              <w:tr2bl w:val="nil"/>
            </w:tcBorders>
            <w:vAlign w:val="center"/>
          </w:tcPr>
          <w:p w14:paraId="05135A66">
            <w:pPr>
              <w:adjustRightInd w:val="0"/>
              <w:snapToGrid w:val="0"/>
              <w:jc w:val="center"/>
              <w:rPr>
                <w:color w:val="auto"/>
                <w:szCs w:val="21"/>
              </w:rPr>
            </w:pPr>
            <w:r>
              <w:rPr>
                <w:color w:val="auto"/>
                <w:szCs w:val="21"/>
              </w:rPr>
              <w:t>4</w:t>
            </w:r>
            <w:r>
              <w:rPr>
                <w:rFonts w:hint="eastAsia"/>
                <w:color w:val="auto"/>
                <w:szCs w:val="21"/>
              </w:rPr>
              <w:t>00</w:t>
            </w:r>
          </w:p>
        </w:tc>
        <w:tc>
          <w:tcPr>
            <w:tcW w:w="466" w:type="pct"/>
            <w:tcBorders>
              <w:tl2br w:val="nil"/>
              <w:tr2bl w:val="nil"/>
            </w:tcBorders>
            <w:vAlign w:val="center"/>
          </w:tcPr>
          <w:p w14:paraId="527FA2B1">
            <w:pPr>
              <w:adjustRightInd w:val="0"/>
              <w:snapToGrid w:val="0"/>
              <w:jc w:val="center"/>
              <w:rPr>
                <w:color w:val="auto"/>
                <w:szCs w:val="21"/>
              </w:rPr>
            </w:pPr>
            <w:r>
              <w:rPr>
                <w:rFonts w:hint="eastAsia"/>
                <w:color w:val="auto"/>
                <w:szCs w:val="21"/>
              </w:rPr>
              <w:t>27.96</w:t>
            </w:r>
          </w:p>
        </w:tc>
        <w:tc>
          <w:tcPr>
            <w:tcW w:w="247" w:type="pct"/>
            <w:vMerge w:val="continue"/>
            <w:tcBorders>
              <w:tl2br w:val="nil"/>
              <w:tr2bl w:val="nil"/>
            </w:tcBorders>
            <w:vAlign w:val="center"/>
          </w:tcPr>
          <w:p w14:paraId="05913D84">
            <w:pPr>
              <w:adjustRightInd w:val="0"/>
              <w:snapToGrid w:val="0"/>
              <w:jc w:val="center"/>
              <w:rPr>
                <w:color w:val="auto"/>
                <w:szCs w:val="21"/>
              </w:rPr>
            </w:pPr>
          </w:p>
        </w:tc>
        <w:tc>
          <w:tcPr>
            <w:tcW w:w="409" w:type="pct"/>
            <w:vMerge w:val="continue"/>
            <w:tcBorders>
              <w:tl2br w:val="nil"/>
              <w:tr2bl w:val="nil"/>
            </w:tcBorders>
            <w:vAlign w:val="center"/>
          </w:tcPr>
          <w:p w14:paraId="2FF1A2EE">
            <w:pPr>
              <w:adjustRightInd w:val="0"/>
              <w:snapToGrid w:val="0"/>
              <w:jc w:val="center"/>
              <w:rPr>
                <w:color w:val="auto"/>
                <w:szCs w:val="21"/>
              </w:rPr>
            </w:pPr>
          </w:p>
        </w:tc>
        <w:tc>
          <w:tcPr>
            <w:tcW w:w="1153" w:type="dxa"/>
            <w:tcBorders>
              <w:tl2br w:val="nil"/>
              <w:tr2bl w:val="nil"/>
            </w:tcBorders>
            <w:vAlign w:val="center"/>
          </w:tcPr>
          <w:p w14:paraId="64046438">
            <w:pPr>
              <w:adjustRightInd w:val="0"/>
              <w:snapToGrid w:val="0"/>
              <w:jc w:val="center"/>
              <w:rPr>
                <w:color w:val="auto"/>
                <w:szCs w:val="21"/>
              </w:rPr>
            </w:pPr>
            <w:r>
              <w:rPr>
                <w:rFonts w:hint="eastAsia"/>
                <w:color w:val="auto"/>
                <w:szCs w:val="21"/>
              </w:rPr>
              <w:t>22.96</w:t>
            </w:r>
          </w:p>
        </w:tc>
        <w:tc>
          <w:tcPr>
            <w:tcW w:w="319" w:type="pct"/>
            <w:tcBorders>
              <w:tl2br w:val="nil"/>
              <w:tr2bl w:val="nil"/>
            </w:tcBorders>
            <w:vAlign w:val="center"/>
          </w:tcPr>
          <w:p w14:paraId="1785976E">
            <w:pPr>
              <w:adjustRightInd w:val="0"/>
              <w:snapToGrid w:val="0"/>
              <w:jc w:val="center"/>
              <w:rPr>
                <w:color w:val="auto"/>
                <w:szCs w:val="21"/>
              </w:rPr>
            </w:pPr>
            <w:r>
              <w:rPr>
                <w:color w:val="auto"/>
                <w:szCs w:val="21"/>
              </w:rPr>
              <w:t>1</w:t>
            </w:r>
          </w:p>
        </w:tc>
      </w:tr>
      <w:tr w14:paraId="43464A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0DF2FB20">
            <w:pPr>
              <w:adjustRightInd w:val="0"/>
              <w:snapToGrid w:val="0"/>
              <w:jc w:val="center"/>
              <w:rPr>
                <w:color w:val="auto"/>
                <w:szCs w:val="21"/>
              </w:rPr>
            </w:pPr>
          </w:p>
        </w:tc>
        <w:tc>
          <w:tcPr>
            <w:tcW w:w="240" w:type="pct"/>
            <w:vMerge w:val="continue"/>
            <w:tcBorders>
              <w:tl2br w:val="nil"/>
              <w:tr2bl w:val="nil"/>
            </w:tcBorders>
            <w:vAlign w:val="center"/>
          </w:tcPr>
          <w:p w14:paraId="3D98BCCA">
            <w:pPr>
              <w:adjustRightInd w:val="0"/>
              <w:snapToGrid w:val="0"/>
              <w:jc w:val="center"/>
              <w:rPr>
                <w:color w:val="auto"/>
                <w:szCs w:val="21"/>
              </w:rPr>
            </w:pPr>
          </w:p>
        </w:tc>
        <w:tc>
          <w:tcPr>
            <w:tcW w:w="351" w:type="pct"/>
            <w:vMerge w:val="continue"/>
            <w:tcBorders>
              <w:tl2br w:val="nil"/>
              <w:tr2bl w:val="nil"/>
            </w:tcBorders>
            <w:vAlign w:val="center"/>
          </w:tcPr>
          <w:p w14:paraId="278F53C5">
            <w:pPr>
              <w:adjustRightInd w:val="0"/>
              <w:snapToGrid w:val="0"/>
              <w:jc w:val="center"/>
              <w:rPr>
                <w:color w:val="auto"/>
                <w:szCs w:val="21"/>
              </w:rPr>
            </w:pPr>
          </w:p>
        </w:tc>
        <w:tc>
          <w:tcPr>
            <w:tcW w:w="408" w:type="pct"/>
            <w:vMerge w:val="continue"/>
            <w:tcBorders>
              <w:tl2br w:val="nil"/>
              <w:tr2bl w:val="nil"/>
            </w:tcBorders>
            <w:vAlign w:val="center"/>
          </w:tcPr>
          <w:p w14:paraId="408D83DC">
            <w:pPr>
              <w:adjustRightInd w:val="0"/>
              <w:snapToGrid w:val="0"/>
              <w:jc w:val="center"/>
              <w:rPr>
                <w:color w:val="auto"/>
                <w:szCs w:val="21"/>
              </w:rPr>
            </w:pPr>
          </w:p>
        </w:tc>
        <w:tc>
          <w:tcPr>
            <w:tcW w:w="355" w:type="pct"/>
            <w:vMerge w:val="continue"/>
            <w:tcBorders>
              <w:tl2br w:val="nil"/>
              <w:tr2bl w:val="nil"/>
            </w:tcBorders>
            <w:vAlign w:val="center"/>
          </w:tcPr>
          <w:p w14:paraId="100859DA">
            <w:pPr>
              <w:adjustRightInd w:val="0"/>
              <w:snapToGrid w:val="0"/>
              <w:jc w:val="center"/>
              <w:rPr>
                <w:color w:val="auto"/>
                <w:szCs w:val="21"/>
              </w:rPr>
            </w:pPr>
          </w:p>
        </w:tc>
        <w:tc>
          <w:tcPr>
            <w:tcW w:w="283" w:type="pct"/>
            <w:vMerge w:val="continue"/>
            <w:tcBorders>
              <w:tl2br w:val="nil"/>
              <w:tr2bl w:val="nil"/>
            </w:tcBorders>
            <w:vAlign w:val="center"/>
          </w:tcPr>
          <w:p w14:paraId="2B6BCC40">
            <w:pPr>
              <w:adjustRightInd w:val="0"/>
              <w:snapToGrid w:val="0"/>
              <w:jc w:val="center"/>
              <w:rPr>
                <w:color w:val="auto"/>
                <w:szCs w:val="21"/>
              </w:rPr>
            </w:pPr>
          </w:p>
        </w:tc>
        <w:tc>
          <w:tcPr>
            <w:tcW w:w="307" w:type="pct"/>
            <w:vMerge w:val="continue"/>
            <w:tcBorders>
              <w:tl2br w:val="nil"/>
              <w:tr2bl w:val="nil"/>
            </w:tcBorders>
            <w:vAlign w:val="center"/>
          </w:tcPr>
          <w:p w14:paraId="618774BC">
            <w:pPr>
              <w:adjustRightInd w:val="0"/>
              <w:snapToGrid w:val="0"/>
              <w:jc w:val="center"/>
              <w:rPr>
                <w:color w:val="auto"/>
                <w:szCs w:val="21"/>
              </w:rPr>
            </w:pPr>
          </w:p>
        </w:tc>
        <w:tc>
          <w:tcPr>
            <w:tcW w:w="296" w:type="pct"/>
            <w:vMerge w:val="continue"/>
            <w:tcBorders>
              <w:tl2br w:val="nil"/>
              <w:tr2bl w:val="nil"/>
            </w:tcBorders>
            <w:vAlign w:val="center"/>
          </w:tcPr>
          <w:p w14:paraId="2496470F">
            <w:pPr>
              <w:adjustRightInd w:val="0"/>
              <w:snapToGrid w:val="0"/>
              <w:jc w:val="center"/>
              <w:rPr>
                <w:color w:val="auto"/>
                <w:szCs w:val="21"/>
              </w:rPr>
            </w:pPr>
          </w:p>
        </w:tc>
        <w:tc>
          <w:tcPr>
            <w:tcW w:w="325" w:type="pct"/>
            <w:tcBorders>
              <w:tl2br w:val="nil"/>
              <w:tr2bl w:val="nil"/>
            </w:tcBorders>
            <w:vAlign w:val="center"/>
          </w:tcPr>
          <w:p w14:paraId="3430E078">
            <w:pPr>
              <w:jc w:val="center"/>
              <w:rPr>
                <w:color w:val="auto"/>
                <w:szCs w:val="21"/>
              </w:rPr>
            </w:pPr>
            <w:r>
              <w:rPr>
                <w:color w:val="auto"/>
                <w:szCs w:val="21"/>
              </w:rPr>
              <w:t>西</w:t>
            </w:r>
          </w:p>
        </w:tc>
        <w:tc>
          <w:tcPr>
            <w:tcW w:w="343" w:type="pct"/>
            <w:tcBorders>
              <w:tl2br w:val="nil"/>
              <w:tr2bl w:val="nil"/>
            </w:tcBorders>
            <w:vAlign w:val="center"/>
          </w:tcPr>
          <w:p w14:paraId="52202326">
            <w:pPr>
              <w:adjustRightInd w:val="0"/>
              <w:snapToGrid w:val="0"/>
              <w:jc w:val="center"/>
              <w:rPr>
                <w:color w:val="auto"/>
                <w:szCs w:val="21"/>
              </w:rPr>
            </w:pPr>
            <w:r>
              <w:rPr>
                <w:rFonts w:hint="eastAsia"/>
                <w:color w:val="auto"/>
                <w:szCs w:val="21"/>
              </w:rPr>
              <w:t>70</w:t>
            </w:r>
          </w:p>
        </w:tc>
        <w:tc>
          <w:tcPr>
            <w:tcW w:w="466" w:type="pct"/>
            <w:tcBorders>
              <w:tl2br w:val="nil"/>
              <w:tr2bl w:val="nil"/>
            </w:tcBorders>
            <w:vAlign w:val="center"/>
          </w:tcPr>
          <w:p w14:paraId="35F1548D">
            <w:pPr>
              <w:adjustRightInd w:val="0"/>
              <w:snapToGrid w:val="0"/>
              <w:jc w:val="center"/>
              <w:rPr>
                <w:color w:val="auto"/>
                <w:szCs w:val="21"/>
              </w:rPr>
            </w:pPr>
            <w:r>
              <w:rPr>
                <w:rFonts w:hint="eastAsia"/>
                <w:color w:val="auto"/>
                <w:szCs w:val="21"/>
              </w:rPr>
              <w:t>43.10</w:t>
            </w:r>
          </w:p>
        </w:tc>
        <w:tc>
          <w:tcPr>
            <w:tcW w:w="247" w:type="pct"/>
            <w:vMerge w:val="continue"/>
            <w:tcBorders>
              <w:tl2br w:val="nil"/>
              <w:tr2bl w:val="nil"/>
            </w:tcBorders>
            <w:vAlign w:val="center"/>
          </w:tcPr>
          <w:p w14:paraId="064586B5">
            <w:pPr>
              <w:adjustRightInd w:val="0"/>
              <w:snapToGrid w:val="0"/>
              <w:jc w:val="center"/>
              <w:rPr>
                <w:color w:val="auto"/>
                <w:szCs w:val="21"/>
              </w:rPr>
            </w:pPr>
          </w:p>
        </w:tc>
        <w:tc>
          <w:tcPr>
            <w:tcW w:w="409" w:type="pct"/>
            <w:vMerge w:val="continue"/>
            <w:tcBorders>
              <w:tl2br w:val="nil"/>
              <w:tr2bl w:val="nil"/>
            </w:tcBorders>
            <w:vAlign w:val="center"/>
          </w:tcPr>
          <w:p w14:paraId="344D8D4B">
            <w:pPr>
              <w:adjustRightInd w:val="0"/>
              <w:snapToGrid w:val="0"/>
              <w:jc w:val="center"/>
              <w:rPr>
                <w:color w:val="auto"/>
                <w:szCs w:val="21"/>
              </w:rPr>
            </w:pPr>
          </w:p>
        </w:tc>
        <w:tc>
          <w:tcPr>
            <w:tcW w:w="1153" w:type="dxa"/>
            <w:tcBorders>
              <w:tl2br w:val="nil"/>
              <w:tr2bl w:val="nil"/>
            </w:tcBorders>
            <w:vAlign w:val="center"/>
          </w:tcPr>
          <w:p w14:paraId="1E325149">
            <w:pPr>
              <w:adjustRightInd w:val="0"/>
              <w:snapToGrid w:val="0"/>
              <w:jc w:val="center"/>
              <w:rPr>
                <w:color w:val="auto"/>
                <w:szCs w:val="21"/>
              </w:rPr>
            </w:pPr>
            <w:r>
              <w:rPr>
                <w:rFonts w:hint="eastAsia"/>
                <w:color w:val="auto"/>
                <w:szCs w:val="21"/>
              </w:rPr>
              <w:t>38.1</w:t>
            </w:r>
          </w:p>
        </w:tc>
        <w:tc>
          <w:tcPr>
            <w:tcW w:w="319" w:type="pct"/>
            <w:tcBorders>
              <w:tl2br w:val="nil"/>
              <w:tr2bl w:val="nil"/>
            </w:tcBorders>
            <w:vAlign w:val="center"/>
          </w:tcPr>
          <w:p w14:paraId="0B652B99">
            <w:pPr>
              <w:adjustRightInd w:val="0"/>
              <w:snapToGrid w:val="0"/>
              <w:jc w:val="center"/>
              <w:rPr>
                <w:color w:val="auto"/>
                <w:szCs w:val="21"/>
              </w:rPr>
            </w:pPr>
            <w:r>
              <w:rPr>
                <w:color w:val="auto"/>
                <w:szCs w:val="21"/>
              </w:rPr>
              <w:t>1</w:t>
            </w:r>
          </w:p>
        </w:tc>
      </w:tr>
      <w:tr w14:paraId="440989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7AA0FF45">
            <w:pPr>
              <w:adjustRightInd w:val="0"/>
              <w:snapToGrid w:val="0"/>
              <w:jc w:val="center"/>
              <w:rPr>
                <w:color w:val="auto"/>
                <w:szCs w:val="21"/>
              </w:rPr>
            </w:pPr>
          </w:p>
        </w:tc>
        <w:tc>
          <w:tcPr>
            <w:tcW w:w="240" w:type="pct"/>
            <w:vMerge w:val="continue"/>
            <w:tcBorders>
              <w:tl2br w:val="nil"/>
              <w:tr2bl w:val="nil"/>
            </w:tcBorders>
            <w:vAlign w:val="center"/>
          </w:tcPr>
          <w:p w14:paraId="0D6E0091">
            <w:pPr>
              <w:adjustRightInd w:val="0"/>
              <w:snapToGrid w:val="0"/>
              <w:jc w:val="center"/>
              <w:rPr>
                <w:color w:val="auto"/>
                <w:szCs w:val="21"/>
              </w:rPr>
            </w:pPr>
          </w:p>
        </w:tc>
        <w:tc>
          <w:tcPr>
            <w:tcW w:w="351" w:type="pct"/>
            <w:vMerge w:val="continue"/>
            <w:tcBorders>
              <w:tl2br w:val="nil"/>
              <w:tr2bl w:val="nil"/>
            </w:tcBorders>
            <w:vAlign w:val="center"/>
          </w:tcPr>
          <w:p w14:paraId="50186FF3">
            <w:pPr>
              <w:adjustRightInd w:val="0"/>
              <w:snapToGrid w:val="0"/>
              <w:jc w:val="center"/>
              <w:rPr>
                <w:color w:val="auto"/>
                <w:szCs w:val="21"/>
              </w:rPr>
            </w:pPr>
          </w:p>
        </w:tc>
        <w:tc>
          <w:tcPr>
            <w:tcW w:w="408" w:type="pct"/>
            <w:vMerge w:val="continue"/>
            <w:tcBorders>
              <w:tl2br w:val="nil"/>
              <w:tr2bl w:val="nil"/>
            </w:tcBorders>
            <w:vAlign w:val="center"/>
          </w:tcPr>
          <w:p w14:paraId="548B9CBC">
            <w:pPr>
              <w:adjustRightInd w:val="0"/>
              <w:snapToGrid w:val="0"/>
              <w:jc w:val="center"/>
              <w:rPr>
                <w:color w:val="auto"/>
                <w:szCs w:val="21"/>
              </w:rPr>
            </w:pPr>
          </w:p>
        </w:tc>
        <w:tc>
          <w:tcPr>
            <w:tcW w:w="355" w:type="pct"/>
            <w:vMerge w:val="continue"/>
            <w:tcBorders>
              <w:tl2br w:val="nil"/>
              <w:tr2bl w:val="nil"/>
            </w:tcBorders>
            <w:vAlign w:val="center"/>
          </w:tcPr>
          <w:p w14:paraId="0B08C1E0">
            <w:pPr>
              <w:adjustRightInd w:val="0"/>
              <w:snapToGrid w:val="0"/>
              <w:jc w:val="center"/>
              <w:rPr>
                <w:color w:val="auto"/>
                <w:szCs w:val="21"/>
              </w:rPr>
            </w:pPr>
          </w:p>
        </w:tc>
        <w:tc>
          <w:tcPr>
            <w:tcW w:w="283" w:type="pct"/>
            <w:vMerge w:val="continue"/>
            <w:tcBorders>
              <w:tl2br w:val="nil"/>
              <w:tr2bl w:val="nil"/>
            </w:tcBorders>
            <w:vAlign w:val="center"/>
          </w:tcPr>
          <w:p w14:paraId="6A025F3A">
            <w:pPr>
              <w:adjustRightInd w:val="0"/>
              <w:snapToGrid w:val="0"/>
              <w:jc w:val="center"/>
              <w:rPr>
                <w:color w:val="auto"/>
                <w:szCs w:val="21"/>
              </w:rPr>
            </w:pPr>
          </w:p>
        </w:tc>
        <w:tc>
          <w:tcPr>
            <w:tcW w:w="307" w:type="pct"/>
            <w:vMerge w:val="continue"/>
            <w:tcBorders>
              <w:tl2br w:val="nil"/>
              <w:tr2bl w:val="nil"/>
            </w:tcBorders>
            <w:vAlign w:val="center"/>
          </w:tcPr>
          <w:p w14:paraId="780C1E64">
            <w:pPr>
              <w:adjustRightInd w:val="0"/>
              <w:snapToGrid w:val="0"/>
              <w:jc w:val="center"/>
              <w:rPr>
                <w:color w:val="auto"/>
                <w:szCs w:val="21"/>
              </w:rPr>
            </w:pPr>
          </w:p>
        </w:tc>
        <w:tc>
          <w:tcPr>
            <w:tcW w:w="296" w:type="pct"/>
            <w:vMerge w:val="continue"/>
            <w:tcBorders>
              <w:tl2br w:val="nil"/>
              <w:tr2bl w:val="nil"/>
            </w:tcBorders>
            <w:vAlign w:val="center"/>
          </w:tcPr>
          <w:p w14:paraId="03F6D8DE">
            <w:pPr>
              <w:adjustRightInd w:val="0"/>
              <w:snapToGrid w:val="0"/>
              <w:jc w:val="center"/>
              <w:rPr>
                <w:color w:val="auto"/>
                <w:szCs w:val="21"/>
              </w:rPr>
            </w:pPr>
          </w:p>
        </w:tc>
        <w:tc>
          <w:tcPr>
            <w:tcW w:w="325" w:type="pct"/>
            <w:tcBorders>
              <w:tl2br w:val="nil"/>
              <w:tr2bl w:val="nil"/>
            </w:tcBorders>
            <w:vAlign w:val="center"/>
          </w:tcPr>
          <w:p w14:paraId="2FEA7DEA">
            <w:pPr>
              <w:jc w:val="center"/>
              <w:rPr>
                <w:color w:val="auto"/>
                <w:szCs w:val="21"/>
              </w:rPr>
            </w:pPr>
            <w:r>
              <w:rPr>
                <w:color w:val="auto"/>
                <w:szCs w:val="21"/>
              </w:rPr>
              <w:t>北</w:t>
            </w:r>
          </w:p>
        </w:tc>
        <w:tc>
          <w:tcPr>
            <w:tcW w:w="343" w:type="pct"/>
            <w:tcBorders>
              <w:tl2br w:val="nil"/>
              <w:tr2bl w:val="nil"/>
            </w:tcBorders>
            <w:vAlign w:val="center"/>
          </w:tcPr>
          <w:p w14:paraId="51ED3580">
            <w:pPr>
              <w:adjustRightInd w:val="0"/>
              <w:snapToGrid w:val="0"/>
              <w:jc w:val="center"/>
              <w:rPr>
                <w:color w:val="auto"/>
                <w:szCs w:val="21"/>
              </w:rPr>
            </w:pPr>
            <w:r>
              <w:rPr>
                <w:rFonts w:hint="eastAsia"/>
                <w:color w:val="auto"/>
                <w:szCs w:val="21"/>
              </w:rPr>
              <w:t>170</w:t>
            </w:r>
          </w:p>
        </w:tc>
        <w:tc>
          <w:tcPr>
            <w:tcW w:w="466" w:type="pct"/>
            <w:tcBorders>
              <w:tl2br w:val="nil"/>
              <w:tr2bl w:val="nil"/>
            </w:tcBorders>
            <w:vAlign w:val="center"/>
          </w:tcPr>
          <w:p w14:paraId="142A51E2">
            <w:pPr>
              <w:adjustRightInd w:val="0"/>
              <w:snapToGrid w:val="0"/>
              <w:jc w:val="center"/>
              <w:rPr>
                <w:color w:val="auto"/>
                <w:szCs w:val="21"/>
              </w:rPr>
            </w:pPr>
            <w:r>
              <w:rPr>
                <w:rFonts w:hint="eastAsia"/>
                <w:color w:val="auto"/>
                <w:szCs w:val="21"/>
              </w:rPr>
              <w:t>35.39</w:t>
            </w:r>
          </w:p>
        </w:tc>
        <w:tc>
          <w:tcPr>
            <w:tcW w:w="247" w:type="pct"/>
            <w:vMerge w:val="continue"/>
            <w:tcBorders>
              <w:tl2br w:val="nil"/>
              <w:tr2bl w:val="nil"/>
            </w:tcBorders>
            <w:vAlign w:val="center"/>
          </w:tcPr>
          <w:p w14:paraId="36941189">
            <w:pPr>
              <w:adjustRightInd w:val="0"/>
              <w:snapToGrid w:val="0"/>
              <w:jc w:val="center"/>
              <w:rPr>
                <w:color w:val="auto"/>
                <w:szCs w:val="21"/>
              </w:rPr>
            </w:pPr>
          </w:p>
        </w:tc>
        <w:tc>
          <w:tcPr>
            <w:tcW w:w="409" w:type="pct"/>
            <w:vMerge w:val="continue"/>
            <w:tcBorders>
              <w:tl2br w:val="nil"/>
              <w:tr2bl w:val="nil"/>
            </w:tcBorders>
            <w:vAlign w:val="center"/>
          </w:tcPr>
          <w:p w14:paraId="697184B7">
            <w:pPr>
              <w:adjustRightInd w:val="0"/>
              <w:snapToGrid w:val="0"/>
              <w:jc w:val="center"/>
              <w:rPr>
                <w:color w:val="auto"/>
                <w:szCs w:val="21"/>
              </w:rPr>
            </w:pPr>
          </w:p>
        </w:tc>
        <w:tc>
          <w:tcPr>
            <w:tcW w:w="1153" w:type="dxa"/>
            <w:tcBorders>
              <w:tl2br w:val="nil"/>
              <w:tr2bl w:val="nil"/>
            </w:tcBorders>
            <w:vAlign w:val="center"/>
          </w:tcPr>
          <w:p w14:paraId="42FD596A">
            <w:pPr>
              <w:adjustRightInd w:val="0"/>
              <w:snapToGrid w:val="0"/>
              <w:jc w:val="center"/>
              <w:rPr>
                <w:color w:val="auto"/>
                <w:szCs w:val="21"/>
              </w:rPr>
            </w:pPr>
            <w:r>
              <w:rPr>
                <w:rFonts w:hint="eastAsia"/>
                <w:color w:val="auto"/>
                <w:szCs w:val="21"/>
              </w:rPr>
              <w:t>30.39</w:t>
            </w:r>
          </w:p>
        </w:tc>
        <w:tc>
          <w:tcPr>
            <w:tcW w:w="319" w:type="pct"/>
            <w:tcBorders>
              <w:tl2br w:val="nil"/>
              <w:tr2bl w:val="nil"/>
            </w:tcBorders>
            <w:vAlign w:val="center"/>
          </w:tcPr>
          <w:p w14:paraId="0C5C17CB">
            <w:pPr>
              <w:adjustRightInd w:val="0"/>
              <w:snapToGrid w:val="0"/>
              <w:jc w:val="center"/>
              <w:rPr>
                <w:color w:val="auto"/>
                <w:szCs w:val="21"/>
              </w:rPr>
            </w:pPr>
            <w:r>
              <w:rPr>
                <w:color w:val="auto"/>
                <w:szCs w:val="21"/>
              </w:rPr>
              <w:t>1</w:t>
            </w:r>
          </w:p>
        </w:tc>
      </w:tr>
      <w:tr w14:paraId="07A16B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3CFB735A">
            <w:pPr>
              <w:widowControl/>
              <w:jc w:val="center"/>
              <w:textAlignment w:val="center"/>
              <w:rPr>
                <w:color w:val="auto"/>
                <w:szCs w:val="21"/>
              </w:rPr>
            </w:pPr>
            <w:r>
              <w:rPr>
                <w:color w:val="auto"/>
                <w:kern w:val="0"/>
                <w:szCs w:val="21"/>
              </w:rPr>
              <w:t>4</w:t>
            </w:r>
          </w:p>
        </w:tc>
        <w:tc>
          <w:tcPr>
            <w:tcW w:w="240" w:type="pct"/>
            <w:vMerge w:val="continue"/>
            <w:tcBorders>
              <w:tl2br w:val="nil"/>
              <w:tr2bl w:val="nil"/>
            </w:tcBorders>
            <w:vAlign w:val="center"/>
          </w:tcPr>
          <w:p w14:paraId="15850BC7">
            <w:pPr>
              <w:adjustRightInd w:val="0"/>
              <w:snapToGrid w:val="0"/>
              <w:jc w:val="center"/>
              <w:rPr>
                <w:color w:val="auto"/>
                <w:szCs w:val="21"/>
              </w:rPr>
            </w:pPr>
          </w:p>
        </w:tc>
        <w:tc>
          <w:tcPr>
            <w:tcW w:w="351" w:type="pct"/>
            <w:vMerge w:val="restart"/>
            <w:tcBorders>
              <w:tl2br w:val="nil"/>
              <w:tr2bl w:val="nil"/>
            </w:tcBorders>
            <w:vAlign w:val="center"/>
          </w:tcPr>
          <w:p w14:paraId="2C21A118">
            <w:pPr>
              <w:widowControl/>
              <w:jc w:val="center"/>
              <w:textAlignment w:val="center"/>
              <w:rPr>
                <w:color w:val="auto"/>
                <w:szCs w:val="21"/>
              </w:rPr>
            </w:pPr>
            <w:r>
              <w:rPr>
                <w:color w:val="auto"/>
                <w:kern w:val="0"/>
                <w:szCs w:val="21"/>
                <w:lang w:bidi="ar"/>
              </w:rPr>
              <w:t>双油箱125</w:t>
            </w:r>
            <w:r>
              <w:rPr>
                <w:color w:val="auto"/>
                <w:szCs w:val="21"/>
                <w:lang w:bidi="ar"/>
              </w:rPr>
              <w:t>型罗茨风机</w:t>
            </w:r>
          </w:p>
        </w:tc>
        <w:tc>
          <w:tcPr>
            <w:tcW w:w="408" w:type="pct"/>
            <w:vMerge w:val="restart"/>
            <w:tcBorders>
              <w:tl2br w:val="nil"/>
              <w:tr2bl w:val="nil"/>
            </w:tcBorders>
            <w:vAlign w:val="center"/>
          </w:tcPr>
          <w:p w14:paraId="212DDA5B">
            <w:pPr>
              <w:adjustRightInd w:val="0"/>
              <w:snapToGrid w:val="0"/>
              <w:jc w:val="center"/>
              <w:rPr>
                <w:color w:val="auto"/>
                <w:szCs w:val="21"/>
              </w:rPr>
            </w:pPr>
            <w:r>
              <w:rPr>
                <w:color w:val="auto"/>
                <w:szCs w:val="21"/>
              </w:rPr>
              <w:t>80</w:t>
            </w:r>
          </w:p>
        </w:tc>
        <w:tc>
          <w:tcPr>
            <w:tcW w:w="355" w:type="pct"/>
            <w:vMerge w:val="continue"/>
            <w:tcBorders>
              <w:tl2br w:val="nil"/>
              <w:tr2bl w:val="nil"/>
            </w:tcBorders>
            <w:vAlign w:val="center"/>
          </w:tcPr>
          <w:p w14:paraId="771E9738">
            <w:pPr>
              <w:adjustRightInd w:val="0"/>
              <w:snapToGrid w:val="0"/>
              <w:jc w:val="center"/>
              <w:rPr>
                <w:color w:val="auto"/>
                <w:szCs w:val="21"/>
              </w:rPr>
            </w:pPr>
          </w:p>
        </w:tc>
        <w:tc>
          <w:tcPr>
            <w:tcW w:w="283" w:type="pct"/>
            <w:vMerge w:val="restart"/>
            <w:tcBorders>
              <w:tl2br w:val="nil"/>
              <w:tr2bl w:val="nil"/>
            </w:tcBorders>
            <w:vAlign w:val="center"/>
          </w:tcPr>
          <w:p w14:paraId="6B9C2817">
            <w:pPr>
              <w:adjustRightInd w:val="0"/>
              <w:snapToGrid w:val="0"/>
              <w:jc w:val="center"/>
              <w:rPr>
                <w:color w:val="auto"/>
                <w:szCs w:val="21"/>
              </w:rPr>
            </w:pPr>
            <w:r>
              <w:rPr>
                <w:color w:val="auto"/>
                <w:szCs w:val="21"/>
              </w:rPr>
              <w:t>-350</w:t>
            </w:r>
          </w:p>
        </w:tc>
        <w:tc>
          <w:tcPr>
            <w:tcW w:w="307" w:type="pct"/>
            <w:vMerge w:val="restart"/>
            <w:tcBorders>
              <w:tl2br w:val="nil"/>
              <w:tr2bl w:val="nil"/>
            </w:tcBorders>
            <w:vAlign w:val="center"/>
          </w:tcPr>
          <w:p w14:paraId="60BAF829">
            <w:pPr>
              <w:adjustRightInd w:val="0"/>
              <w:snapToGrid w:val="0"/>
              <w:jc w:val="center"/>
              <w:rPr>
                <w:color w:val="auto"/>
                <w:szCs w:val="21"/>
              </w:rPr>
            </w:pPr>
            <w:r>
              <w:rPr>
                <w:color w:val="auto"/>
                <w:szCs w:val="21"/>
              </w:rPr>
              <w:t>-200</w:t>
            </w:r>
          </w:p>
        </w:tc>
        <w:tc>
          <w:tcPr>
            <w:tcW w:w="296" w:type="pct"/>
            <w:vMerge w:val="restart"/>
            <w:tcBorders>
              <w:tl2br w:val="nil"/>
              <w:tr2bl w:val="nil"/>
            </w:tcBorders>
            <w:vAlign w:val="center"/>
          </w:tcPr>
          <w:p w14:paraId="7FCF15D5">
            <w:pPr>
              <w:adjustRightInd w:val="0"/>
              <w:snapToGrid w:val="0"/>
              <w:jc w:val="center"/>
              <w:rPr>
                <w:color w:val="auto"/>
                <w:szCs w:val="21"/>
              </w:rPr>
            </w:pPr>
            <w:r>
              <w:rPr>
                <w:color w:val="auto"/>
                <w:szCs w:val="21"/>
              </w:rPr>
              <w:t>0.5</w:t>
            </w:r>
          </w:p>
        </w:tc>
        <w:tc>
          <w:tcPr>
            <w:tcW w:w="325" w:type="pct"/>
            <w:tcBorders>
              <w:tl2br w:val="nil"/>
              <w:tr2bl w:val="nil"/>
            </w:tcBorders>
            <w:vAlign w:val="center"/>
          </w:tcPr>
          <w:p w14:paraId="46857D85">
            <w:pPr>
              <w:jc w:val="center"/>
              <w:rPr>
                <w:color w:val="auto"/>
                <w:szCs w:val="21"/>
              </w:rPr>
            </w:pPr>
            <w:r>
              <w:rPr>
                <w:color w:val="auto"/>
                <w:szCs w:val="21"/>
              </w:rPr>
              <w:t>东</w:t>
            </w:r>
          </w:p>
        </w:tc>
        <w:tc>
          <w:tcPr>
            <w:tcW w:w="343" w:type="pct"/>
            <w:tcBorders>
              <w:tl2br w:val="nil"/>
              <w:tr2bl w:val="nil"/>
            </w:tcBorders>
            <w:vAlign w:val="center"/>
          </w:tcPr>
          <w:p w14:paraId="0A2D3BF3">
            <w:pPr>
              <w:adjustRightInd w:val="0"/>
              <w:snapToGrid w:val="0"/>
              <w:jc w:val="center"/>
              <w:rPr>
                <w:color w:val="auto"/>
                <w:szCs w:val="21"/>
              </w:rPr>
            </w:pPr>
            <w:r>
              <w:rPr>
                <w:rFonts w:hint="eastAsia"/>
                <w:color w:val="auto"/>
                <w:szCs w:val="21"/>
              </w:rPr>
              <w:t>436</w:t>
            </w:r>
          </w:p>
        </w:tc>
        <w:tc>
          <w:tcPr>
            <w:tcW w:w="466" w:type="pct"/>
            <w:tcBorders>
              <w:tl2br w:val="nil"/>
              <w:tr2bl w:val="nil"/>
            </w:tcBorders>
            <w:vAlign w:val="center"/>
          </w:tcPr>
          <w:p w14:paraId="04618A96">
            <w:pPr>
              <w:adjustRightInd w:val="0"/>
              <w:snapToGrid w:val="0"/>
              <w:jc w:val="center"/>
              <w:rPr>
                <w:color w:val="auto"/>
                <w:szCs w:val="21"/>
              </w:rPr>
            </w:pPr>
            <w:r>
              <w:rPr>
                <w:color w:val="auto"/>
                <w:szCs w:val="21"/>
              </w:rPr>
              <w:t>2</w:t>
            </w:r>
            <w:r>
              <w:rPr>
                <w:rFonts w:hint="eastAsia"/>
                <w:color w:val="auto"/>
                <w:szCs w:val="21"/>
              </w:rPr>
              <w:t>7.21</w:t>
            </w:r>
          </w:p>
        </w:tc>
        <w:tc>
          <w:tcPr>
            <w:tcW w:w="247" w:type="pct"/>
            <w:vMerge w:val="continue"/>
            <w:tcBorders>
              <w:tl2br w:val="nil"/>
              <w:tr2bl w:val="nil"/>
            </w:tcBorders>
            <w:vAlign w:val="center"/>
          </w:tcPr>
          <w:p w14:paraId="2D0E3D89">
            <w:pPr>
              <w:adjustRightInd w:val="0"/>
              <w:snapToGrid w:val="0"/>
              <w:jc w:val="center"/>
              <w:rPr>
                <w:color w:val="auto"/>
                <w:szCs w:val="21"/>
              </w:rPr>
            </w:pPr>
          </w:p>
        </w:tc>
        <w:tc>
          <w:tcPr>
            <w:tcW w:w="409" w:type="pct"/>
            <w:vMerge w:val="restart"/>
            <w:tcBorders>
              <w:tl2br w:val="nil"/>
              <w:tr2bl w:val="nil"/>
            </w:tcBorders>
            <w:vAlign w:val="center"/>
          </w:tcPr>
          <w:p w14:paraId="165B8E95">
            <w:pPr>
              <w:adjustRightInd w:val="0"/>
              <w:snapToGrid w:val="0"/>
              <w:jc w:val="center"/>
              <w:rPr>
                <w:color w:val="auto"/>
                <w:szCs w:val="21"/>
              </w:rPr>
            </w:pPr>
            <w:r>
              <w:rPr>
                <w:color w:val="auto"/>
                <w:szCs w:val="21"/>
              </w:rPr>
              <w:t>5</w:t>
            </w:r>
          </w:p>
        </w:tc>
        <w:tc>
          <w:tcPr>
            <w:tcW w:w="1153" w:type="dxa"/>
            <w:tcBorders>
              <w:tl2br w:val="nil"/>
              <w:tr2bl w:val="nil"/>
            </w:tcBorders>
            <w:vAlign w:val="center"/>
          </w:tcPr>
          <w:p w14:paraId="5179AD7D">
            <w:pPr>
              <w:adjustRightInd w:val="0"/>
              <w:snapToGrid w:val="0"/>
              <w:jc w:val="center"/>
              <w:rPr>
                <w:color w:val="auto"/>
                <w:szCs w:val="21"/>
              </w:rPr>
            </w:pPr>
            <w:r>
              <w:rPr>
                <w:rFonts w:hint="eastAsia"/>
                <w:color w:val="auto"/>
                <w:szCs w:val="21"/>
              </w:rPr>
              <w:t>22.21</w:t>
            </w:r>
          </w:p>
        </w:tc>
        <w:tc>
          <w:tcPr>
            <w:tcW w:w="319" w:type="pct"/>
            <w:tcBorders>
              <w:tl2br w:val="nil"/>
              <w:tr2bl w:val="nil"/>
            </w:tcBorders>
            <w:vAlign w:val="center"/>
          </w:tcPr>
          <w:p w14:paraId="44017990">
            <w:pPr>
              <w:adjustRightInd w:val="0"/>
              <w:snapToGrid w:val="0"/>
              <w:jc w:val="center"/>
              <w:rPr>
                <w:color w:val="auto"/>
                <w:szCs w:val="21"/>
              </w:rPr>
            </w:pPr>
            <w:r>
              <w:rPr>
                <w:color w:val="auto"/>
                <w:szCs w:val="21"/>
              </w:rPr>
              <w:t>1</w:t>
            </w:r>
          </w:p>
        </w:tc>
      </w:tr>
      <w:tr w14:paraId="3E9F59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56A1D29D">
            <w:pPr>
              <w:adjustRightInd w:val="0"/>
              <w:snapToGrid w:val="0"/>
              <w:jc w:val="center"/>
              <w:rPr>
                <w:color w:val="auto"/>
                <w:szCs w:val="21"/>
              </w:rPr>
            </w:pPr>
          </w:p>
        </w:tc>
        <w:tc>
          <w:tcPr>
            <w:tcW w:w="240" w:type="pct"/>
            <w:vMerge w:val="continue"/>
            <w:tcBorders>
              <w:tl2br w:val="nil"/>
              <w:tr2bl w:val="nil"/>
            </w:tcBorders>
            <w:vAlign w:val="center"/>
          </w:tcPr>
          <w:p w14:paraId="1919B178">
            <w:pPr>
              <w:adjustRightInd w:val="0"/>
              <w:snapToGrid w:val="0"/>
              <w:jc w:val="center"/>
              <w:rPr>
                <w:color w:val="auto"/>
                <w:szCs w:val="21"/>
              </w:rPr>
            </w:pPr>
          </w:p>
        </w:tc>
        <w:tc>
          <w:tcPr>
            <w:tcW w:w="351" w:type="pct"/>
            <w:vMerge w:val="continue"/>
            <w:tcBorders>
              <w:tl2br w:val="nil"/>
              <w:tr2bl w:val="nil"/>
            </w:tcBorders>
            <w:vAlign w:val="center"/>
          </w:tcPr>
          <w:p w14:paraId="09BA19AB">
            <w:pPr>
              <w:adjustRightInd w:val="0"/>
              <w:snapToGrid w:val="0"/>
              <w:jc w:val="center"/>
              <w:rPr>
                <w:color w:val="auto"/>
                <w:szCs w:val="21"/>
              </w:rPr>
            </w:pPr>
          </w:p>
        </w:tc>
        <w:tc>
          <w:tcPr>
            <w:tcW w:w="408" w:type="pct"/>
            <w:vMerge w:val="continue"/>
            <w:tcBorders>
              <w:tl2br w:val="nil"/>
              <w:tr2bl w:val="nil"/>
            </w:tcBorders>
            <w:vAlign w:val="center"/>
          </w:tcPr>
          <w:p w14:paraId="43777D21">
            <w:pPr>
              <w:adjustRightInd w:val="0"/>
              <w:snapToGrid w:val="0"/>
              <w:jc w:val="center"/>
              <w:rPr>
                <w:color w:val="auto"/>
                <w:szCs w:val="21"/>
              </w:rPr>
            </w:pPr>
          </w:p>
        </w:tc>
        <w:tc>
          <w:tcPr>
            <w:tcW w:w="355" w:type="pct"/>
            <w:vMerge w:val="continue"/>
            <w:tcBorders>
              <w:tl2br w:val="nil"/>
              <w:tr2bl w:val="nil"/>
            </w:tcBorders>
            <w:vAlign w:val="center"/>
          </w:tcPr>
          <w:p w14:paraId="5A0823D1">
            <w:pPr>
              <w:adjustRightInd w:val="0"/>
              <w:snapToGrid w:val="0"/>
              <w:jc w:val="center"/>
              <w:rPr>
                <w:color w:val="auto"/>
                <w:szCs w:val="21"/>
              </w:rPr>
            </w:pPr>
          </w:p>
        </w:tc>
        <w:tc>
          <w:tcPr>
            <w:tcW w:w="283" w:type="pct"/>
            <w:vMerge w:val="continue"/>
            <w:tcBorders>
              <w:tl2br w:val="nil"/>
              <w:tr2bl w:val="nil"/>
            </w:tcBorders>
            <w:vAlign w:val="center"/>
          </w:tcPr>
          <w:p w14:paraId="0552F80C">
            <w:pPr>
              <w:adjustRightInd w:val="0"/>
              <w:snapToGrid w:val="0"/>
              <w:jc w:val="center"/>
              <w:rPr>
                <w:color w:val="auto"/>
                <w:szCs w:val="21"/>
              </w:rPr>
            </w:pPr>
          </w:p>
        </w:tc>
        <w:tc>
          <w:tcPr>
            <w:tcW w:w="307" w:type="pct"/>
            <w:vMerge w:val="continue"/>
            <w:tcBorders>
              <w:tl2br w:val="nil"/>
              <w:tr2bl w:val="nil"/>
            </w:tcBorders>
            <w:vAlign w:val="center"/>
          </w:tcPr>
          <w:p w14:paraId="5B02A625">
            <w:pPr>
              <w:adjustRightInd w:val="0"/>
              <w:snapToGrid w:val="0"/>
              <w:jc w:val="center"/>
              <w:rPr>
                <w:color w:val="auto"/>
                <w:szCs w:val="21"/>
              </w:rPr>
            </w:pPr>
          </w:p>
        </w:tc>
        <w:tc>
          <w:tcPr>
            <w:tcW w:w="296" w:type="pct"/>
            <w:vMerge w:val="continue"/>
            <w:tcBorders>
              <w:tl2br w:val="nil"/>
              <w:tr2bl w:val="nil"/>
            </w:tcBorders>
            <w:vAlign w:val="center"/>
          </w:tcPr>
          <w:p w14:paraId="0FACC5B7">
            <w:pPr>
              <w:adjustRightInd w:val="0"/>
              <w:snapToGrid w:val="0"/>
              <w:jc w:val="center"/>
              <w:rPr>
                <w:color w:val="auto"/>
                <w:szCs w:val="21"/>
              </w:rPr>
            </w:pPr>
          </w:p>
        </w:tc>
        <w:tc>
          <w:tcPr>
            <w:tcW w:w="325" w:type="pct"/>
            <w:tcBorders>
              <w:tl2br w:val="nil"/>
              <w:tr2bl w:val="nil"/>
            </w:tcBorders>
            <w:vAlign w:val="center"/>
          </w:tcPr>
          <w:p w14:paraId="7229C303">
            <w:pPr>
              <w:jc w:val="center"/>
              <w:rPr>
                <w:color w:val="auto"/>
                <w:szCs w:val="21"/>
              </w:rPr>
            </w:pPr>
            <w:r>
              <w:rPr>
                <w:color w:val="auto"/>
                <w:szCs w:val="21"/>
              </w:rPr>
              <w:t>南</w:t>
            </w:r>
          </w:p>
        </w:tc>
        <w:tc>
          <w:tcPr>
            <w:tcW w:w="343" w:type="pct"/>
            <w:tcBorders>
              <w:tl2br w:val="nil"/>
              <w:tr2bl w:val="nil"/>
            </w:tcBorders>
            <w:vAlign w:val="center"/>
          </w:tcPr>
          <w:p w14:paraId="472B3982">
            <w:pPr>
              <w:adjustRightInd w:val="0"/>
              <w:snapToGrid w:val="0"/>
              <w:jc w:val="center"/>
              <w:rPr>
                <w:color w:val="auto"/>
                <w:szCs w:val="21"/>
              </w:rPr>
            </w:pPr>
            <w:r>
              <w:rPr>
                <w:rFonts w:hint="eastAsia"/>
                <w:color w:val="auto"/>
                <w:szCs w:val="21"/>
              </w:rPr>
              <w:t>487</w:t>
            </w:r>
          </w:p>
        </w:tc>
        <w:tc>
          <w:tcPr>
            <w:tcW w:w="466" w:type="pct"/>
            <w:tcBorders>
              <w:tl2br w:val="nil"/>
              <w:tr2bl w:val="nil"/>
            </w:tcBorders>
            <w:vAlign w:val="center"/>
          </w:tcPr>
          <w:p w14:paraId="604A0DF6">
            <w:pPr>
              <w:adjustRightInd w:val="0"/>
              <w:snapToGrid w:val="0"/>
              <w:jc w:val="center"/>
              <w:rPr>
                <w:color w:val="auto"/>
                <w:szCs w:val="21"/>
              </w:rPr>
            </w:pPr>
            <w:r>
              <w:rPr>
                <w:rFonts w:hint="eastAsia"/>
                <w:color w:val="auto"/>
                <w:szCs w:val="21"/>
              </w:rPr>
              <w:t>26.25</w:t>
            </w:r>
          </w:p>
        </w:tc>
        <w:tc>
          <w:tcPr>
            <w:tcW w:w="247" w:type="pct"/>
            <w:vMerge w:val="continue"/>
            <w:tcBorders>
              <w:tl2br w:val="nil"/>
              <w:tr2bl w:val="nil"/>
            </w:tcBorders>
            <w:vAlign w:val="center"/>
          </w:tcPr>
          <w:p w14:paraId="14067920">
            <w:pPr>
              <w:adjustRightInd w:val="0"/>
              <w:snapToGrid w:val="0"/>
              <w:jc w:val="center"/>
              <w:rPr>
                <w:color w:val="auto"/>
                <w:szCs w:val="21"/>
              </w:rPr>
            </w:pPr>
          </w:p>
        </w:tc>
        <w:tc>
          <w:tcPr>
            <w:tcW w:w="409" w:type="pct"/>
            <w:vMerge w:val="continue"/>
            <w:tcBorders>
              <w:tl2br w:val="nil"/>
              <w:tr2bl w:val="nil"/>
            </w:tcBorders>
            <w:vAlign w:val="center"/>
          </w:tcPr>
          <w:p w14:paraId="57618389">
            <w:pPr>
              <w:adjustRightInd w:val="0"/>
              <w:snapToGrid w:val="0"/>
              <w:jc w:val="center"/>
              <w:rPr>
                <w:color w:val="auto"/>
                <w:szCs w:val="21"/>
              </w:rPr>
            </w:pPr>
          </w:p>
        </w:tc>
        <w:tc>
          <w:tcPr>
            <w:tcW w:w="1153" w:type="dxa"/>
            <w:tcBorders>
              <w:tl2br w:val="nil"/>
              <w:tr2bl w:val="nil"/>
            </w:tcBorders>
            <w:vAlign w:val="center"/>
          </w:tcPr>
          <w:p w14:paraId="5300007A">
            <w:pPr>
              <w:adjustRightInd w:val="0"/>
              <w:snapToGrid w:val="0"/>
              <w:jc w:val="center"/>
              <w:rPr>
                <w:color w:val="auto"/>
                <w:szCs w:val="21"/>
              </w:rPr>
            </w:pPr>
            <w:r>
              <w:rPr>
                <w:rFonts w:hint="eastAsia"/>
                <w:color w:val="auto"/>
                <w:szCs w:val="21"/>
              </w:rPr>
              <w:t>21.25</w:t>
            </w:r>
          </w:p>
        </w:tc>
        <w:tc>
          <w:tcPr>
            <w:tcW w:w="319" w:type="pct"/>
            <w:tcBorders>
              <w:tl2br w:val="nil"/>
              <w:tr2bl w:val="nil"/>
            </w:tcBorders>
            <w:vAlign w:val="center"/>
          </w:tcPr>
          <w:p w14:paraId="421F1CC4">
            <w:pPr>
              <w:adjustRightInd w:val="0"/>
              <w:snapToGrid w:val="0"/>
              <w:jc w:val="center"/>
              <w:rPr>
                <w:color w:val="auto"/>
                <w:szCs w:val="21"/>
              </w:rPr>
            </w:pPr>
            <w:r>
              <w:rPr>
                <w:color w:val="auto"/>
                <w:szCs w:val="21"/>
              </w:rPr>
              <w:t>1</w:t>
            </w:r>
          </w:p>
        </w:tc>
      </w:tr>
      <w:tr w14:paraId="29DAD8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0247DBF1">
            <w:pPr>
              <w:adjustRightInd w:val="0"/>
              <w:snapToGrid w:val="0"/>
              <w:jc w:val="center"/>
              <w:rPr>
                <w:color w:val="auto"/>
                <w:szCs w:val="21"/>
              </w:rPr>
            </w:pPr>
          </w:p>
        </w:tc>
        <w:tc>
          <w:tcPr>
            <w:tcW w:w="240" w:type="pct"/>
            <w:vMerge w:val="continue"/>
            <w:tcBorders>
              <w:tl2br w:val="nil"/>
              <w:tr2bl w:val="nil"/>
            </w:tcBorders>
            <w:vAlign w:val="center"/>
          </w:tcPr>
          <w:p w14:paraId="19CD5FCE">
            <w:pPr>
              <w:adjustRightInd w:val="0"/>
              <w:snapToGrid w:val="0"/>
              <w:jc w:val="center"/>
              <w:rPr>
                <w:color w:val="auto"/>
                <w:szCs w:val="21"/>
              </w:rPr>
            </w:pPr>
          </w:p>
        </w:tc>
        <w:tc>
          <w:tcPr>
            <w:tcW w:w="351" w:type="pct"/>
            <w:vMerge w:val="continue"/>
            <w:tcBorders>
              <w:tl2br w:val="nil"/>
              <w:tr2bl w:val="nil"/>
            </w:tcBorders>
            <w:vAlign w:val="center"/>
          </w:tcPr>
          <w:p w14:paraId="76E11E9A">
            <w:pPr>
              <w:adjustRightInd w:val="0"/>
              <w:snapToGrid w:val="0"/>
              <w:jc w:val="center"/>
              <w:rPr>
                <w:color w:val="auto"/>
                <w:szCs w:val="21"/>
              </w:rPr>
            </w:pPr>
          </w:p>
        </w:tc>
        <w:tc>
          <w:tcPr>
            <w:tcW w:w="408" w:type="pct"/>
            <w:vMerge w:val="continue"/>
            <w:tcBorders>
              <w:tl2br w:val="nil"/>
              <w:tr2bl w:val="nil"/>
            </w:tcBorders>
            <w:vAlign w:val="center"/>
          </w:tcPr>
          <w:p w14:paraId="355FF6B4">
            <w:pPr>
              <w:adjustRightInd w:val="0"/>
              <w:snapToGrid w:val="0"/>
              <w:jc w:val="center"/>
              <w:rPr>
                <w:color w:val="auto"/>
                <w:szCs w:val="21"/>
              </w:rPr>
            </w:pPr>
          </w:p>
        </w:tc>
        <w:tc>
          <w:tcPr>
            <w:tcW w:w="355" w:type="pct"/>
            <w:vMerge w:val="continue"/>
            <w:tcBorders>
              <w:tl2br w:val="nil"/>
              <w:tr2bl w:val="nil"/>
            </w:tcBorders>
            <w:vAlign w:val="center"/>
          </w:tcPr>
          <w:p w14:paraId="3D881B80">
            <w:pPr>
              <w:adjustRightInd w:val="0"/>
              <w:snapToGrid w:val="0"/>
              <w:jc w:val="center"/>
              <w:rPr>
                <w:color w:val="auto"/>
                <w:szCs w:val="21"/>
              </w:rPr>
            </w:pPr>
          </w:p>
        </w:tc>
        <w:tc>
          <w:tcPr>
            <w:tcW w:w="283" w:type="pct"/>
            <w:vMerge w:val="continue"/>
            <w:tcBorders>
              <w:tl2br w:val="nil"/>
              <w:tr2bl w:val="nil"/>
            </w:tcBorders>
            <w:vAlign w:val="center"/>
          </w:tcPr>
          <w:p w14:paraId="2993DB9D">
            <w:pPr>
              <w:adjustRightInd w:val="0"/>
              <w:snapToGrid w:val="0"/>
              <w:jc w:val="center"/>
              <w:rPr>
                <w:color w:val="auto"/>
                <w:szCs w:val="21"/>
              </w:rPr>
            </w:pPr>
          </w:p>
        </w:tc>
        <w:tc>
          <w:tcPr>
            <w:tcW w:w="307" w:type="pct"/>
            <w:vMerge w:val="continue"/>
            <w:tcBorders>
              <w:tl2br w:val="nil"/>
              <w:tr2bl w:val="nil"/>
            </w:tcBorders>
            <w:vAlign w:val="center"/>
          </w:tcPr>
          <w:p w14:paraId="285CCEE8">
            <w:pPr>
              <w:adjustRightInd w:val="0"/>
              <w:snapToGrid w:val="0"/>
              <w:jc w:val="center"/>
              <w:rPr>
                <w:color w:val="auto"/>
                <w:szCs w:val="21"/>
              </w:rPr>
            </w:pPr>
          </w:p>
        </w:tc>
        <w:tc>
          <w:tcPr>
            <w:tcW w:w="296" w:type="pct"/>
            <w:vMerge w:val="continue"/>
            <w:tcBorders>
              <w:tl2br w:val="nil"/>
              <w:tr2bl w:val="nil"/>
            </w:tcBorders>
            <w:vAlign w:val="center"/>
          </w:tcPr>
          <w:p w14:paraId="0B7A6EF4">
            <w:pPr>
              <w:adjustRightInd w:val="0"/>
              <w:snapToGrid w:val="0"/>
              <w:jc w:val="center"/>
              <w:rPr>
                <w:color w:val="auto"/>
                <w:szCs w:val="21"/>
              </w:rPr>
            </w:pPr>
          </w:p>
        </w:tc>
        <w:tc>
          <w:tcPr>
            <w:tcW w:w="325" w:type="pct"/>
            <w:tcBorders>
              <w:tl2br w:val="nil"/>
              <w:tr2bl w:val="nil"/>
            </w:tcBorders>
            <w:vAlign w:val="center"/>
          </w:tcPr>
          <w:p w14:paraId="72FF43DB">
            <w:pPr>
              <w:jc w:val="center"/>
              <w:rPr>
                <w:color w:val="auto"/>
                <w:szCs w:val="21"/>
              </w:rPr>
            </w:pPr>
            <w:r>
              <w:rPr>
                <w:color w:val="auto"/>
                <w:szCs w:val="21"/>
              </w:rPr>
              <w:t>西</w:t>
            </w:r>
          </w:p>
        </w:tc>
        <w:tc>
          <w:tcPr>
            <w:tcW w:w="343" w:type="pct"/>
            <w:tcBorders>
              <w:tl2br w:val="nil"/>
              <w:tr2bl w:val="nil"/>
            </w:tcBorders>
            <w:vAlign w:val="center"/>
          </w:tcPr>
          <w:p w14:paraId="45DB11C2">
            <w:pPr>
              <w:adjustRightInd w:val="0"/>
              <w:snapToGrid w:val="0"/>
              <w:jc w:val="center"/>
              <w:rPr>
                <w:color w:val="auto"/>
                <w:szCs w:val="21"/>
              </w:rPr>
            </w:pPr>
            <w:r>
              <w:rPr>
                <w:rFonts w:hint="eastAsia"/>
                <w:color w:val="auto"/>
                <w:szCs w:val="21"/>
              </w:rPr>
              <w:t>62</w:t>
            </w:r>
          </w:p>
        </w:tc>
        <w:tc>
          <w:tcPr>
            <w:tcW w:w="466" w:type="pct"/>
            <w:tcBorders>
              <w:tl2br w:val="nil"/>
              <w:tr2bl w:val="nil"/>
            </w:tcBorders>
            <w:vAlign w:val="center"/>
          </w:tcPr>
          <w:p w14:paraId="00451A38">
            <w:pPr>
              <w:adjustRightInd w:val="0"/>
              <w:snapToGrid w:val="0"/>
              <w:jc w:val="center"/>
              <w:rPr>
                <w:color w:val="auto"/>
                <w:szCs w:val="21"/>
              </w:rPr>
            </w:pPr>
            <w:r>
              <w:rPr>
                <w:rFonts w:hint="eastAsia"/>
                <w:color w:val="auto"/>
                <w:szCs w:val="21"/>
              </w:rPr>
              <w:t>44.15</w:t>
            </w:r>
          </w:p>
        </w:tc>
        <w:tc>
          <w:tcPr>
            <w:tcW w:w="247" w:type="pct"/>
            <w:vMerge w:val="continue"/>
            <w:tcBorders>
              <w:tl2br w:val="nil"/>
              <w:tr2bl w:val="nil"/>
            </w:tcBorders>
            <w:vAlign w:val="center"/>
          </w:tcPr>
          <w:p w14:paraId="760B888B">
            <w:pPr>
              <w:adjustRightInd w:val="0"/>
              <w:snapToGrid w:val="0"/>
              <w:jc w:val="center"/>
              <w:rPr>
                <w:color w:val="auto"/>
                <w:szCs w:val="21"/>
              </w:rPr>
            </w:pPr>
          </w:p>
        </w:tc>
        <w:tc>
          <w:tcPr>
            <w:tcW w:w="409" w:type="pct"/>
            <w:vMerge w:val="continue"/>
            <w:tcBorders>
              <w:tl2br w:val="nil"/>
              <w:tr2bl w:val="nil"/>
            </w:tcBorders>
            <w:vAlign w:val="center"/>
          </w:tcPr>
          <w:p w14:paraId="33823129">
            <w:pPr>
              <w:adjustRightInd w:val="0"/>
              <w:snapToGrid w:val="0"/>
              <w:jc w:val="center"/>
              <w:rPr>
                <w:color w:val="auto"/>
                <w:szCs w:val="21"/>
              </w:rPr>
            </w:pPr>
          </w:p>
        </w:tc>
        <w:tc>
          <w:tcPr>
            <w:tcW w:w="1153" w:type="dxa"/>
            <w:tcBorders>
              <w:tl2br w:val="nil"/>
              <w:tr2bl w:val="nil"/>
            </w:tcBorders>
            <w:vAlign w:val="center"/>
          </w:tcPr>
          <w:p w14:paraId="24A4D314">
            <w:pPr>
              <w:adjustRightInd w:val="0"/>
              <w:snapToGrid w:val="0"/>
              <w:jc w:val="center"/>
              <w:rPr>
                <w:color w:val="auto"/>
                <w:szCs w:val="21"/>
              </w:rPr>
            </w:pPr>
            <w:r>
              <w:rPr>
                <w:rFonts w:hint="eastAsia"/>
                <w:color w:val="auto"/>
                <w:szCs w:val="21"/>
              </w:rPr>
              <w:t>39.15</w:t>
            </w:r>
          </w:p>
        </w:tc>
        <w:tc>
          <w:tcPr>
            <w:tcW w:w="319" w:type="pct"/>
            <w:tcBorders>
              <w:tl2br w:val="nil"/>
              <w:tr2bl w:val="nil"/>
            </w:tcBorders>
            <w:vAlign w:val="center"/>
          </w:tcPr>
          <w:p w14:paraId="6242704B">
            <w:pPr>
              <w:adjustRightInd w:val="0"/>
              <w:snapToGrid w:val="0"/>
              <w:jc w:val="center"/>
              <w:rPr>
                <w:color w:val="auto"/>
                <w:szCs w:val="21"/>
              </w:rPr>
            </w:pPr>
            <w:r>
              <w:rPr>
                <w:color w:val="auto"/>
                <w:szCs w:val="21"/>
              </w:rPr>
              <w:t>1</w:t>
            </w:r>
          </w:p>
        </w:tc>
      </w:tr>
      <w:tr w14:paraId="117DA4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4BBACA25">
            <w:pPr>
              <w:adjustRightInd w:val="0"/>
              <w:snapToGrid w:val="0"/>
              <w:jc w:val="center"/>
              <w:rPr>
                <w:color w:val="auto"/>
                <w:szCs w:val="21"/>
              </w:rPr>
            </w:pPr>
          </w:p>
        </w:tc>
        <w:tc>
          <w:tcPr>
            <w:tcW w:w="240" w:type="pct"/>
            <w:vMerge w:val="continue"/>
            <w:tcBorders>
              <w:tl2br w:val="nil"/>
              <w:tr2bl w:val="nil"/>
            </w:tcBorders>
            <w:vAlign w:val="center"/>
          </w:tcPr>
          <w:p w14:paraId="57E9B958">
            <w:pPr>
              <w:adjustRightInd w:val="0"/>
              <w:snapToGrid w:val="0"/>
              <w:jc w:val="center"/>
              <w:rPr>
                <w:color w:val="auto"/>
                <w:szCs w:val="21"/>
              </w:rPr>
            </w:pPr>
          </w:p>
        </w:tc>
        <w:tc>
          <w:tcPr>
            <w:tcW w:w="351" w:type="pct"/>
            <w:vMerge w:val="continue"/>
            <w:tcBorders>
              <w:tl2br w:val="nil"/>
              <w:tr2bl w:val="nil"/>
            </w:tcBorders>
            <w:vAlign w:val="center"/>
          </w:tcPr>
          <w:p w14:paraId="3C783EE2">
            <w:pPr>
              <w:adjustRightInd w:val="0"/>
              <w:snapToGrid w:val="0"/>
              <w:jc w:val="center"/>
              <w:rPr>
                <w:color w:val="auto"/>
                <w:szCs w:val="21"/>
              </w:rPr>
            </w:pPr>
          </w:p>
        </w:tc>
        <w:tc>
          <w:tcPr>
            <w:tcW w:w="408" w:type="pct"/>
            <w:vMerge w:val="continue"/>
            <w:tcBorders>
              <w:tl2br w:val="nil"/>
              <w:tr2bl w:val="nil"/>
            </w:tcBorders>
            <w:vAlign w:val="center"/>
          </w:tcPr>
          <w:p w14:paraId="6C113CBD">
            <w:pPr>
              <w:adjustRightInd w:val="0"/>
              <w:snapToGrid w:val="0"/>
              <w:jc w:val="center"/>
              <w:rPr>
                <w:color w:val="auto"/>
                <w:szCs w:val="21"/>
              </w:rPr>
            </w:pPr>
          </w:p>
        </w:tc>
        <w:tc>
          <w:tcPr>
            <w:tcW w:w="355" w:type="pct"/>
            <w:vMerge w:val="continue"/>
            <w:tcBorders>
              <w:tl2br w:val="nil"/>
              <w:tr2bl w:val="nil"/>
            </w:tcBorders>
            <w:vAlign w:val="center"/>
          </w:tcPr>
          <w:p w14:paraId="6C541A4A">
            <w:pPr>
              <w:adjustRightInd w:val="0"/>
              <w:snapToGrid w:val="0"/>
              <w:jc w:val="center"/>
              <w:rPr>
                <w:color w:val="auto"/>
                <w:szCs w:val="21"/>
              </w:rPr>
            </w:pPr>
          </w:p>
        </w:tc>
        <w:tc>
          <w:tcPr>
            <w:tcW w:w="283" w:type="pct"/>
            <w:vMerge w:val="continue"/>
            <w:tcBorders>
              <w:tl2br w:val="nil"/>
              <w:tr2bl w:val="nil"/>
            </w:tcBorders>
            <w:vAlign w:val="center"/>
          </w:tcPr>
          <w:p w14:paraId="71817DFE">
            <w:pPr>
              <w:adjustRightInd w:val="0"/>
              <w:snapToGrid w:val="0"/>
              <w:jc w:val="center"/>
              <w:rPr>
                <w:color w:val="auto"/>
                <w:szCs w:val="21"/>
              </w:rPr>
            </w:pPr>
          </w:p>
        </w:tc>
        <w:tc>
          <w:tcPr>
            <w:tcW w:w="307" w:type="pct"/>
            <w:vMerge w:val="continue"/>
            <w:tcBorders>
              <w:tl2br w:val="nil"/>
              <w:tr2bl w:val="nil"/>
            </w:tcBorders>
            <w:vAlign w:val="center"/>
          </w:tcPr>
          <w:p w14:paraId="0FCB75E2">
            <w:pPr>
              <w:adjustRightInd w:val="0"/>
              <w:snapToGrid w:val="0"/>
              <w:jc w:val="center"/>
              <w:rPr>
                <w:color w:val="auto"/>
                <w:szCs w:val="21"/>
              </w:rPr>
            </w:pPr>
          </w:p>
        </w:tc>
        <w:tc>
          <w:tcPr>
            <w:tcW w:w="296" w:type="pct"/>
            <w:vMerge w:val="continue"/>
            <w:tcBorders>
              <w:tl2br w:val="nil"/>
              <w:tr2bl w:val="nil"/>
            </w:tcBorders>
            <w:vAlign w:val="center"/>
          </w:tcPr>
          <w:p w14:paraId="0B761547">
            <w:pPr>
              <w:adjustRightInd w:val="0"/>
              <w:snapToGrid w:val="0"/>
              <w:jc w:val="center"/>
              <w:rPr>
                <w:color w:val="auto"/>
                <w:szCs w:val="21"/>
              </w:rPr>
            </w:pPr>
          </w:p>
        </w:tc>
        <w:tc>
          <w:tcPr>
            <w:tcW w:w="325" w:type="pct"/>
            <w:tcBorders>
              <w:tl2br w:val="nil"/>
              <w:tr2bl w:val="nil"/>
            </w:tcBorders>
            <w:vAlign w:val="center"/>
          </w:tcPr>
          <w:p w14:paraId="4C1B04C8">
            <w:pPr>
              <w:jc w:val="center"/>
              <w:rPr>
                <w:color w:val="auto"/>
                <w:szCs w:val="21"/>
              </w:rPr>
            </w:pPr>
            <w:r>
              <w:rPr>
                <w:color w:val="auto"/>
                <w:szCs w:val="21"/>
              </w:rPr>
              <w:t>北</w:t>
            </w:r>
          </w:p>
        </w:tc>
        <w:tc>
          <w:tcPr>
            <w:tcW w:w="343" w:type="pct"/>
            <w:tcBorders>
              <w:tl2br w:val="nil"/>
              <w:tr2bl w:val="nil"/>
            </w:tcBorders>
            <w:vAlign w:val="center"/>
          </w:tcPr>
          <w:p w14:paraId="43934B24">
            <w:pPr>
              <w:adjustRightInd w:val="0"/>
              <w:snapToGrid w:val="0"/>
              <w:jc w:val="center"/>
              <w:rPr>
                <w:color w:val="auto"/>
                <w:szCs w:val="21"/>
              </w:rPr>
            </w:pPr>
            <w:r>
              <w:rPr>
                <w:rFonts w:hint="eastAsia"/>
                <w:color w:val="auto"/>
                <w:szCs w:val="21"/>
              </w:rPr>
              <w:t>61</w:t>
            </w:r>
          </w:p>
        </w:tc>
        <w:tc>
          <w:tcPr>
            <w:tcW w:w="466" w:type="pct"/>
            <w:tcBorders>
              <w:tl2br w:val="nil"/>
              <w:tr2bl w:val="nil"/>
            </w:tcBorders>
            <w:vAlign w:val="center"/>
          </w:tcPr>
          <w:p w14:paraId="04B67FCB">
            <w:pPr>
              <w:adjustRightInd w:val="0"/>
              <w:snapToGrid w:val="0"/>
              <w:jc w:val="center"/>
              <w:rPr>
                <w:color w:val="auto"/>
                <w:szCs w:val="21"/>
              </w:rPr>
            </w:pPr>
            <w:r>
              <w:rPr>
                <w:rFonts w:hint="eastAsia"/>
                <w:color w:val="auto"/>
                <w:szCs w:val="21"/>
              </w:rPr>
              <w:t>44.29</w:t>
            </w:r>
          </w:p>
        </w:tc>
        <w:tc>
          <w:tcPr>
            <w:tcW w:w="247" w:type="pct"/>
            <w:vMerge w:val="continue"/>
            <w:tcBorders>
              <w:tl2br w:val="nil"/>
              <w:tr2bl w:val="nil"/>
            </w:tcBorders>
            <w:vAlign w:val="center"/>
          </w:tcPr>
          <w:p w14:paraId="68514ECF">
            <w:pPr>
              <w:adjustRightInd w:val="0"/>
              <w:snapToGrid w:val="0"/>
              <w:jc w:val="center"/>
              <w:rPr>
                <w:color w:val="auto"/>
                <w:szCs w:val="21"/>
              </w:rPr>
            </w:pPr>
          </w:p>
        </w:tc>
        <w:tc>
          <w:tcPr>
            <w:tcW w:w="409" w:type="pct"/>
            <w:vMerge w:val="continue"/>
            <w:tcBorders>
              <w:tl2br w:val="nil"/>
              <w:tr2bl w:val="nil"/>
            </w:tcBorders>
            <w:vAlign w:val="center"/>
          </w:tcPr>
          <w:p w14:paraId="124940A8">
            <w:pPr>
              <w:adjustRightInd w:val="0"/>
              <w:snapToGrid w:val="0"/>
              <w:jc w:val="center"/>
              <w:rPr>
                <w:color w:val="auto"/>
                <w:szCs w:val="21"/>
              </w:rPr>
            </w:pPr>
          </w:p>
        </w:tc>
        <w:tc>
          <w:tcPr>
            <w:tcW w:w="1153" w:type="dxa"/>
            <w:tcBorders>
              <w:tl2br w:val="nil"/>
              <w:tr2bl w:val="nil"/>
            </w:tcBorders>
            <w:vAlign w:val="center"/>
          </w:tcPr>
          <w:p w14:paraId="1F421E43">
            <w:pPr>
              <w:adjustRightInd w:val="0"/>
              <w:snapToGrid w:val="0"/>
              <w:jc w:val="center"/>
              <w:rPr>
                <w:color w:val="auto"/>
                <w:szCs w:val="21"/>
              </w:rPr>
            </w:pPr>
            <w:r>
              <w:rPr>
                <w:rFonts w:hint="eastAsia"/>
                <w:color w:val="auto"/>
                <w:szCs w:val="21"/>
              </w:rPr>
              <w:t>39.29</w:t>
            </w:r>
          </w:p>
        </w:tc>
        <w:tc>
          <w:tcPr>
            <w:tcW w:w="319" w:type="pct"/>
            <w:tcBorders>
              <w:tl2br w:val="nil"/>
              <w:tr2bl w:val="nil"/>
            </w:tcBorders>
            <w:vAlign w:val="center"/>
          </w:tcPr>
          <w:p w14:paraId="468FB0C7">
            <w:pPr>
              <w:adjustRightInd w:val="0"/>
              <w:snapToGrid w:val="0"/>
              <w:jc w:val="center"/>
              <w:rPr>
                <w:color w:val="auto"/>
                <w:szCs w:val="21"/>
              </w:rPr>
            </w:pPr>
            <w:r>
              <w:rPr>
                <w:color w:val="auto"/>
                <w:szCs w:val="21"/>
              </w:rPr>
              <w:t>1</w:t>
            </w:r>
          </w:p>
        </w:tc>
      </w:tr>
      <w:tr w14:paraId="0731C3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l2br w:val="nil"/>
              <w:tr2bl w:val="nil"/>
            </w:tcBorders>
            <w:vAlign w:val="center"/>
          </w:tcPr>
          <w:p w14:paraId="1C12080F">
            <w:pPr>
              <w:widowControl/>
              <w:jc w:val="center"/>
              <w:textAlignment w:val="center"/>
              <w:rPr>
                <w:color w:val="auto"/>
                <w:szCs w:val="21"/>
              </w:rPr>
            </w:pPr>
            <w:r>
              <w:rPr>
                <w:color w:val="auto"/>
                <w:kern w:val="0"/>
                <w:szCs w:val="21"/>
              </w:rPr>
              <w:t>5</w:t>
            </w:r>
          </w:p>
        </w:tc>
        <w:tc>
          <w:tcPr>
            <w:tcW w:w="240" w:type="pct"/>
            <w:vMerge w:val="continue"/>
            <w:tcBorders>
              <w:tl2br w:val="nil"/>
              <w:tr2bl w:val="nil"/>
            </w:tcBorders>
            <w:vAlign w:val="center"/>
          </w:tcPr>
          <w:p w14:paraId="7ACBE9C2">
            <w:pPr>
              <w:adjustRightInd w:val="0"/>
              <w:snapToGrid w:val="0"/>
              <w:jc w:val="center"/>
              <w:rPr>
                <w:color w:val="auto"/>
                <w:szCs w:val="21"/>
              </w:rPr>
            </w:pPr>
          </w:p>
        </w:tc>
        <w:tc>
          <w:tcPr>
            <w:tcW w:w="351" w:type="pct"/>
            <w:vMerge w:val="restart"/>
            <w:tcBorders>
              <w:tl2br w:val="nil"/>
              <w:tr2bl w:val="nil"/>
            </w:tcBorders>
            <w:vAlign w:val="center"/>
          </w:tcPr>
          <w:p w14:paraId="7BD3AE29">
            <w:pPr>
              <w:widowControl/>
              <w:jc w:val="center"/>
              <w:textAlignment w:val="center"/>
              <w:rPr>
                <w:color w:val="auto"/>
                <w:szCs w:val="21"/>
              </w:rPr>
            </w:pPr>
            <w:r>
              <w:rPr>
                <w:color w:val="auto"/>
                <w:kern w:val="0"/>
                <w:szCs w:val="21"/>
                <w:lang w:bidi="ar"/>
              </w:rPr>
              <w:t>吸污泵</w:t>
            </w:r>
          </w:p>
        </w:tc>
        <w:tc>
          <w:tcPr>
            <w:tcW w:w="408" w:type="pct"/>
            <w:vMerge w:val="restart"/>
            <w:tcBorders>
              <w:tl2br w:val="nil"/>
              <w:tr2bl w:val="nil"/>
            </w:tcBorders>
            <w:vAlign w:val="center"/>
          </w:tcPr>
          <w:p w14:paraId="02CD5050">
            <w:pPr>
              <w:widowControl/>
              <w:snapToGrid w:val="0"/>
              <w:jc w:val="center"/>
              <w:rPr>
                <w:color w:val="auto"/>
                <w:szCs w:val="21"/>
              </w:rPr>
            </w:pPr>
            <w:r>
              <w:rPr>
                <w:rFonts w:hint="eastAsia"/>
                <w:color w:val="auto"/>
                <w:kern w:val="0"/>
                <w:szCs w:val="21"/>
              </w:rPr>
              <w:t>60</w:t>
            </w:r>
          </w:p>
        </w:tc>
        <w:tc>
          <w:tcPr>
            <w:tcW w:w="355" w:type="pct"/>
            <w:vMerge w:val="continue"/>
            <w:tcBorders>
              <w:tl2br w:val="nil"/>
              <w:tr2bl w:val="nil"/>
            </w:tcBorders>
            <w:vAlign w:val="center"/>
          </w:tcPr>
          <w:p w14:paraId="198EB274">
            <w:pPr>
              <w:adjustRightInd w:val="0"/>
              <w:snapToGrid w:val="0"/>
              <w:jc w:val="center"/>
              <w:rPr>
                <w:color w:val="auto"/>
                <w:szCs w:val="21"/>
              </w:rPr>
            </w:pPr>
          </w:p>
        </w:tc>
        <w:tc>
          <w:tcPr>
            <w:tcW w:w="283" w:type="pct"/>
            <w:vMerge w:val="restart"/>
            <w:tcBorders>
              <w:tl2br w:val="nil"/>
              <w:tr2bl w:val="nil"/>
            </w:tcBorders>
            <w:vAlign w:val="center"/>
          </w:tcPr>
          <w:p w14:paraId="1260D820">
            <w:pPr>
              <w:adjustRightInd w:val="0"/>
              <w:snapToGrid w:val="0"/>
              <w:jc w:val="center"/>
              <w:rPr>
                <w:color w:val="auto"/>
                <w:szCs w:val="21"/>
              </w:rPr>
            </w:pPr>
            <w:r>
              <w:rPr>
                <w:color w:val="auto"/>
                <w:szCs w:val="21"/>
              </w:rPr>
              <w:t>-370</w:t>
            </w:r>
          </w:p>
        </w:tc>
        <w:tc>
          <w:tcPr>
            <w:tcW w:w="307" w:type="pct"/>
            <w:vMerge w:val="restart"/>
            <w:tcBorders>
              <w:tl2br w:val="nil"/>
              <w:tr2bl w:val="nil"/>
            </w:tcBorders>
            <w:vAlign w:val="center"/>
          </w:tcPr>
          <w:p w14:paraId="284FEEC9">
            <w:pPr>
              <w:adjustRightInd w:val="0"/>
              <w:snapToGrid w:val="0"/>
              <w:jc w:val="center"/>
              <w:rPr>
                <w:color w:val="auto"/>
                <w:szCs w:val="21"/>
              </w:rPr>
            </w:pPr>
            <w:r>
              <w:rPr>
                <w:color w:val="auto"/>
                <w:szCs w:val="21"/>
              </w:rPr>
              <w:t>-150</w:t>
            </w:r>
          </w:p>
        </w:tc>
        <w:tc>
          <w:tcPr>
            <w:tcW w:w="296" w:type="pct"/>
            <w:vMerge w:val="restart"/>
            <w:tcBorders>
              <w:tl2br w:val="nil"/>
              <w:tr2bl w:val="nil"/>
            </w:tcBorders>
            <w:vAlign w:val="center"/>
          </w:tcPr>
          <w:p w14:paraId="1D88607A">
            <w:pPr>
              <w:adjustRightInd w:val="0"/>
              <w:snapToGrid w:val="0"/>
              <w:jc w:val="center"/>
              <w:rPr>
                <w:color w:val="auto"/>
                <w:szCs w:val="21"/>
              </w:rPr>
            </w:pPr>
            <w:r>
              <w:rPr>
                <w:color w:val="auto"/>
                <w:szCs w:val="21"/>
              </w:rPr>
              <w:t>-1</w:t>
            </w:r>
          </w:p>
        </w:tc>
        <w:tc>
          <w:tcPr>
            <w:tcW w:w="325" w:type="pct"/>
            <w:tcBorders>
              <w:tl2br w:val="nil"/>
              <w:tr2bl w:val="nil"/>
            </w:tcBorders>
            <w:vAlign w:val="center"/>
          </w:tcPr>
          <w:p w14:paraId="13E9D86D">
            <w:pPr>
              <w:jc w:val="center"/>
              <w:rPr>
                <w:color w:val="auto"/>
                <w:szCs w:val="21"/>
              </w:rPr>
            </w:pPr>
            <w:r>
              <w:rPr>
                <w:color w:val="auto"/>
                <w:szCs w:val="21"/>
              </w:rPr>
              <w:t>东</w:t>
            </w:r>
          </w:p>
        </w:tc>
        <w:tc>
          <w:tcPr>
            <w:tcW w:w="343" w:type="pct"/>
            <w:tcBorders>
              <w:tl2br w:val="nil"/>
              <w:tr2bl w:val="nil"/>
            </w:tcBorders>
            <w:vAlign w:val="center"/>
          </w:tcPr>
          <w:p w14:paraId="0D20989B">
            <w:pPr>
              <w:adjustRightInd w:val="0"/>
              <w:snapToGrid w:val="0"/>
              <w:jc w:val="center"/>
              <w:rPr>
                <w:color w:val="auto"/>
                <w:szCs w:val="21"/>
              </w:rPr>
            </w:pPr>
            <w:r>
              <w:rPr>
                <w:color w:val="auto"/>
                <w:szCs w:val="21"/>
              </w:rPr>
              <w:t>3</w:t>
            </w:r>
            <w:r>
              <w:rPr>
                <w:rFonts w:hint="eastAsia"/>
                <w:color w:val="auto"/>
                <w:szCs w:val="21"/>
              </w:rPr>
              <w:t>90</w:t>
            </w:r>
          </w:p>
        </w:tc>
        <w:tc>
          <w:tcPr>
            <w:tcW w:w="466" w:type="pct"/>
            <w:tcBorders>
              <w:tl2br w:val="nil"/>
              <w:tr2bl w:val="nil"/>
            </w:tcBorders>
            <w:vAlign w:val="center"/>
          </w:tcPr>
          <w:p w14:paraId="368B1EF7">
            <w:pPr>
              <w:adjustRightInd w:val="0"/>
              <w:snapToGrid w:val="0"/>
              <w:jc w:val="center"/>
              <w:rPr>
                <w:color w:val="auto"/>
                <w:szCs w:val="21"/>
              </w:rPr>
            </w:pPr>
            <w:r>
              <w:rPr>
                <w:rFonts w:hint="eastAsia"/>
                <w:color w:val="auto"/>
                <w:szCs w:val="21"/>
              </w:rPr>
              <w:t>8.18</w:t>
            </w:r>
          </w:p>
        </w:tc>
        <w:tc>
          <w:tcPr>
            <w:tcW w:w="247" w:type="pct"/>
            <w:vMerge w:val="continue"/>
            <w:tcBorders>
              <w:tl2br w:val="nil"/>
              <w:tr2bl w:val="nil"/>
            </w:tcBorders>
            <w:vAlign w:val="center"/>
          </w:tcPr>
          <w:p w14:paraId="122FCD77">
            <w:pPr>
              <w:adjustRightInd w:val="0"/>
              <w:snapToGrid w:val="0"/>
              <w:jc w:val="center"/>
              <w:rPr>
                <w:color w:val="auto"/>
                <w:szCs w:val="21"/>
              </w:rPr>
            </w:pPr>
          </w:p>
        </w:tc>
        <w:tc>
          <w:tcPr>
            <w:tcW w:w="409" w:type="pct"/>
            <w:vMerge w:val="restart"/>
            <w:tcBorders>
              <w:tl2br w:val="nil"/>
              <w:tr2bl w:val="nil"/>
            </w:tcBorders>
            <w:vAlign w:val="center"/>
          </w:tcPr>
          <w:p w14:paraId="4EE9F8A4">
            <w:pPr>
              <w:adjustRightInd w:val="0"/>
              <w:snapToGrid w:val="0"/>
              <w:jc w:val="center"/>
              <w:rPr>
                <w:color w:val="auto"/>
                <w:szCs w:val="21"/>
              </w:rPr>
            </w:pPr>
            <w:r>
              <w:rPr>
                <w:color w:val="auto"/>
                <w:szCs w:val="21"/>
              </w:rPr>
              <w:t>10</w:t>
            </w:r>
          </w:p>
        </w:tc>
        <w:tc>
          <w:tcPr>
            <w:tcW w:w="1153" w:type="dxa"/>
            <w:tcBorders>
              <w:tl2br w:val="nil"/>
              <w:tr2bl w:val="nil"/>
            </w:tcBorders>
            <w:vAlign w:val="center"/>
          </w:tcPr>
          <w:p w14:paraId="00F47E14">
            <w:pPr>
              <w:adjustRightInd w:val="0"/>
              <w:snapToGrid w:val="0"/>
              <w:jc w:val="center"/>
              <w:rPr>
                <w:color w:val="auto"/>
                <w:szCs w:val="21"/>
              </w:rPr>
            </w:pPr>
            <w:r>
              <w:rPr>
                <w:rFonts w:hint="eastAsia"/>
                <w:color w:val="auto"/>
                <w:szCs w:val="21"/>
              </w:rPr>
              <w:t>3.18</w:t>
            </w:r>
          </w:p>
        </w:tc>
        <w:tc>
          <w:tcPr>
            <w:tcW w:w="319" w:type="pct"/>
            <w:tcBorders>
              <w:tl2br w:val="nil"/>
              <w:tr2bl w:val="nil"/>
            </w:tcBorders>
            <w:vAlign w:val="center"/>
          </w:tcPr>
          <w:p w14:paraId="3E957838">
            <w:pPr>
              <w:adjustRightInd w:val="0"/>
              <w:snapToGrid w:val="0"/>
              <w:jc w:val="center"/>
              <w:rPr>
                <w:color w:val="auto"/>
                <w:szCs w:val="21"/>
              </w:rPr>
            </w:pPr>
            <w:r>
              <w:rPr>
                <w:color w:val="auto"/>
                <w:szCs w:val="21"/>
              </w:rPr>
              <w:t>1</w:t>
            </w:r>
          </w:p>
        </w:tc>
      </w:tr>
      <w:tr w14:paraId="4E37B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1B29C649">
            <w:pPr>
              <w:adjustRightInd w:val="0"/>
              <w:snapToGrid w:val="0"/>
              <w:jc w:val="center"/>
              <w:rPr>
                <w:color w:val="auto"/>
                <w:szCs w:val="21"/>
              </w:rPr>
            </w:pPr>
          </w:p>
        </w:tc>
        <w:tc>
          <w:tcPr>
            <w:tcW w:w="240" w:type="pct"/>
            <w:vMerge w:val="continue"/>
            <w:tcBorders>
              <w:tl2br w:val="nil"/>
              <w:tr2bl w:val="nil"/>
            </w:tcBorders>
            <w:vAlign w:val="center"/>
          </w:tcPr>
          <w:p w14:paraId="2CA8A21B">
            <w:pPr>
              <w:adjustRightInd w:val="0"/>
              <w:snapToGrid w:val="0"/>
              <w:jc w:val="center"/>
              <w:rPr>
                <w:color w:val="auto"/>
                <w:szCs w:val="21"/>
              </w:rPr>
            </w:pPr>
          </w:p>
        </w:tc>
        <w:tc>
          <w:tcPr>
            <w:tcW w:w="351" w:type="pct"/>
            <w:vMerge w:val="continue"/>
            <w:tcBorders>
              <w:tl2br w:val="nil"/>
              <w:tr2bl w:val="nil"/>
            </w:tcBorders>
            <w:vAlign w:val="center"/>
          </w:tcPr>
          <w:p w14:paraId="5C5FB981">
            <w:pPr>
              <w:adjustRightInd w:val="0"/>
              <w:snapToGrid w:val="0"/>
              <w:jc w:val="center"/>
              <w:rPr>
                <w:color w:val="auto"/>
                <w:szCs w:val="21"/>
              </w:rPr>
            </w:pPr>
          </w:p>
        </w:tc>
        <w:tc>
          <w:tcPr>
            <w:tcW w:w="408" w:type="pct"/>
            <w:vMerge w:val="continue"/>
            <w:tcBorders>
              <w:tl2br w:val="nil"/>
              <w:tr2bl w:val="nil"/>
            </w:tcBorders>
            <w:vAlign w:val="center"/>
          </w:tcPr>
          <w:p w14:paraId="5F5C5F94">
            <w:pPr>
              <w:adjustRightInd w:val="0"/>
              <w:snapToGrid w:val="0"/>
              <w:jc w:val="center"/>
              <w:rPr>
                <w:color w:val="auto"/>
                <w:szCs w:val="21"/>
              </w:rPr>
            </w:pPr>
          </w:p>
        </w:tc>
        <w:tc>
          <w:tcPr>
            <w:tcW w:w="355" w:type="pct"/>
            <w:vMerge w:val="continue"/>
            <w:tcBorders>
              <w:tl2br w:val="nil"/>
              <w:tr2bl w:val="nil"/>
            </w:tcBorders>
            <w:vAlign w:val="center"/>
          </w:tcPr>
          <w:p w14:paraId="75CBA92C">
            <w:pPr>
              <w:adjustRightInd w:val="0"/>
              <w:snapToGrid w:val="0"/>
              <w:jc w:val="center"/>
              <w:rPr>
                <w:color w:val="auto"/>
                <w:szCs w:val="21"/>
              </w:rPr>
            </w:pPr>
          </w:p>
        </w:tc>
        <w:tc>
          <w:tcPr>
            <w:tcW w:w="283" w:type="pct"/>
            <w:vMerge w:val="continue"/>
            <w:tcBorders>
              <w:tl2br w:val="nil"/>
              <w:tr2bl w:val="nil"/>
            </w:tcBorders>
            <w:vAlign w:val="center"/>
          </w:tcPr>
          <w:p w14:paraId="2125F938">
            <w:pPr>
              <w:adjustRightInd w:val="0"/>
              <w:snapToGrid w:val="0"/>
              <w:jc w:val="center"/>
              <w:rPr>
                <w:color w:val="auto"/>
                <w:szCs w:val="21"/>
              </w:rPr>
            </w:pPr>
          </w:p>
        </w:tc>
        <w:tc>
          <w:tcPr>
            <w:tcW w:w="307" w:type="pct"/>
            <w:vMerge w:val="continue"/>
            <w:tcBorders>
              <w:tl2br w:val="nil"/>
              <w:tr2bl w:val="nil"/>
            </w:tcBorders>
            <w:vAlign w:val="center"/>
          </w:tcPr>
          <w:p w14:paraId="48D6931D">
            <w:pPr>
              <w:adjustRightInd w:val="0"/>
              <w:snapToGrid w:val="0"/>
              <w:jc w:val="center"/>
              <w:rPr>
                <w:color w:val="auto"/>
                <w:szCs w:val="21"/>
              </w:rPr>
            </w:pPr>
          </w:p>
        </w:tc>
        <w:tc>
          <w:tcPr>
            <w:tcW w:w="296" w:type="pct"/>
            <w:vMerge w:val="continue"/>
            <w:tcBorders>
              <w:tl2br w:val="nil"/>
              <w:tr2bl w:val="nil"/>
            </w:tcBorders>
            <w:vAlign w:val="center"/>
          </w:tcPr>
          <w:p w14:paraId="6AD69B18">
            <w:pPr>
              <w:adjustRightInd w:val="0"/>
              <w:snapToGrid w:val="0"/>
              <w:jc w:val="center"/>
              <w:rPr>
                <w:color w:val="auto"/>
                <w:szCs w:val="21"/>
              </w:rPr>
            </w:pPr>
          </w:p>
        </w:tc>
        <w:tc>
          <w:tcPr>
            <w:tcW w:w="325" w:type="pct"/>
            <w:tcBorders>
              <w:tl2br w:val="nil"/>
              <w:tr2bl w:val="nil"/>
            </w:tcBorders>
            <w:vAlign w:val="center"/>
          </w:tcPr>
          <w:p w14:paraId="4608E693">
            <w:pPr>
              <w:jc w:val="center"/>
              <w:rPr>
                <w:color w:val="auto"/>
                <w:szCs w:val="21"/>
              </w:rPr>
            </w:pPr>
            <w:r>
              <w:rPr>
                <w:color w:val="auto"/>
                <w:szCs w:val="21"/>
              </w:rPr>
              <w:t>南</w:t>
            </w:r>
          </w:p>
        </w:tc>
        <w:tc>
          <w:tcPr>
            <w:tcW w:w="343" w:type="pct"/>
            <w:tcBorders>
              <w:tl2br w:val="nil"/>
              <w:tr2bl w:val="nil"/>
            </w:tcBorders>
            <w:vAlign w:val="center"/>
          </w:tcPr>
          <w:p w14:paraId="5E825CCF">
            <w:pPr>
              <w:adjustRightInd w:val="0"/>
              <w:snapToGrid w:val="0"/>
              <w:jc w:val="center"/>
              <w:rPr>
                <w:color w:val="auto"/>
                <w:szCs w:val="21"/>
              </w:rPr>
            </w:pPr>
            <w:r>
              <w:rPr>
                <w:rFonts w:hint="eastAsia"/>
                <w:color w:val="auto"/>
                <w:szCs w:val="21"/>
              </w:rPr>
              <w:t>509</w:t>
            </w:r>
          </w:p>
        </w:tc>
        <w:tc>
          <w:tcPr>
            <w:tcW w:w="466" w:type="pct"/>
            <w:tcBorders>
              <w:tl2br w:val="nil"/>
              <w:tr2bl w:val="nil"/>
            </w:tcBorders>
            <w:vAlign w:val="center"/>
          </w:tcPr>
          <w:p w14:paraId="4A2F4F02">
            <w:pPr>
              <w:adjustRightInd w:val="0"/>
              <w:snapToGrid w:val="0"/>
              <w:jc w:val="center"/>
              <w:rPr>
                <w:color w:val="auto"/>
                <w:szCs w:val="21"/>
              </w:rPr>
            </w:pPr>
            <w:r>
              <w:rPr>
                <w:rFonts w:hint="eastAsia"/>
                <w:color w:val="auto"/>
                <w:szCs w:val="21"/>
              </w:rPr>
              <w:t>5.87</w:t>
            </w:r>
          </w:p>
        </w:tc>
        <w:tc>
          <w:tcPr>
            <w:tcW w:w="247" w:type="pct"/>
            <w:vMerge w:val="continue"/>
            <w:tcBorders>
              <w:tl2br w:val="nil"/>
              <w:tr2bl w:val="nil"/>
            </w:tcBorders>
            <w:vAlign w:val="center"/>
          </w:tcPr>
          <w:p w14:paraId="13F6E974">
            <w:pPr>
              <w:adjustRightInd w:val="0"/>
              <w:snapToGrid w:val="0"/>
              <w:jc w:val="center"/>
              <w:rPr>
                <w:color w:val="auto"/>
                <w:szCs w:val="21"/>
              </w:rPr>
            </w:pPr>
          </w:p>
        </w:tc>
        <w:tc>
          <w:tcPr>
            <w:tcW w:w="409" w:type="pct"/>
            <w:vMerge w:val="continue"/>
            <w:tcBorders>
              <w:tl2br w:val="nil"/>
              <w:tr2bl w:val="nil"/>
            </w:tcBorders>
            <w:vAlign w:val="center"/>
          </w:tcPr>
          <w:p w14:paraId="0266C5EF">
            <w:pPr>
              <w:adjustRightInd w:val="0"/>
              <w:snapToGrid w:val="0"/>
              <w:jc w:val="center"/>
              <w:rPr>
                <w:color w:val="auto"/>
                <w:szCs w:val="21"/>
              </w:rPr>
            </w:pPr>
          </w:p>
        </w:tc>
        <w:tc>
          <w:tcPr>
            <w:tcW w:w="1153" w:type="dxa"/>
            <w:tcBorders>
              <w:tl2br w:val="nil"/>
              <w:tr2bl w:val="nil"/>
            </w:tcBorders>
            <w:vAlign w:val="center"/>
          </w:tcPr>
          <w:p w14:paraId="3BC41D8B">
            <w:pPr>
              <w:adjustRightInd w:val="0"/>
              <w:snapToGrid w:val="0"/>
              <w:jc w:val="center"/>
              <w:rPr>
                <w:color w:val="auto"/>
                <w:szCs w:val="21"/>
              </w:rPr>
            </w:pPr>
            <w:r>
              <w:rPr>
                <w:rFonts w:hint="eastAsia"/>
                <w:color w:val="auto"/>
                <w:szCs w:val="21"/>
              </w:rPr>
              <w:t>0.87</w:t>
            </w:r>
          </w:p>
        </w:tc>
        <w:tc>
          <w:tcPr>
            <w:tcW w:w="319" w:type="pct"/>
            <w:tcBorders>
              <w:tl2br w:val="nil"/>
              <w:tr2bl w:val="nil"/>
            </w:tcBorders>
            <w:vAlign w:val="center"/>
          </w:tcPr>
          <w:p w14:paraId="6DAE2E6B">
            <w:pPr>
              <w:adjustRightInd w:val="0"/>
              <w:snapToGrid w:val="0"/>
              <w:jc w:val="center"/>
              <w:rPr>
                <w:color w:val="auto"/>
                <w:szCs w:val="21"/>
              </w:rPr>
            </w:pPr>
            <w:r>
              <w:rPr>
                <w:color w:val="auto"/>
                <w:szCs w:val="21"/>
              </w:rPr>
              <w:t>1</w:t>
            </w:r>
          </w:p>
        </w:tc>
      </w:tr>
      <w:tr w14:paraId="31EF8D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4A59BCDB">
            <w:pPr>
              <w:adjustRightInd w:val="0"/>
              <w:snapToGrid w:val="0"/>
              <w:jc w:val="center"/>
              <w:rPr>
                <w:color w:val="auto"/>
                <w:szCs w:val="21"/>
              </w:rPr>
            </w:pPr>
          </w:p>
        </w:tc>
        <w:tc>
          <w:tcPr>
            <w:tcW w:w="240" w:type="pct"/>
            <w:vMerge w:val="continue"/>
            <w:tcBorders>
              <w:tl2br w:val="nil"/>
              <w:tr2bl w:val="nil"/>
            </w:tcBorders>
            <w:vAlign w:val="center"/>
          </w:tcPr>
          <w:p w14:paraId="6FAEF453">
            <w:pPr>
              <w:adjustRightInd w:val="0"/>
              <w:snapToGrid w:val="0"/>
              <w:jc w:val="center"/>
              <w:rPr>
                <w:color w:val="auto"/>
                <w:szCs w:val="21"/>
              </w:rPr>
            </w:pPr>
          </w:p>
        </w:tc>
        <w:tc>
          <w:tcPr>
            <w:tcW w:w="351" w:type="pct"/>
            <w:vMerge w:val="continue"/>
            <w:tcBorders>
              <w:tl2br w:val="nil"/>
              <w:tr2bl w:val="nil"/>
            </w:tcBorders>
            <w:vAlign w:val="center"/>
          </w:tcPr>
          <w:p w14:paraId="25DFFB08">
            <w:pPr>
              <w:adjustRightInd w:val="0"/>
              <w:snapToGrid w:val="0"/>
              <w:jc w:val="center"/>
              <w:rPr>
                <w:color w:val="auto"/>
                <w:szCs w:val="21"/>
              </w:rPr>
            </w:pPr>
          </w:p>
        </w:tc>
        <w:tc>
          <w:tcPr>
            <w:tcW w:w="408" w:type="pct"/>
            <w:vMerge w:val="continue"/>
            <w:tcBorders>
              <w:tl2br w:val="nil"/>
              <w:tr2bl w:val="nil"/>
            </w:tcBorders>
            <w:vAlign w:val="center"/>
          </w:tcPr>
          <w:p w14:paraId="1CAE2485">
            <w:pPr>
              <w:adjustRightInd w:val="0"/>
              <w:snapToGrid w:val="0"/>
              <w:jc w:val="center"/>
              <w:rPr>
                <w:color w:val="auto"/>
                <w:szCs w:val="21"/>
              </w:rPr>
            </w:pPr>
          </w:p>
        </w:tc>
        <w:tc>
          <w:tcPr>
            <w:tcW w:w="355" w:type="pct"/>
            <w:vMerge w:val="continue"/>
            <w:tcBorders>
              <w:tl2br w:val="nil"/>
              <w:tr2bl w:val="nil"/>
            </w:tcBorders>
            <w:vAlign w:val="center"/>
          </w:tcPr>
          <w:p w14:paraId="5FBBC826">
            <w:pPr>
              <w:adjustRightInd w:val="0"/>
              <w:snapToGrid w:val="0"/>
              <w:jc w:val="center"/>
              <w:rPr>
                <w:color w:val="auto"/>
                <w:szCs w:val="21"/>
              </w:rPr>
            </w:pPr>
          </w:p>
        </w:tc>
        <w:tc>
          <w:tcPr>
            <w:tcW w:w="283" w:type="pct"/>
            <w:vMerge w:val="continue"/>
            <w:tcBorders>
              <w:tl2br w:val="nil"/>
              <w:tr2bl w:val="nil"/>
            </w:tcBorders>
            <w:vAlign w:val="center"/>
          </w:tcPr>
          <w:p w14:paraId="41FA3EBC">
            <w:pPr>
              <w:adjustRightInd w:val="0"/>
              <w:snapToGrid w:val="0"/>
              <w:jc w:val="center"/>
              <w:rPr>
                <w:color w:val="auto"/>
                <w:szCs w:val="21"/>
              </w:rPr>
            </w:pPr>
          </w:p>
        </w:tc>
        <w:tc>
          <w:tcPr>
            <w:tcW w:w="307" w:type="pct"/>
            <w:vMerge w:val="continue"/>
            <w:tcBorders>
              <w:tl2br w:val="nil"/>
              <w:tr2bl w:val="nil"/>
            </w:tcBorders>
            <w:vAlign w:val="center"/>
          </w:tcPr>
          <w:p w14:paraId="38457F79">
            <w:pPr>
              <w:adjustRightInd w:val="0"/>
              <w:snapToGrid w:val="0"/>
              <w:jc w:val="center"/>
              <w:rPr>
                <w:color w:val="auto"/>
                <w:szCs w:val="21"/>
              </w:rPr>
            </w:pPr>
          </w:p>
        </w:tc>
        <w:tc>
          <w:tcPr>
            <w:tcW w:w="296" w:type="pct"/>
            <w:vMerge w:val="continue"/>
            <w:tcBorders>
              <w:tl2br w:val="nil"/>
              <w:tr2bl w:val="nil"/>
            </w:tcBorders>
            <w:vAlign w:val="center"/>
          </w:tcPr>
          <w:p w14:paraId="5D38223E">
            <w:pPr>
              <w:adjustRightInd w:val="0"/>
              <w:snapToGrid w:val="0"/>
              <w:jc w:val="center"/>
              <w:rPr>
                <w:color w:val="auto"/>
                <w:szCs w:val="21"/>
              </w:rPr>
            </w:pPr>
          </w:p>
        </w:tc>
        <w:tc>
          <w:tcPr>
            <w:tcW w:w="325" w:type="pct"/>
            <w:tcBorders>
              <w:tl2br w:val="nil"/>
              <w:tr2bl w:val="nil"/>
            </w:tcBorders>
            <w:vAlign w:val="center"/>
          </w:tcPr>
          <w:p w14:paraId="4D8683D5">
            <w:pPr>
              <w:jc w:val="center"/>
              <w:rPr>
                <w:color w:val="auto"/>
                <w:szCs w:val="21"/>
              </w:rPr>
            </w:pPr>
            <w:r>
              <w:rPr>
                <w:color w:val="auto"/>
                <w:szCs w:val="21"/>
              </w:rPr>
              <w:t>西</w:t>
            </w:r>
          </w:p>
        </w:tc>
        <w:tc>
          <w:tcPr>
            <w:tcW w:w="343" w:type="pct"/>
            <w:tcBorders>
              <w:tl2br w:val="nil"/>
              <w:tr2bl w:val="nil"/>
            </w:tcBorders>
            <w:vAlign w:val="center"/>
          </w:tcPr>
          <w:p w14:paraId="3C7C5E04">
            <w:pPr>
              <w:adjustRightInd w:val="0"/>
              <w:snapToGrid w:val="0"/>
              <w:jc w:val="center"/>
              <w:rPr>
                <w:color w:val="auto"/>
                <w:szCs w:val="21"/>
              </w:rPr>
            </w:pPr>
            <w:r>
              <w:rPr>
                <w:rFonts w:hint="eastAsia"/>
                <w:color w:val="auto"/>
                <w:szCs w:val="21"/>
              </w:rPr>
              <w:t>95</w:t>
            </w:r>
          </w:p>
        </w:tc>
        <w:tc>
          <w:tcPr>
            <w:tcW w:w="466" w:type="pct"/>
            <w:tcBorders>
              <w:tl2br w:val="nil"/>
              <w:tr2bl w:val="nil"/>
            </w:tcBorders>
            <w:vAlign w:val="center"/>
          </w:tcPr>
          <w:p w14:paraId="0A2F9EEA">
            <w:pPr>
              <w:adjustRightInd w:val="0"/>
              <w:snapToGrid w:val="0"/>
              <w:jc w:val="center"/>
              <w:rPr>
                <w:color w:val="auto"/>
                <w:szCs w:val="21"/>
              </w:rPr>
            </w:pPr>
            <w:r>
              <w:rPr>
                <w:color w:val="auto"/>
                <w:szCs w:val="21"/>
              </w:rPr>
              <w:t>2</w:t>
            </w:r>
            <w:r>
              <w:rPr>
                <w:rFonts w:hint="eastAsia"/>
                <w:color w:val="auto"/>
                <w:szCs w:val="21"/>
              </w:rPr>
              <w:t>0.45</w:t>
            </w:r>
          </w:p>
        </w:tc>
        <w:tc>
          <w:tcPr>
            <w:tcW w:w="247" w:type="pct"/>
            <w:vMerge w:val="continue"/>
            <w:tcBorders>
              <w:tl2br w:val="nil"/>
              <w:tr2bl w:val="nil"/>
            </w:tcBorders>
            <w:vAlign w:val="center"/>
          </w:tcPr>
          <w:p w14:paraId="5FF03A38">
            <w:pPr>
              <w:adjustRightInd w:val="0"/>
              <w:snapToGrid w:val="0"/>
              <w:jc w:val="center"/>
              <w:rPr>
                <w:color w:val="auto"/>
                <w:szCs w:val="21"/>
              </w:rPr>
            </w:pPr>
          </w:p>
        </w:tc>
        <w:tc>
          <w:tcPr>
            <w:tcW w:w="409" w:type="pct"/>
            <w:vMerge w:val="continue"/>
            <w:tcBorders>
              <w:tl2br w:val="nil"/>
              <w:tr2bl w:val="nil"/>
            </w:tcBorders>
            <w:vAlign w:val="center"/>
          </w:tcPr>
          <w:p w14:paraId="1DF64D90">
            <w:pPr>
              <w:adjustRightInd w:val="0"/>
              <w:snapToGrid w:val="0"/>
              <w:jc w:val="center"/>
              <w:rPr>
                <w:color w:val="auto"/>
                <w:szCs w:val="21"/>
              </w:rPr>
            </w:pPr>
          </w:p>
        </w:tc>
        <w:tc>
          <w:tcPr>
            <w:tcW w:w="1153" w:type="dxa"/>
            <w:tcBorders>
              <w:tl2br w:val="nil"/>
              <w:tr2bl w:val="nil"/>
            </w:tcBorders>
            <w:vAlign w:val="center"/>
          </w:tcPr>
          <w:p w14:paraId="0D0A5147">
            <w:pPr>
              <w:adjustRightInd w:val="0"/>
              <w:snapToGrid w:val="0"/>
              <w:jc w:val="center"/>
              <w:rPr>
                <w:color w:val="auto"/>
                <w:szCs w:val="21"/>
              </w:rPr>
            </w:pPr>
            <w:r>
              <w:rPr>
                <w:rFonts w:hint="eastAsia"/>
                <w:color w:val="auto"/>
                <w:szCs w:val="21"/>
              </w:rPr>
              <w:t>15.45</w:t>
            </w:r>
          </w:p>
        </w:tc>
        <w:tc>
          <w:tcPr>
            <w:tcW w:w="319" w:type="pct"/>
            <w:tcBorders>
              <w:tl2br w:val="nil"/>
              <w:tr2bl w:val="nil"/>
            </w:tcBorders>
            <w:vAlign w:val="center"/>
          </w:tcPr>
          <w:p w14:paraId="5FDCBA9A">
            <w:pPr>
              <w:adjustRightInd w:val="0"/>
              <w:snapToGrid w:val="0"/>
              <w:jc w:val="center"/>
              <w:rPr>
                <w:color w:val="auto"/>
                <w:szCs w:val="21"/>
              </w:rPr>
            </w:pPr>
            <w:r>
              <w:rPr>
                <w:color w:val="auto"/>
                <w:szCs w:val="21"/>
              </w:rPr>
              <w:t>1</w:t>
            </w:r>
          </w:p>
        </w:tc>
      </w:tr>
      <w:tr w14:paraId="092B9E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bottom w:val="single" w:color="auto" w:sz="4" w:space="0"/>
              <w:tl2br w:val="nil"/>
              <w:tr2bl w:val="nil"/>
            </w:tcBorders>
            <w:vAlign w:val="center"/>
          </w:tcPr>
          <w:p w14:paraId="4E113C27">
            <w:pPr>
              <w:adjustRightInd w:val="0"/>
              <w:snapToGrid w:val="0"/>
              <w:jc w:val="center"/>
              <w:rPr>
                <w:color w:val="auto"/>
                <w:szCs w:val="21"/>
              </w:rPr>
            </w:pPr>
          </w:p>
        </w:tc>
        <w:tc>
          <w:tcPr>
            <w:tcW w:w="240" w:type="pct"/>
            <w:vMerge w:val="continue"/>
            <w:tcBorders>
              <w:bottom w:val="single" w:color="auto" w:sz="4" w:space="0"/>
              <w:tl2br w:val="nil"/>
              <w:tr2bl w:val="nil"/>
            </w:tcBorders>
            <w:vAlign w:val="center"/>
          </w:tcPr>
          <w:p w14:paraId="063D8ECB">
            <w:pPr>
              <w:adjustRightInd w:val="0"/>
              <w:snapToGrid w:val="0"/>
              <w:jc w:val="center"/>
              <w:rPr>
                <w:color w:val="auto"/>
                <w:szCs w:val="21"/>
              </w:rPr>
            </w:pPr>
          </w:p>
        </w:tc>
        <w:tc>
          <w:tcPr>
            <w:tcW w:w="351" w:type="pct"/>
            <w:vMerge w:val="continue"/>
            <w:tcBorders>
              <w:tl2br w:val="nil"/>
              <w:tr2bl w:val="nil"/>
            </w:tcBorders>
            <w:vAlign w:val="center"/>
          </w:tcPr>
          <w:p w14:paraId="029BC76F">
            <w:pPr>
              <w:adjustRightInd w:val="0"/>
              <w:snapToGrid w:val="0"/>
              <w:jc w:val="center"/>
              <w:rPr>
                <w:color w:val="auto"/>
                <w:szCs w:val="21"/>
              </w:rPr>
            </w:pPr>
          </w:p>
        </w:tc>
        <w:tc>
          <w:tcPr>
            <w:tcW w:w="408" w:type="pct"/>
            <w:vMerge w:val="continue"/>
            <w:tcBorders>
              <w:tl2br w:val="nil"/>
              <w:tr2bl w:val="nil"/>
            </w:tcBorders>
            <w:vAlign w:val="center"/>
          </w:tcPr>
          <w:p w14:paraId="2D3E9DF4">
            <w:pPr>
              <w:adjustRightInd w:val="0"/>
              <w:snapToGrid w:val="0"/>
              <w:jc w:val="center"/>
              <w:rPr>
                <w:color w:val="auto"/>
                <w:szCs w:val="21"/>
              </w:rPr>
            </w:pPr>
          </w:p>
        </w:tc>
        <w:tc>
          <w:tcPr>
            <w:tcW w:w="355" w:type="pct"/>
            <w:vMerge w:val="continue"/>
            <w:tcBorders>
              <w:tl2br w:val="nil"/>
              <w:tr2bl w:val="nil"/>
            </w:tcBorders>
            <w:vAlign w:val="center"/>
          </w:tcPr>
          <w:p w14:paraId="563E6F0F">
            <w:pPr>
              <w:adjustRightInd w:val="0"/>
              <w:snapToGrid w:val="0"/>
              <w:jc w:val="center"/>
              <w:rPr>
                <w:color w:val="auto"/>
                <w:szCs w:val="21"/>
              </w:rPr>
            </w:pPr>
          </w:p>
        </w:tc>
        <w:tc>
          <w:tcPr>
            <w:tcW w:w="283" w:type="pct"/>
            <w:vMerge w:val="continue"/>
            <w:tcBorders>
              <w:tl2br w:val="nil"/>
              <w:tr2bl w:val="nil"/>
            </w:tcBorders>
            <w:vAlign w:val="center"/>
          </w:tcPr>
          <w:p w14:paraId="343785FD">
            <w:pPr>
              <w:adjustRightInd w:val="0"/>
              <w:snapToGrid w:val="0"/>
              <w:jc w:val="center"/>
              <w:rPr>
                <w:color w:val="auto"/>
                <w:szCs w:val="21"/>
              </w:rPr>
            </w:pPr>
          </w:p>
        </w:tc>
        <w:tc>
          <w:tcPr>
            <w:tcW w:w="307" w:type="pct"/>
            <w:vMerge w:val="continue"/>
            <w:tcBorders>
              <w:tl2br w:val="nil"/>
              <w:tr2bl w:val="nil"/>
            </w:tcBorders>
            <w:vAlign w:val="center"/>
          </w:tcPr>
          <w:p w14:paraId="511C1832">
            <w:pPr>
              <w:adjustRightInd w:val="0"/>
              <w:snapToGrid w:val="0"/>
              <w:jc w:val="center"/>
              <w:rPr>
                <w:color w:val="auto"/>
                <w:szCs w:val="21"/>
              </w:rPr>
            </w:pPr>
          </w:p>
        </w:tc>
        <w:tc>
          <w:tcPr>
            <w:tcW w:w="296" w:type="pct"/>
            <w:vMerge w:val="continue"/>
            <w:tcBorders>
              <w:tl2br w:val="nil"/>
              <w:tr2bl w:val="nil"/>
            </w:tcBorders>
            <w:vAlign w:val="center"/>
          </w:tcPr>
          <w:p w14:paraId="3DD91579">
            <w:pPr>
              <w:adjustRightInd w:val="0"/>
              <w:snapToGrid w:val="0"/>
              <w:jc w:val="center"/>
              <w:rPr>
                <w:color w:val="auto"/>
                <w:szCs w:val="21"/>
              </w:rPr>
            </w:pPr>
          </w:p>
        </w:tc>
        <w:tc>
          <w:tcPr>
            <w:tcW w:w="325" w:type="pct"/>
            <w:tcBorders>
              <w:tl2br w:val="nil"/>
              <w:tr2bl w:val="nil"/>
            </w:tcBorders>
            <w:vAlign w:val="center"/>
          </w:tcPr>
          <w:p w14:paraId="4C199E98">
            <w:pPr>
              <w:jc w:val="center"/>
              <w:rPr>
                <w:color w:val="auto"/>
                <w:szCs w:val="21"/>
              </w:rPr>
            </w:pPr>
            <w:r>
              <w:rPr>
                <w:color w:val="auto"/>
                <w:szCs w:val="21"/>
              </w:rPr>
              <w:t>北</w:t>
            </w:r>
          </w:p>
        </w:tc>
        <w:tc>
          <w:tcPr>
            <w:tcW w:w="343" w:type="pct"/>
            <w:tcBorders>
              <w:tl2br w:val="nil"/>
              <w:tr2bl w:val="nil"/>
            </w:tcBorders>
            <w:vAlign w:val="center"/>
          </w:tcPr>
          <w:p w14:paraId="0DE60CAE">
            <w:pPr>
              <w:adjustRightInd w:val="0"/>
              <w:snapToGrid w:val="0"/>
              <w:jc w:val="center"/>
              <w:rPr>
                <w:color w:val="auto"/>
                <w:szCs w:val="21"/>
              </w:rPr>
            </w:pPr>
            <w:r>
              <w:rPr>
                <w:rFonts w:hint="eastAsia"/>
                <w:color w:val="auto"/>
                <w:szCs w:val="21"/>
              </w:rPr>
              <w:t>60</w:t>
            </w:r>
          </w:p>
        </w:tc>
        <w:tc>
          <w:tcPr>
            <w:tcW w:w="466" w:type="pct"/>
            <w:tcBorders>
              <w:tl2br w:val="nil"/>
              <w:tr2bl w:val="nil"/>
            </w:tcBorders>
            <w:vAlign w:val="center"/>
          </w:tcPr>
          <w:p w14:paraId="4D81326C">
            <w:pPr>
              <w:adjustRightInd w:val="0"/>
              <w:snapToGrid w:val="0"/>
              <w:jc w:val="center"/>
              <w:rPr>
                <w:color w:val="auto"/>
                <w:szCs w:val="21"/>
              </w:rPr>
            </w:pPr>
            <w:r>
              <w:rPr>
                <w:rFonts w:hint="eastAsia"/>
                <w:color w:val="auto"/>
                <w:szCs w:val="21"/>
              </w:rPr>
              <w:t>24.45</w:t>
            </w:r>
          </w:p>
        </w:tc>
        <w:tc>
          <w:tcPr>
            <w:tcW w:w="247" w:type="pct"/>
            <w:vMerge w:val="continue"/>
            <w:tcBorders>
              <w:tl2br w:val="nil"/>
              <w:tr2bl w:val="nil"/>
            </w:tcBorders>
            <w:vAlign w:val="center"/>
          </w:tcPr>
          <w:p w14:paraId="70783073">
            <w:pPr>
              <w:adjustRightInd w:val="0"/>
              <w:snapToGrid w:val="0"/>
              <w:jc w:val="center"/>
              <w:rPr>
                <w:color w:val="auto"/>
                <w:szCs w:val="21"/>
              </w:rPr>
            </w:pPr>
          </w:p>
        </w:tc>
        <w:tc>
          <w:tcPr>
            <w:tcW w:w="409" w:type="pct"/>
            <w:vMerge w:val="continue"/>
            <w:tcBorders>
              <w:tl2br w:val="nil"/>
              <w:tr2bl w:val="nil"/>
            </w:tcBorders>
            <w:vAlign w:val="center"/>
          </w:tcPr>
          <w:p w14:paraId="4DE7961A">
            <w:pPr>
              <w:adjustRightInd w:val="0"/>
              <w:snapToGrid w:val="0"/>
              <w:jc w:val="center"/>
              <w:rPr>
                <w:color w:val="auto"/>
                <w:szCs w:val="21"/>
              </w:rPr>
            </w:pPr>
          </w:p>
        </w:tc>
        <w:tc>
          <w:tcPr>
            <w:tcW w:w="1153" w:type="dxa"/>
            <w:tcBorders>
              <w:tl2br w:val="nil"/>
              <w:tr2bl w:val="nil"/>
            </w:tcBorders>
            <w:vAlign w:val="center"/>
          </w:tcPr>
          <w:p w14:paraId="487633B1">
            <w:pPr>
              <w:adjustRightInd w:val="0"/>
              <w:snapToGrid w:val="0"/>
              <w:jc w:val="center"/>
              <w:rPr>
                <w:color w:val="auto"/>
                <w:szCs w:val="21"/>
              </w:rPr>
            </w:pPr>
            <w:r>
              <w:rPr>
                <w:rFonts w:hint="eastAsia"/>
                <w:color w:val="auto"/>
                <w:szCs w:val="21"/>
              </w:rPr>
              <w:t>19.45</w:t>
            </w:r>
          </w:p>
        </w:tc>
        <w:tc>
          <w:tcPr>
            <w:tcW w:w="319" w:type="pct"/>
            <w:tcBorders>
              <w:tl2br w:val="nil"/>
              <w:tr2bl w:val="nil"/>
            </w:tcBorders>
            <w:vAlign w:val="center"/>
          </w:tcPr>
          <w:p w14:paraId="79A9FBBE">
            <w:pPr>
              <w:adjustRightInd w:val="0"/>
              <w:snapToGrid w:val="0"/>
              <w:jc w:val="center"/>
              <w:rPr>
                <w:color w:val="auto"/>
                <w:szCs w:val="21"/>
              </w:rPr>
            </w:pPr>
            <w:r>
              <w:rPr>
                <w:color w:val="auto"/>
                <w:szCs w:val="21"/>
              </w:rPr>
              <w:t>1</w:t>
            </w:r>
          </w:p>
        </w:tc>
      </w:tr>
      <w:tr w14:paraId="2AC4BA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restart"/>
            <w:tcBorders>
              <w:top w:val="single" w:color="auto" w:sz="4" w:space="0"/>
              <w:tl2br w:val="nil"/>
              <w:tr2bl w:val="nil"/>
            </w:tcBorders>
            <w:vAlign w:val="center"/>
          </w:tcPr>
          <w:p w14:paraId="69605C25">
            <w:pPr>
              <w:adjustRightInd w:val="0"/>
              <w:snapToGrid w:val="0"/>
              <w:jc w:val="center"/>
              <w:rPr>
                <w:color w:val="auto"/>
                <w:szCs w:val="21"/>
              </w:rPr>
            </w:pPr>
            <w:r>
              <w:rPr>
                <w:color w:val="auto"/>
                <w:szCs w:val="21"/>
              </w:rPr>
              <w:t>6</w:t>
            </w:r>
          </w:p>
        </w:tc>
        <w:tc>
          <w:tcPr>
            <w:tcW w:w="240" w:type="pct"/>
            <w:vMerge w:val="restart"/>
            <w:tcBorders>
              <w:top w:val="single" w:color="auto" w:sz="4" w:space="0"/>
              <w:tl2br w:val="nil"/>
              <w:tr2bl w:val="nil"/>
            </w:tcBorders>
            <w:vAlign w:val="center"/>
          </w:tcPr>
          <w:p w14:paraId="30BBE6F0">
            <w:pPr>
              <w:adjustRightInd w:val="0"/>
              <w:snapToGrid w:val="0"/>
              <w:jc w:val="center"/>
              <w:rPr>
                <w:color w:val="auto"/>
                <w:szCs w:val="21"/>
              </w:rPr>
            </w:pPr>
            <w:r>
              <w:rPr>
                <w:color w:val="auto"/>
                <w:szCs w:val="21"/>
              </w:rPr>
              <w:t>管理房</w:t>
            </w:r>
          </w:p>
        </w:tc>
        <w:tc>
          <w:tcPr>
            <w:tcW w:w="351" w:type="pct"/>
            <w:vMerge w:val="restart"/>
            <w:tcBorders>
              <w:tl2br w:val="nil"/>
              <w:tr2bl w:val="nil"/>
            </w:tcBorders>
            <w:vAlign w:val="center"/>
          </w:tcPr>
          <w:p w14:paraId="33974374">
            <w:pPr>
              <w:widowControl/>
              <w:jc w:val="center"/>
              <w:textAlignment w:val="center"/>
              <w:rPr>
                <w:color w:val="auto"/>
                <w:szCs w:val="21"/>
              </w:rPr>
            </w:pPr>
            <w:r>
              <w:rPr>
                <w:color w:val="auto"/>
                <w:kern w:val="0"/>
                <w:szCs w:val="21"/>
                <w:lang w:bidi="ar"/>
              </w:rPr>
              <w:t>外箱式柴油发电机组</w:t>
            </w:r>
          </w:p>
        </w:tc>
        <w:tc>
          <w:tcPr>
            <w:tcW w:w="408" w:type="pct"/>
            <w:vMerge w:val="restart"/>
            <w:tcBorders>
              <w:tl2br w:val="nil"/>
              <w:tr2bl w:val="nil"/>
            </w:tcBorders>
            <w:vAlign w:val="center"/>
          </w:tcPr>
          <w:p w14:paraId="4D0390CE">
            <w:pPr>
              <w:widowControl/>
              <w:snapToGrid w:val="0"/>
              <w:jc w:val="center"/>
              <w:rPr>
                <w:color w:val="auto"/>
                <w:szCs w:val="21"/>
              </w:rPr>
            </w:pPr>
            <w:r>
              <w:rPr>
                <w:rFonts w:hint="eastAsia"/>
                <w:color w:val="auto"/>
                <w:szCs w:val="21"/>
              </w:rPr>
              <w:t>85</w:t>
            </w:r>
          </w:p>
        </w:tc>
        <w:tc>
          <w:tcPr>
            <w:tcW w:w="355" w:type="pct"/>
            <w:vMerge w:val="continue"/>
            <w:tcBorders>
              <w:tl2br w:val="nil"/>
              <w:tr2bl w:val="nil"/>
            </w:tcBorders>
            <w:vAlign w:val="center"/>
          </w:tcPr>
          <w:p w14:paraId="1CD71C9C">
            <w:pPr>
              <w:adjustRightInd w:val="0"/>
              <w:snapToGrid w:val="0"/>
              <w:jc w:val="center"/>
              <w:rPr>
                <w:color w:val="auto"/>
                <w:szCs w:val="21"/>
              </w:rPr>
            </w:pPr>
          </w:p>
        </w:tc>
        <w:tc>
          <w:tcPr>
            <w:tcW w:w="283" w:type="pct"/>
            <w:vMerge w:val="restart"/>
            <w:tcBorders>
              <w:tl2br w:val="nil"/>
              <w:tr2bl w:val="nil"/>
            </w:tcBorders>
            <w:vAlign w:val="center"/>
          </w:tcPr>
          <w:p w14:paraId="0371441F">
            <w:pPr>
              <w:adjustRightInd w:val="0"/>
              <w:snapToGrid w:val="0"/>
              <w:jc w:val="center"/>
              <w:rPr>
                <w:color w:val="auto"/>
                <w:szCs w:val="21"/>
              </w:rPr>
            </w:pPr>
            <w:r>
              <w:rPr>
                <w:color w:val="auto"/>
                <w:szCs w:val="21"/>
              </w:rPr>
              <w:t>-240</w:t>
            </w:r>
          </w:p>
        </w:tc>
        <w:tc>
          <w:tcPr>
            <w:tcW w:w="307" w:type="pct"/>
            <w:vMerge w:val="restart"/>
            <w:tcBorders>
              <w:tl2br w:val="nil"/>
              <w:tr2bl w:val="nil"/>
            </w:tcBorders>
            <w:vAlign w:val="center"/>
          </w:tcPr>
          <w:p w14:paraId="2B4F1CA0">
            <w:pPr>
              <w:adjustRightInd w:val="0"/>
              <w:snapToGrid w:val="0"/>
              <w:jc w:val="center"/>
              <w:rPr>
                <w:color w:val="auto"/>
                <w:szCs w:val="21"/>
              </w:rPr>
            </w:pPr>
            <w:r>
              <w:rPr>
                <w:color w:val="auto"/>
                <w:szCs w:val="21"/>
              </w:rPr>
              <w:t>-300</w:t>
            </w:r>
          </w:p>
        </w:tc>
        <w:tc>
          <w:tcPr>
            <w:tcW w:w="296" w:type="pct"/>
            <w:vMerge w:val="restart"/>
            <w:tcBorders>
              <w:tl2br w:val="nil"/>
              <w:tr2bl w:val="nil"/>
            </w:tcBorders>
            <w:vAlign w:val="center"/>
          </w:tcPr>
          <w:p w14:paraId="1509E4EB">
            <w:pPr>
              <w:adjustRightInd w:val="0"/>
              <w:snapToGrid w:val="0"/>
              <w:jc w:val="center"/>
              <w:rPr>
                <w:color w:val="auto"/>
                <w:szCs w:val="21"/>
              </w:rPr>
            </w:pPr>
            <w:r>
              <w:rPr>
                <w:color w:val="auto"/>
                <w:szCs w:val="21"/>
              </w:rPr>
              <w:t>1.5</w:t>
            </w:r>
          </w:p>
        </w:tc>
        <w:tc>
          <w:tcPr>
            <w:tcW w:w="325" w:type="pct"/>
            <w:tcBorders>
              <w:tl2br w:val="nil"/>
              <w:tr2bl w:val="nil"/>
            </w:tcBorders>
            <w:vAlign w:val="center"/>
          </w:tcPr>
          <w:p w14:paraId="379FC717">
            <w:pPr>
              <w:jc w:val="center"/>
              <w:rPr>
                <w:color w:val="auto"/>
                <w:szCs w:val="21"/>
              </w:rPr>
            </w:pPr>
            <w:r>
              <w:rPr>
                <w:color w:val="auto"/>
                <w:szCs w:val="21"/>
              </w:rPr>
              <w:t>东</w:t>
            </w:r>
          </w:p>
        </w:tc>
        <w:tc>
          <w:tcPr>
            <w:tcW w:w="343" w:type="pct"/>
            <w:tcBorders>
              <w:tl2br w:val="nil"/>
              <w:tr2bl w:val="nil"/>
            </w:tcBorders>
            <w:vAlign w:val="center"/>
          </w:tcPr>
          <w:p w14:paraId="07A58E48">
            <w:pPr>
              <w:adjustRightInd w:val="0"/>
              <w:snapToGrid w:val="0"/>
              <w:jc w:val="center"/>
              <w:rPr>
                <w:color w:val="auto"/>
                <w:szCs w:val="21"/>
              </w:rPr>
            </w:pPr>
            <w:r>
              <w:rPr>
                <w:color w:val="auto"/>
                <w:szCs w:val="21"/>
              </w:rPr>
              <w:t>2</w:t>
            </w:r>
            <w:r>
              <w:rPr>
                <w:rFonts w:hint="eastAsia"/>
                <w:color w:val="auto"/>
                <w:szCs w:val="21"/>
              </w:rPr>
              <w:t>27</w:t>
            </w:r>
          </w:p>
        </w:tc>
        <w:tc>
          <w:tcPr>
            <w:tcW w:w="466" w:type="pct"/>
            <w:tcBorders>
              <w:tl2br w:val="nil"/>
              <w:tr2bl w:val="nil"/>
            </w:tcBorders>
            <w:vAlign w:val="center"/>
          </w:tcPr>
          <w:p w14:paraId="75501A39">
            <w:pPr>
              <w:adjustRightInd w:val="0"/>
              <w:snapToGrid w:val="0"/>
              <w:jc w:val="center"/>
              <w:rPr>
                <w:color w:val="auto"/>
                <w:szCs w:val="21"/>
              </w:rPr>
            </w:pPr>
            <w:r>
              <w:rPr>
                <w:rFonts w:hint="eastAsia"/>
                <w:color w:val="auto"/>
                <w:szCs w:val="21"/>
              </w:rPr>
              <w:t>37.88</w:t>
            </w:r>
          </w:p>
        </w:tc>
        <w:tc>
          <w:tcPr>
            <w:tcW w:w="247" w:type="pct"/>
            <w:vMerge w:val="continue"/>
            <w:tcBorders>
              <w:tl2br w:val="nil"/>
              <w:tr2bl w:val="nil"/>
            </w:tcBorders>
            <w:vAlign w:val="center"/>
          </w:tcPr>
          <w:p w14:paraId="1D0AF425">
            <w:pPr>
              <w:adjustRightInd w:val="0"/>
              <w:snapToGrid w:val="0"/>
              <w:jc w:val="center"/>
              <w:rPr>
                <w:color w:val="auto"/>
                <w:szCs w:val="21"/>
              </w:rPr>
            </w:pPr>
          </w:p>
        </w:tc>
        <w:tc>
          <w:tcPr>
            <w:tcW w:w="409" w:type="pct"/>
            <w:vMerge w:val="restart"/>
            <w:tcBorders>
              <w:tl2br w:val="nil"/>
              <w:tr2bl w:val="nil"/>
            </w:tcBorders>
            <w:vAlign w:val="center"/>
          </w:tcPr>
          <w:p w14:paraId="4844F799">
            <w:pPr>
              <w:adjustRightInd w:val="0"/>
              <w:snapToGrid w:val="0"/>
              <w:jc w:val="center"/>
              <w:rPr>
                <w:color w:val="auto"/>
                <w:szCs w:val="21"/>
              </w:rPr>
            </w:pPr>
            <w:r>
              <w:rPr>
                <w:color w:val="auto"/>
                <w:szCs w:val="21"/>
              </w:rPr>
              <w:t>5</w:t>
            </w:r>
          </w:p>
        </w:tc>
        <w:tc>
          <w:tcPr>
            <w:tcW w:w="1153" w:type="dxa"/>
            <w:tcBorders>
              <w:tl2br w:val="nil"/>
              <w:tr2bl w:val="nil"/>
            </w:tcBorders>
            <w:vAlign w:val="center"/>
          </w:tcPr>
          <w:p w14:paraId="18DB7F5A">
            <w:pPr>
              <w:adjustRightInd w:val="0"/>
              <w:snapToGrid w:val="0"/>
              <w:jc w:val="center"/>
              <w:rPr>
                <w:color w:val="auto"/>
                <w:szCs w:val="21"/>
              </w:rPr>
            </w:pPr>
            <w:r>
              <w:rPr>
                <w:rFonts w:hint="eastAsia"/>
                <w:color w:val="auto"/>
                <w:szCs w:val="21"/>
              </w:rPr>
              <w:t>32.88</w:t>
            </w:r>
          </w:p>
        </w:tc>
        <w:tc>
          <w:tcPr>
            <w:tcW w:w="319" w:type="pct"/>
            <w:tcBorders>
              <w:tl2br w:val="nil"/>
              <w:tr2bl w:val="nil"/>
            </w:tcBorders>
            <w:vAlign w:val="center"/>
          </w:tcPr>
          <w:p w14:paraId="37B16036">
            <w:pPr>
              <w:adjustRightInd w:val="0"/>
              <w:snapToGrid w:val="0"/>
              <w:jc w:val="center"/>
              <w:rPr>
                <w:color w:val="auto"/>
                <w:szCs w:val="21"/>
              </w:rPr>
            </w:pPr>
            <w:r>
              <w:rPr>
                <w:color w:val="auto"/>
                <w:szCs w:val="21"/>
              </w:rPr>
              <w:t>1</w:t>
            </w:r>
          </w:p>
        </w:tc>
      </w:tr>
      <w:tr w14:paraId="6A61C5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58264F65">
            <w:pPr>
              <w:adjustRightInd w:val="0"/>
              <w:snapToGrid w:val="0"/>
              <w:jc w:val="center"/>
              <w:rPr>
                <w:color w:val="auto"/>
                <w:szCs w:val="21"/>
              </w:rPr>
            </w:pPr>
          </w:p>
        </w:tc>
        <w:tc>
          <w:tcPr>
            <w:tcW w:w="240" w:type="pct"/>
            <w:vMerge w:val="continue"/>
            <w:tcBorders>
              <w:tl2br w:val="nil"/>
              <w:tr2bl w:val="nil"/>
            </w:tcBorders>
            <w:vAlign w:val="center"/>
          </w:tcPr>
          <w:p w14:paraId="50C0BEBD">
            <w:pPr>
              <w:adjustRightInd w:val="0"/>
              <w:snapToGrid w:val="0"/>
              <w:jc w:val="center"/>
              <w:rPr>
                <w:color w:val="auto"/>
                <w:szCs w:val="21"/>
              </w:rPr>
            </w:pPr>
          </w:p>
        </w:tc>
        <w:tc>
          <w:tcPr>
            <w:tcW w:w="351" w:type="pct"/>
            <w:vMerge w:val="continue"/>
            <w:tcBorders>
              <w:tl2br w:val="nil"/>
              <w:tr2bl w:val="nil"/>
            </w:tcBorders>
            <w:vAlign w:val="center"/>
          </w:tcPr>
          <w:p w14:paraId="0D624BD4">
            <w:pPr>
              <w:adjustRightInd w:val="0"/>
              <w:snapToGrid w:val="0"/>
              <w:jc w:val="center"/>
              <w:rPr>
                <w:color w:val="auto"/>
                <w:szCs w:val="21"/>
              </w:rPr>
            </w:pPr>
          </w:p>
        </w:tc>
        <w:tc>
          <w:tcPr>
            <w:tcW w:w="408" w:type="pct"/>
            <w:vMerge w:val="continue"/>
            <w:tcBorders>
              <w:tl2br w:val="nil"/>
              <w:tr2bl w:val="nil"/>
            </w:tcBorders>
            <w:vAlign w:val="center"/>
          </w:tcPr>
          <w:p w14:paraId="0F03BE77">
            <w:pPr>
              <w:adjustRightInd w:val="0"/>
              <w:snapToGrid w:val="0"/>
              <w:jc w:val="center"/>
              <w:rPr>
                <w:color w:val="auto"/>
                <w:szCs w:val="21"/>
              </w:rPr>
            </w:pPr>
          </w:p>
        </w:tc>
        <w:tc>
          <w:tcPr>
            <w:tcW w:w="355" w:type="pct"/>
            <w:vMerge w:val="continue"/>
            <w:tcBorders>
              <w:tl2br w:val="nil"/>
              <w:tr2bl w:val="nil"/>
            </w:tcBorders>
            <w:vAlign w:val="center"/>
          </w:tcPr>
          <w:p w14:paraId="1DAE826C">
            <w:pPr>
              <w:adjustRightInd w:val="0"/>
              <w:snapToGrid w:val="0"/>
              <w:jc w:val="center"/>
              <w:rPr>
                <w:color w:val="auto"/>
                <w:szCs w:val="21"/>
              </w:rPr>
            </w:pPr>
          </w:p>
        </w:tc>
        <w:tc>
          <w:tcPr>
            <w:tcW w:w="283" w:type="pct"/>
            <w:vMerge w:val="continue"/>
            <w:tcBorders>
              <w:tl2br w:val="nil"/>
              <w:tr2bl w:val="nil"/>
            </w:tcBorders>
            <w:vAlign w:val="center"/>
          </w:tcPr>
          <w:p w14:paraId="4ACE1CA3">
            <w:pPr>
              <w:adjustRightInd w:val="0"/>
              <w:snapToGrid w:val="0"/>
              <w:jc w:val="center"/>
              <w:rPr>
                <w:color w:val="auto"/>
                <w:szCs w:val="21"/>
              </w:rPr>
            </w:pPr>
          </w:p>
        </w:tc>
        <w:tc>
          <w:tcPr>
            <w:tcW w:w="307" w:type="pct"/>
            <w:vMerge w:val="continue"/>
            <w:tcBorders>
              <w:tl2br w:val="nil"/>
              <w:tr2bl w:val="nil"/>
            </w:tcBorders>
            <w:vAlign w:val="center"/>
          </w:tcPr>
          <w:p w14:paraId="602D63EB">
            <w:pPr>
              <w:adjustRightInd w:val="0"/>
              <w:snapToGrid w:val="0"/>
              <w:jc w:val="center"/>
              <w:rPr>
                <w:color w:val="auto"/>
                <w:szCs w:val="21"/>
              </w:rPr>
            </w:pPr>
          </w:p>
        </w:tc>
        <w:tc>
          <w:tcPr>
            <w:tcW w:w="296" w:type="pct"/>
            <w:vMerge w:val="continue"/>
            <w:tcBorders>
              <w:tl2br w:val="nil"/>
              <w:tr2bl w:val="nil"/>
            </w:tcBorders>
            <w:vAlign w:val="center"/>
          </w:tcPr>
          <w:p w14:paraId="485F0BE2">
            <w:pPr>
              <w:adjustRightInd w:val="0"/>
              <w:snapToGrid w:val="0"/>
              <w:jc w:val="center"/>
              <w:rPr>
                <w:color w:val="auto"/>
                <w:szCs w:val="21"/>
              </w:rPr>
            </w:pPr>
          </w:p>
        </w:tc>
        <w:tc>
          <w:tcPr>
            <w:tcW w:w="325" w:type="pct"/>
            <w:tcBorders>
              <w:tl2br w:val="nil"/>
              <w:tr2bl w:val="nil"/>
            </w:tcBorders>
            <w:vAlign w:val="center"/>
          </w:tcPr>
          <w:p w14:paraId="0157AAF5">
            <w:pPr>
              <w:jc w:val="center"/>
              <w:rPr>
                <w:color w:val="auto"/>
                <w:szCs w:val="21"/>
              </w:rPr>
            </w:pPr>
            <w:r>
              <w:rPr>
                <w:color w:val="auto"/>
                <w:szCs w:val="21"/>
              </w:rPr>
              <w:t>南</w:t>
            </w:r>
          </w:p>
        </w:tc>
        <w:tc>
          <w:tcPr>
            <w:tcW w:w="343" w:type="pct"/>
            <w:tcBorders>
              <w:tl2br w:val="nil"/>
              <w:tr2bl w:val="nil"/>
            </w:tcBorders>
            <w:vAlign w:val="center"/>
          </w:tcPr>
          <w:p w14:paraId="1B4621EB">
            <w:pPr>
              <w:adjustRightInd w:val="0"/>
              <w:snapToGrid w:val="0"/>
              <w:jc w:val="center"/>
              <w:rPr>
                <w:color w:val="auto"/>
                <w:szCs w:val="21"/>
              </w:rPr>
            </w:pPr>
            <w:r>
              <w:rPr>
                <w:rFonts w:hint="eastAsia"/>
                <w:color w:val="auto"/>
                <w:szCs w:val="21"/>
              </w:rPr>
              <w:t>176</w:t>
            </w:r>
          </w:p>
        </w:tc>
        <w:tc>
          <w:tcPr>
            <w:tcW w:w="466" w:type="pct"/>
            <w:tcBorders>
              <w:tl2br w:val="nil"/>
              <w:tr2bl w:val="nil"/>
            </w:tcBorders>
            <w:vAlign w:val="center"/>
          </w:tcPr>
          <w:p w14:paraId="6C8FEE97">
            <w:pPr>
              <w:adjustRightInd w:val="0"/>
              <w:snapToGrid w:val="0"/>
              <w:jc w:val="center"/>
              <w:rPr>
                <w:color w:val="auto"/>
                <w:szCs w:val="21"/>
              </w:rPr>
            </w:pPr>
            <w:r>
              <w:rPr>
                <w:color w:val="auto"/>
                <w:szCs w:val="21"/>
              </w:rPr>
              <w:t>4</w:t>
            </w:r>
            <w:r>
              <w:rPr>
                <w:rFonts w:hint="eastAsia"/>
                <w:color w:val="auto"/>
                <w:szCs w:val="21"/>
              </w:rPr>
              <w:t>0.09</w:t>
            </w:r>
          </w:p>
        </w:tc>
        <w:tc>
          <w:tcPr>
            <w:tcW w:w="247" w:type="pct"/>
            <w:vMerge w:val="continue"/>
            <w:tcBorders>
              <w:tl2br w:val="nil"/>
              <w:tr2bl w:val="nil"/>
            </w:tcBorders>
            <w:vAlign w:val="center"/>
          </w:tcPr>
          <w:p w14:paraId="68C1015D">
            <w:pPr>
              <w:adjustRightInd w:val="0"/>
              <w:snapToGrid w:val="0"/>
              <w:jc w:val="center"/>
              <w:rPr>
                <w:color w:val="auto"/>
                <w:szCs w:val="21"/>
              </w:rPr>
            </w:pPr>
          </w:p>
        </w:tc>
        <w:tc>
          <w:tcPr>
            <w:tcW w:w="409" w:type="pct"/>
            <w:vMerge w:val="continue"/>
            <w:tcBorders>
              <w:tl2br w:val="nil"/>
              <w:tr2bl w:val="nil"/>
            </w:tcBorders>
            <w:vAlign w:val="center"/>
          </w:tcPr>
          <w:p w14:paraId="4F5E4199">
            <w:pPr>
              <w:adjustRightInd w:val="0"/>
              <w:snapToGrid w:val="0"/>
              <w:jc w:val="center"/>
              <w:rPr>
                <w:color w:val="auto"/>
                <w:szCs w:val="21"/>
              </w:rPr>
            </w:pPr>
          </w:p>
        </w:tc>
        <w:tc>
          <w:tcPr>
            <w:tcW w:w="1153" w:type="dxa"/>
            <w:tcBorders>
              <w:tl2br w:val="nil"/>
              <w:tr2bl w:val="nil"/>
            </w:tcBorders>
            <w:vAlign w:val="center"/>
          </w:tcPr>
          <w:p w14:paraId="6E076B3D">
            <w:pPr>
              <w:adjustRightInd w:val="0"/>
              <w:snapToGrid w:val="0"/>
              <w:jc w:val="center"/>
              <w:rPr>
                <w:color w:val="auto"/>
                <w:szCs w:val="21"/>
              </w:rPr>
            </w:pPr>
            <w:r>
              <w:rPr>
                <w:rFonts w:hint="eastAsia"/>
                <w:color w:val="auto"/>
                <w:szCs w:val="21"/>
              </w:rPr>
              <w:t>35.09</w:t>
            </w:r>
          </w:p>
        </w:tc>
        <w:tc>
          <w:tcPr>
            <w:tcW w:w="319" w:type="pct"/>
            <w:tcBorders>
              <w:tl2br w:val="nil"/>
              <w:tr2bl w:val="nil"/>
            </w:tcBorders>
            <w:vAlign w:val="center"/>
          </w:tcPr>
          <w:p w14:paraId="2DA9E924">
            <w:pPr>
              <w:adjustRightInd w:val="0"/>
              <w:snapToGrid w:val="0"/>
              <w:jc w:val="center"/>
              <w:rPr>
                <w:color w:val="auto"/>
                <w:szCs w:val="21"/>
              </w:rPr>
            </w:pPr>
            <w:r>
              <w:rPr>
                <w:color w:val="auto"/>
                <w:szCs w:val="21"/>
              </w:rPr>
              <w:t>1</w:t>
            </w:r>
          </w:p>
        </w:tc>
      </w:tr>
      <w:tr w14:paraId="0AEE02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43EDF408">
            <w:pPr>
              <w:adjustRightInd w:val="0"/>
              <w:snapToGrid w:val="0"/>
              <w:jc w:val="center"/>
              <w:rPr>
                <w:color w:val="auto"/>
                <w:szCs w:val="21"/>
              </w:rPr>
            </w:pPr>
          </w:p>
        </w:tc>
        <w:tc>
          <w:tcPr>
            <w:tcW w:w="240" w:type="pct"/>
            <w:vMerge w:val="continue"/>
            <w:tcBorders>
              <w:tl2br w:val="nil"/>
              <w:tr2bl w:val="nil"/>
            </w:tcBorders>
            <w:vAlign w:val="center"/>
          </w:tcPr>
          <w:p w14:paraId="1AB7B757">
            <w:pPr>
              <w:adjustRightInd w:val="0"/>
              <w:snapToGrid w:val="0"/>
              <w:jc w:val="center"/>
              <w:rPr>
                <w:color w:val="auto"/>
                <w:szCs w:val="21"/>
              </w:rPr>
            </w:pPr>
          </w:p>
        </w:tc>
        <w:tc>
          <w:tcPr>
            <w:tcW w:w="351" w:type="pct"/>
            <w:vMerge w:val="continue"/>
            <w:tcBorders>
              <w:tl2br w:val="nil"/>
              <w:tr2bl w:val="nil"/>
            </w:tcBorders>
            <w:vAlign w:val="center"/>
          </w:tcPr>
          <w:p w14:paraId="150155AE">
            <w:pPr>
              <w:adjustRightInd w:val="0"/>
              <w:snapToGrid w:val="0"/>
              <w:jc w:val="center"/>
              <w:rPr>
                <w:color w:val="auto"/>
                <w:szCs w:val="21"/>
              </w:rPr>
            </w:pPr>
          </w:p>
        </w:tc>
        <w:tc>
          <w:tcPr>
            <w:tcW w:w="408" w:type="pct"/>
            <w:vMerge w:val="continue"/>
            <w:tcBorders>
              <w:tl2br w:val="nil"/>
              <w:tr2bl w:val="nil"/>
            </w:tcBorders>
            <w:vAlign w:val="center"/>
          </w:tcPr>
          <w:p w14:paraId="6F40BC37">
            <w:pPr>
              <w:adjustRightInd w:val="0"/>
              <w:snapToGrid w:val="0"/>
              <w:jc w:val="center"/>
              <w:rPr>
                <w:color w:val="auto"/>
                <w:szCs w:val="21"/>
              </w:rPr>
            </w:pPr>
          </w:p>
        </w:tc>
        <w:tc>
          <w:tcPr>
            <w:tcW w:w="355" w:type="pct"/>
            <w:vMerge w:val="continue"/>
            <w:tcBorders>
              <w:tl2br w:val="nil"/>
              <w:tr2bl w:val="nil"/>
            </w:tcBorders>
            <w:vAlign w:val="center"/>
          </w:tcPr>
          <w:p w14:paraId="2181792D">
            <w:pPr>
              <w:adjustRightInd w:val="0"/>
              <w:snapToGrid w:val="0"/>
              <w:jc w:val="center"/>
              <w:rPr>
                <w:color w:val="auto"/>
                <w:szCs w:val="21"/>
              </w:rPr>
            </w:pPr>
          </w:p>
        </w:tc>
        <w:tc>
          <w:tcPr>
            <w:tcW w:w="283" w:type="pct"/>
            <w:vMerge w:val="continue"/>
            <w:tcBorders>
              <w:tl2br w:val="nil"/>
              <w:tr2bl w:val="nil"/>
            </w:tcBorders>
            <w:vAlign w:val="center"/>
          </w:tcPr>
          <w:p w14:paraId="7F127C19">
            <w:pPr>
              <w:adjustRightInd w:val="0"/>
              <w:snapToGrid w:val="0"/>
              <w:jc w:val="center"/>
              <w:rPr>
                <w:color w:val="auto"/>
                <w:szCs w:val="21"/>
              </w:rPr>
            </w:pPr>
          </w:p>
        </w:tc>
        <w:tc>
          <w:tcPr>
            <w:tcW w:w="307" w:type="pct"/>
            <w:vMerge w:val="continue"/>
            <w:tcBorders>
              <w:tl2br w:val="nil"/>
              <w:tr2bl w:val="nil"/>
            </w:tcBorders>
            <w:vAlign w:val="center"/>
          </w:tcPr>
          <w:p w14:paraId="032FD99A">
            <w:pPr>
              <w:adjustRightInd w:val="0"/>
              <w:snapToGrid w:val="0"/>
              <w:jc w:val="center"/>
              <w:rPr>
                <w:color w:val="auto"/>
                <w:szCs w:val="21"/>
              </w:rPr>
            </w:pPr>
          </w:p>
        </w:tc>
        <w:tc>
          <w:tcPr>
            <w:tcW w:w="296" w:type="pct"/>
            <w:vMerge w:val="continue"/>
            <w:tcBorders>
              <w:tl2br w:val="nil"/>
              <w:tr2bl w:val="nil"/>
            </w:tcBorders>
            <w:vAlign w:val="center"/>
          </w:tcPr>
          <w:p w14:paraId="5DBB88A3">
            <w:pPr>
              <w:adjustRightInd w:val="0"/>
              <w:snapToGrid w:val="0"/>
              <w:jc w:val="center"/>
              <w:rPr>
                <w:color w:val="auto"/>
                <w:szCs w:val="21"/>
              </w:rPr>
            </w:pPr>
          </w:p>
        </w:tc>
        <w:tc>
          <w:tcPr>
            <w:tcW w:w="325" w:type="pct"/>
            <w:tcBorders>
              <w:tl2br w:val="nil"/>
              <w:tr2bl w:val="nil"/>
            </w:tcBorders>
            <w:vAlign w:val="center"/>
          </w:tcPr>
          <w:p w14:paraId="7E75CF0C">
            <w:pPr>
              <w:jc w:val="center"/>
              <w:rPr>
                <w:color w:val="auto"/>
                <w:szCs w:val="21"/>
              </w:rPr>
            </w:pPr>
            <w:r>
              <w:rPr>
                <w:color w:val="auto"/>
                <w:szCs w:val="21"/>
              </w:rPr>
              <w:t>西</w:t>
            </w:r>
          </w:p>
        </w:tc>
        <w:tc>
          <w:tcPr>
            <w:tcW w:w="343" w:type="pct"/>
            <w:tcBorders>
              <w:tl2br w:val="nil"/>
              <w:tr2bl w:val="nil"/>
            </w:tcBorders>
            <w:vAlign w:val="center"/>
          </w:tcPr>
          <w:p w14:paraId="0894FD8B">
            <w:pPr>
              <w:adjustRightInd w:val="0"/>
              <w:snapToGrid w:val="0"/>
              <w:jc w:val="center"/>
              <w:rPr>
                <w:color w:val="auto"/>
                <w:szCs w:val="21"/>
              </w:rPr>
            </w:pPr>
            <w:r>
              <w:rPr>
                <w:rFonts w:hint="eastAsia"/>
                <w:color w:val="auto"/>
                <w:szCs w:val="21"/>
              </w:rPr>
              <w:t>185</w:t>
            </w:r>
          </w:p>
        </w:tc>
        <w:tc>
          <w:tcPr>
            <w:tcW w:w="466" w:type="pct"/>
            <w:tcBorders>
              <w:tl2br w:val="nil"/>
              <w:tr2bl w:val="nil"/>
            </w:tcBorders>
            <w:vAlign w:val="center"/>
          </w:tcPr>
          <w:p w14:paraId="56CF6C7A">
            <w:pPr>
              <w:adjustRightInd w:val="0"/>
              <w:snapToGrid w:val="0"/>
              <w:jc w:val="center"/>
              <w:rPr>
                <w:color w:val="auto"/>
                <w:szCs w:val="21"/>
              </w:rPr>
            </w:pPr>
            <w:r>
              <w:rPr>
                <w:rFonts w:hint="eastAsia"/>
                <w:color w:val="auto"/>
                <w:szCs w:val="21"/>
              </w:rPr>
              <w:t>39.66</w:t>
            </w:r>
          </w:p>
        </w:tc>
        <w:tc>
          <w:tcPr>
            <w:tcW w:w="247" w:type="pct"/>
            <w:vMerge w:val="continue"/>
            <w:tcBorders>
              <w:tl2br w:val="nil"/>
              <w:tr2bl w:val="nil"/>
            </w:tcBorders>
            <w:vAlign w:val="center"/>
          </w:tcPr>
          <w:p w14:paraId="6E8159E3">
            <w:pPr>
              <w:adjustRightInd w:val="0"/>
              <w:snapToGrid w:val="0"/>
              <w:jc w:val="center"/>
              <w:rPr>
                <w:color w:val="auto"/>
                <w:szCs w:val="21"/>
              </w:rPr>
            </w:pPr>
          </w:p>
        </w:tc>
        <w:tc>
          <w:tcPr>
            <w:tcW w:w="409" w:type="pct"/>
            <w:vMerge w:val="continue"/>
            <w:tcBorders>
              <w:tl2br w:val="nil"/>
              <w:tr2bl w:val="nil"/>
            </w:tcBorders>
            <w:vAlign w:val="center"/>
          </w:tcPr>
          <w:p w14:paraId="736243EF">
            <w:pPr>
              <w:adjustRightInd w:val="0"/>
              <w:snapToGrid w:val="0"/>
              <w:jc w:val="center"/>
              <w:rPr>
                <w:color w:val="auto"/>
                <w:szCs w:val="21"/>
              </w:rPr>
            </w:pPr>
          </w:p>
        </w:tc>
        <w:tc>
          <w:tcPr>
            <w:tcW w:w="1153" w:type="dxa"/>
            <w:tcBorders>
              <w:tl2br w:val="nil"/>
              <w:tr2bl w:val="nil"/>
            </w:tcBorders>
            <w:vAlign w:val="center"/>
          </w:tcPr>
          <w:p w14:paraId="1BD52C60">
            <w:pPr>
              <w:adjustRightInd w:val="0"/>
              <w:snapToGrid w:val="0"/>
              <w:jc w:val="center"/>
              <w:rPr>
                <w:color w:val="auto"/>
                <w:szCs w:val="21"/>
              </w:rPr>
            </w:pPr>
            <w:r>
              <w:rPr>
                <w:rFonts w:hint="eastAsia"/>
                <w:color w:val="auto"/>
                <w:szCs w:val="21"/>
              </w:rPr>
              <w:t>34.66</w:t>
            </w:r>
          </w:p>
        </w:tc>
        <w:tc>
          <w:tcPr>
            <w:tcW w:w="319" w:type="pct"/>
            <w:tcBorders>
              <w:tl2br w:val="nil"/>
              <w:tr2bl w:val="nil"/>
            </w:tcBorders>
            <w:vAlign w:val="center"/>
          </w:tcPr>
          <w:p w14:paraId="5C141ECA">
            <w:pPr>
              <w:adjustRightInd w:val="0"/>
              <w:snapToGrid w:val="0"/>
              <w:jc w:val="center"/>
              <w:rPr>
                <w:color w:val="auto"/>
                <w:szCs w:val="21"/>
              </w:rPr>
            </w:pPr>
            <w:r>
              <w:rPr>
                <w:color w:val="auto"/>
                <w:szCs w:val="21"/>
              </w:rPr>
              <w:t>1</w:t>
            </w:r>
          </w:p>
        </w:tc>
      </w:tr>
      <w:tr w14:paraId="10FE69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39" w:type="pct"/>
            <w:vMerge w:val="continue"/>
            <w:tcBorders>
              <w:tl2br w:val="nil"/>
              <w:tr2bl w:val="nil"/>
            </w:tcBorders>
            <w:vAlign w:val="center"/>
          </w:tcPr>
          <w:p w14:paraId="67F21163">
            <w:pPr>
              <w:adjustRightInd w:val="0"/>
              <w:snapToGrid w:val="0"/>
              <w:jc w:val="center"/>
              <w:rPr>
                <w:color w:val="auto"/>
                <w:szCs w:val="21"/>
              </w:rPr>
            </w:pPr>
          </w:p>
        </w:tc>
        <w:tc>
          <w:tcPr>
            <w:tcW w:w="240" w:type="pct"/>
            <w:vMerge w:val="continue"/>
            <w:tcBorders>
              <w:tl2br w:val="nil"/>
              <w:tr2bl w:val="nil"/>
            </w:tcBorders>
            <w:vAlign w:val="center"/>
          </w:tcPr>
          <w:p w14:paraId="4C91E904">
            <w:pPr>
              <w:adjustRightInd w:val="0"/>
              <w:snapToGrid w:val="0"/>
              <w:jc w:val="center"/>
              <w:rPr>
                <w:color w:val="auto"/>
                <w:szCs w:val="21"/>
              </w:rPr>
            </w:pPr>
          </w:p>
        </w:tc>
        <w:tc>
          <w:tcPr>
            <w:tcW w:w="351" w:type="pct"/>
            <w:vMerge w:val="continue"/>
            <w:tcBorders>
              <w:tl2br w:val="nil"/>
              <w:tr2bl w:val="nil"/>
            </w:tcBorders>
            <w:vAlign w:val="center"/>
          </w:tcPr>
          <w:p w14:paraId="14A5276E">
            <w:pPr>
              <w:adjustRightInd w:val="0"/>
              <w:snapToGrid w:val="0"/>
              <w:jc w:val="center"/>
              <w:rPr>
                <w:color w:val="auto"/>
                <w:szCs w:val="21"/>
              </w:rPr>
            </w:pPr>
          </w:p>
        </w:tc>
        <w:tc>
          <w:tcPr>
            <w:tcW w:w="408" w:type="pct"/>
            <w:vMerge w:val="continue"/>
            <w:tcBorders>
              <w:tl2br w:val="nil"/>
              <w:tr2bl w:val="nil"/>
            </w:tcBorders>
            <w:vAlign w:val="center"/>
          </w:tcPr>
          <w:p w14:paraId="1EE66CCC">
            <w:pPr>
              <w:adjustRightInd w:val="0"/>
              <w:snapToGrid w:val="0"/>
              <w:jc w:val="center"/>
              <w:rPr>
                <w:color w:val="auto"/>
                <w:szCs w:val="21"/>
              </w:rPr>
            </w:pPr>
          </w:p>
        </w:tc>
        <w:tc>
          <w:tcPr>
            <w:tcW w:w="355" w:type="pct"/>
            <w:vMerge w:val="continue"/>
            <w:tcBorders>
              <w:tl2br w:val="nil"/>
              <w:tr2bl w:val="nil"/>
            </w:tcBorders>
            <w:vAlign w:val="center"/>
          </w:tcPr>
          <w:p w14:paraId="08E88CAE">
            <w:pPr>
              <w:adjustRightInd w:val="0"/>
              <w:snapToGrid w:val="0"/>
              <w:jc w:val="center"/>
              <w:rPr>
                <w:color w:val="auto"/>
                <w:szCs w:val="21"/>
              </w:rPr>
            </w:pPr>
          </w:p>
        </w:tc>
        <w:tc>
          <w:tcPr>
            <w:tcW w:w="283" w:type="pct"/>
            <w:vMerge w:val="continue"/>
            <w:tcBorders>
              <w:tl2br w:val="nil"/>
              <w:tr2bl w:val="nil"/>
            </w:tcBorders>
            <w:vAlign w:val="center"/>
          </w:tcPr>
          <w:p w14:paraId="5C699606">
            <w:pPr>
              <w:adjustRightInd w:val="0"/>
              <w:snapToGrid w:val="0"/>
              <w:jc w:val="center"/>
              <w:rPr>
                <w:color w:val="auto"/>
                <w:szCs w:val="21"/>
              </w:rPr>
            </w:pPr>
          </w:p>
        </w:tc>
        <w:tc>
          <w:tcPr>
            <w:tcW w:w="307" w:type="pct"/>
            <w:vMerge w:val="continue"/>
            <w:tcBorders>
              <w:tl2br w:val="nil"/>
              <w:tr2bl w:val="nil"/>
            </w:tcBorders>
            <w:vAlign w:val="center"/>
          </w:tcPr>
          <w:p w14:paraId="59AD4177">
            <w:pPr>
              <w:adjustRightInd w:val="0"/>
              <w:snapToGrid w:val="0"/>
              <w:jc w:val="center"/>
              <w:rPr>
                <w:color w:val="auto"/>
                <w:szCs w:val="21"/>
              </w:rPr>
            </w:pPr>
          </w:p>
        </w:tc>
        <w:tc>
          <w:tcPr>
            <w:tcW w:w="296" w:type="pct"/>
            <w:vMerge w:val="continue"/>
            <w:tcBorders>
              <w:tl2br w:val="nil"/>
              <w:tr2bl w:val="nil"/>
            </w:tcBorders>
            <w:vAlign w:val="center"/>
          </w:tcPr>
          <w:p w14:paraId="66B5518A">
            <w:pPr>
              <w:adjustRightInd w:val="0"/>
              <w:snapToGrid w:val="0"/>
              <w:jc w:val="center"/>
              <w:rPr>
                <w:color w:val="auto"/>
                <w:szCs w:val="21"/>
              </w:rPr>
            </w:pPr>
          </w:p>
        </w:tc>
        <w:tc>
          <w:tcPr>
            <w:tcW w:w="325" w:type="pct"/>
            <w:tcBorders>
              <w:tl2br w:val="nil"/>
              <w:tr2bl w:val="nil"/>
            </w:tcBorders>
            <w:vAlign w:val="center"/>
          </w:tcPr>
          <w:p w14:paraId="5505F6C5">
            <w:pPr>
              <w:jc w:val="center"/>
              <w:rPr>
                <w:color w:val="auto"/>
                <w:szCs w:val="21"/>
              </w:rPr>
            </w:pPr>
            <w:r>
              <w:rPr>
                <w:color w:val="auto"/>
                <w:szCs w:val="21"/>
              </w:rPr>
              <w:t>北</w:t>
            </w:r>
          </w:p>
        </w:tc>
        <w:tc>
          <w:tcPr>
            <w:tcW w:w="343" w:type="pct"/>
            <w:tcBorders>
              <w:tl2br w:val="nil"/>
              <w:tr2bl w:val="nil"/>
            </w:tcBorders>
            <w:vAlign w:val="center"/>
          </w:tcPr>
          <w:p w14:paraId="60D8C306">
            <w:pPr>
              <w:adjustRightInd w:val="0"/>
              <w:snapToGrid w:val="0"/>
              <w:jc w:val="center"/>
              <w:rPr>
                <w:color w:val="auto"/>
                <w:szCs w:val="21"/>
              </w:rPr>
            </w:pPr>
            <w:r>
              <w:rPr>
                <w:color w:val="auto"/>
                <w:szCs w:val="21"/>
              </w:rPr>
              <w:t>3</w:t>
            </w:r>
            <w:r>
              <w:rPr>
                <w:rFonts w:hint="eastAsia"/>
                <w:color w:val="auto"/>
                <w:szCs w:val="21"/>
              </w:rPr>
              <w:t>60</w:t>
            </w:r>
          </w:p>
        </w:tc>
        <w:tc>
          <w:tcPr>
            <w:tcW w:w="466" w:type="pct"/>
            <w:tcBorders>
              <w:tl2br w:val="nil"/>
              <w:tr2bl w:val="nil"/>
            </w:tcBorders>
            <w:vAlign w:val="center"/>
          </w:tcPr>
          <w:p w14:paraId="76BEA6C0">
            <w:pPr>
              <w:adjustRightInd w:val="0"/>
              <w:snapToGrid w:val="0"/>
              <w:jc w:val="center"/>
              <w:rPr>
                <w:color w:val="auto"/>
                <w:szCs w:val="21"/>
              </w:rPr>
            </w:pPr>
            <w:r>
              <w:rPr>
                <w:rFonts w:hint="eastAsia"/>
                <w:color w:val="auto"/>
                <w:szCs w:val="21"/>
              </w:rPr>
              <w:t>33.87</w:t>
            </w:r>
          </w:p>
        </w:tc>
        <w:tc>
          <w:tcPr>
            <w:tcW w:w="247" w:type="pct"/>
            <w:vMerge w:val="continue"/>
            <w:tcBorders>
              <w:tl2br w:val="nil"/>
              <w:tr2bl w:val="nil"/>
            </w:tcBorders>
            <w:vAlign w:val="center"/>
          </w:tcPr>
          <w:p w14:paraId="0B101155">
            <w:pPr>
              <w:adjustRightInd w:val="0"/>
              <w:snapToGrid w:val="0"/>
              <w:jc w:val="center"/>
              <w:rPr>
                <w:color w:val="auto"/>
                <w:szCs w:val="21"/>
              </w:rPr>
            </w:pPr>
          </w:p>
        </w:tc>
        <w:tc>
          <w:tcPr>
            <w:tcW w:w="409" w:type="pct"/>
            <w:vMerge w:val="continue"/>
            <w:tcBorders>
              <w:tl2br w:val="nil"/>
              <w:tr2bl w:val="nil"/>
            </w:tcBorders>
            <w:vAlign w:val="center"/>
          </w:tcPr>
          <w:p w14:paraId="0275ADD8">
            <w:pPr>
              <w:adjustRightInd w:val="0"/>
              <w:snapToGrid w:val="0"/>
              <w:jc w:val="center"/>
              <w:rPr>
                <w:color w:val="auto"/>
                <w:szCs w:val="21"/>
              </w:rPr>
            </w:pPr>
          </w:p>
        </w:tc>
        <w:tc>
          <w:tcPr>
            <w:tcW w:w="1153" w:type="dxa"/>
            <w:tcBorders>
              <w:tl2br w:val="nil"/>
              <w:tr2bl w:val="nil"/>
            </w:tcBorders>
            <w:vAlign w:val="center"/>
          </w:tcPr>
          <w:p w14:paraId="779AE147">
            <w:pPr>
              <w:adjustRightInd w:val="0"/>
              <w:snapToGrid w:val="0"/>
              <w:jc w:val="center"/>
              <w:rPr>
                <w:color w:val="auto"/>
                <w:szCs w:val="21"/>
              </w:rPr>
            </w:pPr>
            <w:r>
              <w:rPr>
                <w:rFonts w:hint="eastAsia"/>
                <w:color w:val="auto"/>
                <w:szCs w:val="21"/>
              </w:rPr>
              <w:t>28.87</w:t>
            </w:r>
          </w:p>
        </w:tc>
        <w:tc>
          <w:tcPr>
            <w:tcW w:w="319" w:type="pct"/>
            <w:tcBorders>
              <w:tl2br w:val="nil"/>
              <w:tr2bl w:val="nil"/>
            </w:tcBorders>
            <w:vAlign w:val="center"/>
          </w:tcPr>
          <w:p w14:paraId="0BC14846">
            <w:pPr>
              <w:adjustRightInd w:val="0"/>
              <w:snapToGrid w:val="0"/>
              <w:jc w:val="center"/>
              <w:rPr>
                <w:color w:val="auto"/>
                <w:szCs w:val="21"/>
              </w:rPr>
            </w:pPr>
            <w:r>
              <w:rPr>
                <w:color w:val="auto"/>
                <w:szCs w:val="21"/>
              </w:rPr>
              <w:t>1</w:t>
            </w:r>
          </w:p>
        </w:tc>
      </w:tr>
      <w:tr w14:paraId="08F9F2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000" w:type="pct"/>
            <w:gridSpan w:val="15"/>
            <w:tcBorders>
              <w:tl2br w:val="nil"/>
              <w:tr2bl w:val="nil"/>
            </w:tcBorders>
            <w:vAlign w:val="center"/>
          </w:tcPr>
          <w:p w14:paraId="0B34F078">
            <w:pPr>
              <w:adjustRightInd w:val="0"/>
              <w:snapToGrid w:val="0"/>
              <w:jc w:val="center"/>
              <w:rPr>
                <w:b/>
                <w:bCs/>
                <w:color w:val="auto"/>
                <w:szCs w:val="21"/>
              </w:rPr>
            </w:pPr>
            <w:r>
              <w:rPr>
                <w:b/>
                <w:bCs/>
                <w:color w:val="auto"/>
                <w:szCs w:val="21"/>
              </w:rPr>
              <w:t>注：以厂区东北角为中心（0,0,0）</w:t>
            </w:r>
          </w:p>
        </w:tc>
      </w:tr>
    </w:tbl>
    <w:p w14:paraId="77C9A65C">
      <w:pPr>
        <w:pStyle w:val="23"/>
        <w:jc w:val="both"/>
        <w:rPr>
          <w:rFonts w:hint="eastAsia" w:ascii="黑体" w:hAnsi="黑体" w:eastAsia="黑体"/>
          <w:snapToGrid w:val="0"/>
          <w:color w:val="auto"/>
          <w:sz w:val="36"/>
          <w:szCs w:val="36"/>
        </w:rPr>
        <w:sectPr>
          <w:pgSz w:w="16838" w:h="11906" w:orient="landscape"/>
          <w:pgMar w:top="1800" w:right="1440" w:bottom="1800" w:left="1440" w:header="851" w:footer="1077" w:gutter="0"/>
          <w:cols w:space="720" w:num="1"/>
          <w:docGrid w:linePitch="312" w:charSpace="0"/>
        </w:sectPr>
      </w:pPr>
    </w:p>
    <w:tbl>
      <w:tblPr>
        <w:tblStyle w:val="27"/>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7994"/>
      </w:tblGrid>
      <w:tr w14:paraId="0B61D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4" w:hRule="atLeast"/>
          <w:jc w:val="center"/>
        </w:trPr>
        <w:tc>
          <w:tcPr>
            <w:tcW w:w="427" w:type="dxa"/>
            <w:tcMar>
              <w:left w:w="28" w:type="dxa"/>
              <w:right w:w="28" w:type="dxa"/>
            </w:tcMar>
            <w:vAlign w:val="center"/>
          </w:tcPr>
          <w:p w14:paraId="0E000C3D">
            <w:pPr>
              <w:widowControl/>
              <w:adjustRightInd w:val="0"/>
              <w:snapToGrid w:val="0"/>
              <w:jc w:val="center"/>
              <w:rPr>
                <w:rFonts w:hint="eastAsia" w:ascii="宋体" w:hAnsi="宋体" w:cs="宋体"/>
                <w:bCs/>
                <w:color w:val="auto"/>
                <w:szCs w:val="21"/>
              </w:rPr>
            </w:pPr>
            <w:bookmarkStart w:id="31" w:name="_Toc21852"/>
            <w:r>
              <w:rPr>
                <w:rFonts w:hint="eastAsia" w:ascii="宋体" w:hAnsi="宋体" w:cs="宋体"/>
                <w:bCs/>
                <w:color w:val="auto"/>
                <w:spacing w:val="10"/>
                <w:sz w:val="24"/>
              </w:rPr>
              <w:t>运营期生态环境影响分析</w:t>
            </w:r>
          </w:p>
        </w:tc>
        <w:tc>
          <w:tcPr>
            <w:tcW w:w="8015" w:type="dxa"/>
          </w:tcPr>
          <w:p w14:paraId="32E23A88">
            <w:pPr>
              <w:spacing w:line="360" w:lineRule="auto"/>
              <w:ind w:firstLine="480" w:firstLineChars="200"/>
              <w:rPr>
                <w:color w:val="auto"/>
                <w:sz w:val="24"/>
              </w:rPr>
            </w:pPr>
            <w:r>
              <w:rPr>
                <w:color w:val="auto"/>
                <w:sz w:val="24"/>
              </w:rPr>
              <w:t>（1）噪声预测模式及参数</w:t>
            </w:r>
          </w:p>
          <w:p w14:paraId="2BEC39FE">
            <w:pPr>
              <w:spacing w:line="360" w:lineRule="auto"/>
              <w:ind w:firstLine="480"/>
              <w:rPr>
                <w:color w:val="auto"/>
                <w:sz w:val="24"/>
              </w:rPr>
            </w:pPr>
            <w:r>
              <w:rPr>
                <w:color w:val="auto"/>
                <w:sz w:val="24"/>
              </w:rPr>
              <w:t>根据《环境影响评价技术导则 声环境》（HJ2.4—2021）中对噪声源强的分类，项目噪声源强按声源性质可以分为流动声源和固定声源两大类，机动车辆为流动声源，场内固定的产生噪声设备为固定声源。在本项目中，项目工业噪声源强均为固定声源。因此，本项目根据导则对工业噪声预测。</w:t>
            </w:r>
          </w:p>
          <w:p w14:paraId="20797CCC">
            <w:pPr>
              <w:spacing w:line="360" w:lineRule="auto"/>
              <w:ind w:firstLine="480"/>
              <w:rPr>
                <w:color w:val="auto"/>
                <w:sz w:val="24"/>
              </w:rPr>
            </w:pPr>
            <w:r>
              <w:rPr>
                <w:color w:val="auto"/>
                <w:sz w:val="24"/>
              </w:rPr>
              <w:t>①噪声源源强的选择原则</w:t>
            </w:r>
          </w:p>
          <w:p w14:paraId="6FB56870">
            <w:pPr>
              <w:spacing w:line="360" w:lineRule="auto"/>
              <w:ind w:firstLine="480"/>
              <w:rPr>
                <w:color w:val="auto"/>
                <w:sz w:val="24"/>
              </w:rPr>
            </w:pPr>
            <w:r>
              <w:rPr>
                <w:color w:val="auto"/>
                <w:sz w:val="24"/>
              </w:rPr>
              <w:t>A、本项目噪声源较简单，有部分属于强噪声设备，有些设备噪声给出的声压级有一个范围，本次评价预测时按</w:t>
            </w:r>
            <w:r>
              <w:rPr>
                <w:rFonts w:hint="eastAsia"/>
                <w:color w:val="auto"/>
                <w:sz w:val="24"/>
              </w:rPr>
              <w:t>最大</w:t>
            </w:r>
            <w:r>
              <w:rPr>
                <w:color w:val="auto"/>
                <w:sz w:val="24"/>
              </w:rPr>
              <w:t>值考虑。</w:t>
            </w:r>
          </w:p>
          <w:p w14:paraId="1D7471B9">
            <w:pPr>
              <w:spacing w:line="360" w:lineRule="auto"/>
              <w:ind w:firstLine="480"/>
              <w:rPr>
                <w:color w:val="auto"/>
                <w:sz w:val="24"/>
              </w:rPr>
            </w:pPr>
            <w:r>
              <w:rPr>
                <w:color w:val="auto"/>
                <w:sz w:val="24"/>
              </w:rPr>
              <w:t>B、高噪声设备和低噪声设备的户外噪声级相差较大，按照噪声级叠加规律，相差10dB以上的多个噪声源，可不用考虑低噪声的影响。因此，本次评价在预测时按此规律筛选，只考虑高噪声设备的影响。</w:t>
            </w:r>
          </w:p>
          <w:p w14:paraId="173B8261">
            <w:pPr>
              <w:spacing w:line="360" w:lineRule="auto"/>
              <w:ind w:firstLine="480"/>
              <w:rPr>
                <w:color w:val="auto"/>
                <w:sz w:val="24"/>
              </w:rPr>
            </w:pPr>
            <w:r>
              <w:rPr>
                <w:color w:val="auto"/>
                <w:sz w:val="24"/>
              </w:rPr>
              <w:t>②预测模式的选取</w:t>
            </w:r>
          </w:p>
          <w:p w14:paraId="6105713E">
            <w:pPr>
              <w:spacing w:line="360" w:lineRule="auto"/>
              <w:ind w:firstLine="480"/>
              <w:rPr>
                <w:color w:val="auto"/>
                <w:sz w:val="24"/>
              </w:rPr>
            </w:pPr>
            <w:r>
              <w:rPr>
                <w:color w:val="auto"/>
                <w:sz w:val="24"/>
              </w:rPr>
              <w:t>根据《环境影响评价技术导则 声环境》（HJ2.4-2021）的技术要求，本次评价采取导则上推荐模式。</w:t>
            </w:r>
          </w:p>
          <w:p w14:paraId="28D64598">
            <w:pPr>
              <w:spacing w:line="360" w:lineRule="auto"/>
              <w:ind w:firstLine="480"/>
              <w:rPr>
                <w:color w:val="auto"/>
                <w:sz w:val="24"/>
              </w:rPr>
            </w:pPr>
            <w:r>
              <w:rPr>
                <w:color w:val="auto"/>
                <w:sz w:val="24"/>
              </w:rPr>
              <w:t>A、声级计算</w:t>
            </w:r>
          </w:p>
          <w:p w14:paraId="3F38AB8A">
            <w:pPr>
              <w:spacing w:line="360" w:lineRule="auto"/>
              <w:ind w:firstLine="480"/>
              <w:rPr>
                <w:color w:val="auto"/>
                <w:sz w:val="24"/>
              </w:rPr>
            </w:pPr>
            <w:r>
              <w:rPr>
                <w:color w:val="auto"/>
                <w:sz w:val="24"/>
              </w:rPr>
              <w:t>建设项目声源在预测点产生的等效声级贡献值（Leqg）计算公式：</w:t>
            </w:r>
          </w:p>
          <w:p w14:paraId="7C19A65E">
            <w:pPr>
              <w:spacing w:line="360" w:lineRule="auto"/>
              <w:jc w:val="center"/>
              <w:rPr>
                <w:color w:val="auto"/>
                <w:sz w:val="24"/>
              </w:rPr>
            </w:pPr>
            <w:r>
              <w:rPr>
                <w:color w:val="auto"/>
                <w:position w:val="-28"/>
                <w:sz w:val="24"/>
              </w:rPr>
              <w:object>
                <v:shape id="_x0000_i1028" o:spt="75" type="#_x0000_t75" style="height:38pt;width:141pt;" o:ole="t" filled="f" o:preferrelative="t" stroked="f" coordsize="21600,21600">
                  <v:path/>
                  <v:fill on="f" focussize="0,0"/>
                  <v:stroke on="f" joinstyle="miter"/>
                  <v:imagedata r:id="rId47" o:title=""/>
                  <o:lock v:ext="edit" aspectratio="t"/>
                  <w10:wrap type="none"/>
                  <w10:anchorlock/>
                </v:shape>
                <o:OLEObject Type="Embed" ProgID="Equation.3" ShapeID="_x0000_i1028" DrawAspect="Content" ObjectID="_1468075728" r:id="rId46">
                  <o:LockedField>false</o:LockedField>
                </o:OLEObject>
              </w:object>
            </w:r>
          </w:p>
          <w:p w14:paraId="7F107129">
            <w:pPr>
              <w:spacing w:line="360" w:lineRule="auto"/>
              <w:ind w:firstLine="480"/>
              <w:rPr>
                <w:color w:val="auto"/>
                <w:sz w:val="24"/>
              </w:rPr>
            </w:pPr>
            <w:r>
              <w:rPr>
                <w:color w:val="auto"/>
                <w:sz w:val="24"/>
              </w:rPr>
              <w:t>式中：</w:t>
            </w:r>
          </w:p>
          <w:p w14:paraId="34D22C67">
            <w:pPr>
              <w:spacing w:line="360" w:lineRule="auto"/>
              <w:ind w:firstLine="480"/>
              <w:rPr>
                <w:color w:val="auto"/>
                <w:sz w:val="24"/>
              </w:rPr>
            </w:pPr>
            <w:r>
              <w:rPr>
                <w:color w:val="auto"/>
                <w:sz w:val="24"/>
              </w:rPr>
              <w:t>L</w:t>
            </w:r>
            <w:r>
              <w:rPr>
                <w:color w:val="auto"/>
                <w:sz w:val="24"/>
                <w:vertAlign w:val="subscript"/>
              </w:rPr>
              <w:t>eqg</w:t>
            </w:r>
            <w:r>
              <w:rPr>
                <w:color w:val="auto"/>
                <w:sz w:val="24"/>
              </w:rPr>
              <w:t>——噪声贡献值，dB；</w:t>
            </w:r>
          </w:p>
          <w:p w14:paraId="7DFE44A7">
            <w:pPr>
              <w:spacing w:line="360" w:lineRule="auto"/>
              <w:ind w:firstLine="480"/>
              <w:rPr>
                <w:color w:val="auto"/>
                <w:sz w:val="24"/>
              </w:rPr>
            </w:pPr>
            <w:r>
              <w:rPr>
                <w:color w:val="auto"/>
                <w:sz w:val="24"/>
              </w:rPr>
              <w:t>T——预测计算的时间段，S;</w:t>
            </w:r>
          </w:p>
          <w:p w14:paraId="1E9CC7AF">
            <w:pPr>
              <w:spacing w:line="360" w:lineRule="auto"/>
              <w:ind w:firstLine="480"/>
              <w:rPr>
                <w:color w:val="auto"/>
                <w:sz w:val="24"/>
              </w:rPr>
            </w:pPr>
            <w:r>
              <w:rPr>
                <w:color w:val="auto"/>
                <w:sz w:val="24"/>
              </w:rPr>
              <w:t>t</w:t>
            </w:r>
            <w:r>
              <w:rPr>
                <w:color w:val="auto"/>
                <w:sz w:val="24"/>
                <w:vertAlign w:val="subscript"/>
              </w:rPr>
              <w:t>i</w:t>
            </w:r>
            <w:r>
              <w:rPr>
                <w:color w:val="auto"/>
                <w:sz w:val="24"/>
              </w:rPr>
              <w:t>——i声源在T时段内的运行时间，S;</w:t>
            </w:r>
          </w:p>
          <w:p w14:paraId="7FA558B7">
            <w:pPr>
              <w:spacing w:line="360" w:lineRule="auto"/>
              <w:ind w:firstLine="480"/>
              <w:rPr>
                <w:color w:val="auto"/>
                <w:sz w:val="24"/>
              </w:rPr>
            </w:pPr>
            <w:r>
              <w:rPr>
                <w:color w:val="auto"/>
                <w:sz w:val="24"/>
              </w:rPr>
              <w:t>LAi ——i 声源在预测点产生的A声级，dB。</w:t>
            </w:r>
          </w:p>
          <w:p w14:paraId="05496403">
            <w:pPr>
              <w:spacing w:line="360" w:lineRule="auto"/>
              <w:ind w:firstLine="480"/>
              <w:rPr>
                <w:color w:val="auto"/>
                <w:sz w:val="24"/>
              </w:rPr>
            </w:pPr>
            <w:r>
              <w:rPr>
                <w:color w:val="auto"/>
                <w:sz w:val="24"/>
              </w:rPr>
              <w:t>B、预测点的预测等效声级(Leq )计算公式：</w:t>
            </w:r>
          </w:p>
          <w:p w14:paraId="6B8E808F">
            <w:pPr>
              <w:spacing w:line="360" w:lineRule="auto"/>
              <w:jc w:val="center"/>
              <w:rPr>
                <w:color w:val="auto"/>
                <w:sz w:val="24"/>
              </w:rPr>
            </w:pPr>
            <w:r>
              <w:rPr>
                <w:color w:val="auto"/>
                <w:position w:val="-14"/>
                <w:sz w:val="24"/>
              </w:rPr>
              <w:object>
                <v:shape id="_x0000_i1029" o:spt="75" type="#_x0000_t75" style="height:20pt;width:143pt;" o:ole="t" filled="f" o:preferrelative="t" stroked="f" coordsize="21600,21600">
                  <v:path/>
                  <v:fill on="f" focussize="0,0"/>
                  <v:stroke on="f" joinstyle="miter"/>
                  <v:imagedata r:id="rId49" o:title=""/>
                  <o:lock v:ext="edit" aspectratio="t"/>
                  <w10:wrap type="none"/>
                  <w10:anchorlock/>
                </v:shape>
                <o:OLEObject Type="Embed" ProgID="Equation.3" ShapeID="_x0000_i1029" DrawAspect="Content" ObjectID="_1468075729" r:id="rId48">
                  <o:LockedField>false</o:LockedField>
                </o:OLEObject>
              </w:object>
            </w:r>
          </w:p>
          <w:p w14:paraId="54E6D400">
            <w:pPr>
              <w:spacing w:line="360" w:lineRule="auto"/>
              <w:ind w:firstLine="540" w:firstLineChars="225"/>
              <w:rPr>
                <w:color w:val="auto"/>
                <w:sz w:val="24"/>
              </w:rPr>
            </w:pPr>
            <w:r>
              <w:rPr>
                <w:color w:val="auto"/>
                <w:sz w:val="24"/>
              </w:rPr>
              <w:t>式中：</w:t>
            </w:r>
          </w:p>
          <w:p w14:paraId="365FED20">
            <w:pPr>
              <w:spacing w:line="360" w:lineRule="auto"/>
              <w:ind w:firstLine="540" w:firstLineChars="225"/>
              <w:rPr>
                <w:color w:val="auto"/>
                <w:sz w:val="24"/>
              </w:rPr>
            </w:pPr>
            <w:r>
              <w:rPr>
                <w:color w:val="auto"/>
                <w:sz w:val="24"/>
              </w:rPr>
              <w:t>L</w:t>
            </w:r>
            <w:r>
              <w:rPr>
                <w:color w:val="auto"/>
                <w:sz w:val="24"/>
                <w:vertAlign w:val="subscript"/>
              </w:rPr>
              <w:t>eq</w:t>
            </w:r>
            <w:r>
              <w:rPr>
                <w:color w:val="auto"/>
                <w:sz w:val="24"/>
              </w:rPr>
              <w:t>—预测点的总等效声级，dB；</w:t>
            </w:r>
          </w:p>
          <w:p w14:paraId="1918B866">
            <w:pPr>
              <w:spacing w:line="360" w:lineRule="auto"/>
              <w:ind w:firstLine="540" w:firstLineChars="225"/>
              <w:rPr>
                <w:color w:val="auto"/>
                <w:sz w:val="24"/>
              </w:rPr>
            </w:pPr>
            <w:r>
              <w:rPr>
                <w:color w:val="auto"/>
                <w:sz w:val="24"/>
              </w:rPr>
              <w:t>L</w:t>
            </w:r>
            <w:r>
              <w:rPr>
                <w:color w:val="auto"/>
                <w:sz w:val="24"/>
                <w:vertAlign w:val="subscript"/>
              </w:rPr>
              <w:t>eqg</w:t>
            </w:r>
            <w:r>
              <w:rPr>
                <w:color w:val="auto"/>
                <w:sz w:val="24"/>
              </w:rPr>
              <w:t xml:space="preserve">——建设项目声源在预测点的等效声级贡献值，dB； </w:t>
            </w:r>
          </w:p>
          <w:p w14:paraId="6466D760">
            <w:pPr>
              <w:spacing w:line="360" w:lineRule="auto"/>
              <w:ind w:firstLine="540" w:firstLineChars="225"/>
              <w:rPr>
                <w:color w:val="auto"/>
                <w:sz w:val="24"/>
              </w:rPr>
            </w:pPr>
            <w:r>
              <w:rPr>
                <w:color w:val="auto"/>
                <w:sz w:val="24"/>
              </w:rPr>
              <w:t>L</w:t>
            </w:r>
            <w:r>
              <w:rPr>
                <w:color w:val="auto"/>
                <w:sz w:val="24"/>
                <w:vertAlign w:val="subscript"/>
              </w:rPr>
              <w:t>eqb</w:t>
            </w:r>
            <w:r>
              <w:rPr>
                <w:color w:val="auto"/>
                <w:sz w:val="24"/>
              </w:rPr>
              <w:t>——预测点的背景值，dB。</w:t>
            </w:r>
          </w:p>
          <w:p w14:paraId="5861722A">
            <w:pPr>
              <w:adjustRightInd w:val="0"/>
              <w:snapToGrid w:val="0"/>
              <w:spacing w:line="360" w:lineRule="auto"/>
              <w:ind w:firstLine="480" w:firstLineChars="200"/>
              <w:rPr>
                <w:bCs/>
                <w:color w:val="auto"/>
                <w:sz w:val="24"/>
                <w:szCs w:val="20"/>
              </w:rPr>
            </w:pPr>
            <w:r>
              <w:rPr>
                <w:bCs/>
                <w:color w:val="auto"/>
                <w:sz w:val="24"/>
                <w:szCs w:val="20"/>
              </w:rPr>
              <w:t>C、户外声传播衰减计算</w:t>
            </w:r>
          </w:p>
          <w:p w14:paraId="2D658B80">
            <w:pPr>
              <w:adjustRightInd w:val="0"/>
              <w:snapToGrid w:val="0"/>
              <w:spacing w:line="360" w:lineRule="auto"/>
              <w:ind w:firstLine="480" w:firstLineChars="200"/>
              <w:rPr>
                <w:bCs/>
                <w:color w:val="auto"/>
                <w:sz w:val="24"/>
                <w:szCs w:val="20"/>
              </w:rPr>
            </w:pPr>
            <w:r>
              <w:rPr>
                <w:bCs/>
                <w:color w:val="auto"/>
                <w:sz w:val="24"/>
                <w:szCs w:val="20"/>
              </w:rPr>
              <w:t>户外声传播衰减包括几何发散（Adiv）、大气吸收（Aatm）、地面效应（Agr）屏障屏蔽（Abar）、其他多方面效应（Amisc）引起的衰减。距声源点 r 处的 A 声级按下式计算：</w:t>
            </w:r>
          </w:p>
          <w:p w14:paraId="2BA589F7">
            <w:pPr>
              <w:adjustRightInd w:val="0"/>
              <w:snapToGrid w:val="0"/>
              <w:spacing w:line="360" w:lineRule="auto"/>
              <w:jc w:val="center"/>
              <w:rPr>
                <w:bCs/>
                <w:color w:val="auto"/>
                <w:sz w:val="24"/>
                <w:szCs w:val="20"/>
              </w:rPr>
            </w:pPr>
            <w:r>
              <w:rPr>
                <w:bCs/>
                <w:color w:val="auto"/>
                <w:sz w:val="24"/>
                <w:szCs w:val="20"/>
              </w:rPr>
              <w:t>Lp（r）=Lp（r0）-（Adiv + Aatm + Agr + Abar + Amisc）</w:t>
            </w:r>
          </w:p>
          <w:p w14:paraId="08AA81C1">
            <w:pPr>
              <w:adjustRightInd w:val="0"/>
              <w:snapToGrid w:val="0"/>
              <w:spacing w:line="360" w:lineRule="auto"/>
              <w:ind w:firstLine="480" w:firstLineChars="200"/>
              <w:rPr>
                <w:bCs/>
                <w:color w:val="auto"/>
                <w:sz w:val="24"/>
                <w:szCs w:val="20"/>
              </w:rPr>
            </w:pPr>
            <w:r>
              <w:rPr>
                <w:bCs/>
                <w:color w:val="auto"/>
                <w:sz w:val="24"/>
                <w:szCs w:val="20"/>
              </w:rPr>
              <w:t>在预测中考虑大气吸收衰减、室内声源等效室外声源等影响和计算方法。</w:t>
            </w:r>
          </w:p>
          <w:p w14:paraId="1040855C">
            <w:pPr>
              <w:adjustRightInd w:val="0"/>
              <w:snapToGrid w:val="0"/>
              <w:spacing w:line="360" w:lineRule="auto"/>
              <w:ind w:firstLine="480" w:firstLineChars="200"/>
              <w:rPr>
                <w:color w:val="auto"/>
                <w:sz w:val="24"/>
              </w:rPr>
            </w:pPr>
            <w:r>
              <w:rPr>
                <w:color w:val="auto"/>
                <w:sz w:val="24"/>
              </w:rPr>
              <w:t>（2）预测结果</w:t>
            </w:r>
          </w:p>
          <w:p w14:paraId="1648CF66">
            <w:pPr>
              <w:adjustRightInd w:val="0"/>
              <w:snapToGrid w:val="0"/>
              <w:spacing w:line="360" w:lineRule="auto"/>
              <w:ind w:firstLine="480" w:firstLineChars="200"/>
              <w:rPr>
                <w:color w:val="auto"/>
                <w:sz w:val="24"/>
              </w:rPr>
            </w:pPr>
            <w:r>
              <w:rPr>
                <w:color w:val="auto"/>
                <w:sz w:val="24"/>
              </w:rPr>
              <w:t>本项目昼间生产，经计算，工程建成后的厂界噪声值预测见下表4-1</w:t>
            </w:r>
            <w:r>
              <w:rPr>
                <w:rFonts w:hint="eastAsia"/>
                <w:color w:val="auto"/>
                <w:sz w:val="24"/>
              </w:rPr>
              <w:t>2</w:t>
            </w:r>
            <w:r>
              <w:rPr>
                <w:color w:val="auto"/>
                <w:sz w:val="24"/>
              </w:rPr>
              <w:t>。</w:t>
            </w:r>
          </w:p>
          <w:p w14:paraId="02493FA5">
            <w:pPr>
              <w:adjustRightInd w:val="0"/>
              <w:snapToGrid w:val="0"/>
              <w:jc w:val="center"/>
              <w:rPr>
                <w:b/>
                <w:color w:val="auto"/>
                <w:szCs w:val="21"/>
              </w:rPr>
            </w:pPr>
            <w:r>
              <w:rPr>
                <w:b/>
                <w:color w:val="auto"/>
                <w:szCs w:val="21"/>
              </w:rPr>
              <w:t>表4-</w:t>
            </w:r>
            <w:r>
              <w:rPr>
                <w:rFonts w:hint="eastAsia"/>
                <w:b/>
                <w:color w:val="auto"/>
                <w:szCs w:val="21"/>
              </w:rPr>
              <w:t>12</w:t>
            </w:r>
            <w:r>
              <w:rPr>
                <w:b/>
                <w:color w:val="auto"/>
                <w:szCs w:val="21"/>
              </w:rPr>
              <w:t xml:space="preserve">   厂界噪声预测结果与达标分析表</w:t>
            </w:r>
          </w:p>
          <w:tbl>
            <w:tblPr>
              <w:tblStyle w:val="27"/>
              <w:tblW w:w="776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457"/>
              <w:gridCol w:w="596"/>
              <w:gridCol w:w="547"/>
              <w:gridCol w:w="660"/>
              <w:gridCol w:w="612"/>
              <w:gridCol w:w="1304"/>
              <w:gridCol w:w="1699"/>
              <w:gridCol w:w="873"/>
            </w:tblGrid>
            <w:tr w14:paraId="651BA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vMerge w:val="restart"/>
                  <w:noWrap/>
                  <w:vAlign w:val="center"/>
                </w:tcPr>
                <w:p w14:paraId="4F1B4A46">
                  <w:pPr>
                    <w:jc w:val="center"/>
                    <w:rPr>
                      <w:b/>
                      <w:bCs/>
                      <w:color w:val="auto"/>
                      <w:szCs w:val="21"/>
                    </w:rPr>
                  </w:pPr>
                  <w:r>
                    <w:rPr>
                      <w:b/>
                      <w:bCs/>
                      <w:color w:val="auto"/>
                      <w:szCs w:val="21"/>
                    </w:rPr>
                    <w:t>预测位置</w:t>
                  </w:r>
                </w:p>
              </w:tc>
              <w:tc>
                <w:tcPr>
                  <w:tcW w:w="1806" w:type="dxa"/>
                  <w:gridSpan w:val="3"/>
                  <w:noWrap/>
                  <w:vAlign w:val="center"/>
                </w:tcPr>
                <w:p w14:paraId="64FD3526">
                  <w:pPr>
                    <w:jc w:val="center"/>
                    <w:rPr>
                      <w:b/>
                      <w:bCs/>
                      <w:color w:val="auto"/>
                      <w:szCs w:val="21"/>
                    </w:rPr>
                  </w:pPr>
                  <w:r>
                    <w:rPr>
                      <w:b/>
                      <w:bCs/>
                      <w:color w:val="auto"/>
                      <w:szCs w:val="21"/>
                    </w:rPr>
                    <w:t>空间相对位置/m</w:t>
                  </w:r>
                </w:p>
              </w:tc>
              <w:tc>
                <w:tcPr>
                  <w:tcW w:w="613" w:type="dxa"/>
                  <w:vMerge w:val="restart"/>
                  <w:noWrap/>
                  <w:vAlign w:val="center"/>
                </w:tcPr>
                <w:p w14:paraId="60ECDBDA">
                  <w:pPr>
                    <w:jc w:val="center"/>
                    <w:rPr>
                      <w:b/>
                      <w:bCs/>
                      <w:color w:val="auto"/>
                      <w:szCs w:val="21"/>
                    </w:rPr>
                  </w:pPr>
                  <w:r>
                    <w:rPr>
                      <w:b/>
                      <w:bCs/>
                      <w:color w:val="auto"/>
                      <w:szCs w:val="21"/>
                    </w:rPr>
                    <w:t>时段</w:t>
                  </w:r>
                </w:p>
              </w:tc>
              <w:tc>
                <w:tcPr>
                  <w:tcW w:w="1307" w:type="dxa"/>
                  <w:vMerge w:val="restart"/>
                  <w:noWrap/>
                  <w:vAlign w:val="center"/>
                </w:tcPr>
                <w:p w14:paraId="79BB2D5B">
                  <w:pPr>
                    <w:jc w:val="center"/>
                    <w:rPr>
                      <w:b/>
                      <w:bCs/>
                      <w:color w:val="auto"/>
                      <w:szCs w:val="21"/>
                    </w:rPr>
                  </w:pPr>
                  <w:r>
                    <w:rPr>
                      <w:b/>
                      <w:bCs/>
                      <w:color w:val="auto"/>
                      <w:szCs w:val="21"/>
                    </w:rPr>
                    <w:t>贡献值</w:t>
                  </w:r>
                </w:p>
                <w:p w14:paraId="1CC8033B">
                  <w:pPr>
                    <w:jc w:val="center"/>
                    <w:rPr>
                      <w:b/>
                      <w:bCs/>
                      <w:color w:val="auto"/>
                      <w:szCs w:val="21"/>
                    </w:rPr>
                  </w:pPr>
                  <w:r>
                    <w:rPr>
                      <w:b/>
                      <w:bCs/>
                      <w:color w:val="auto"/>
                      <w:szCs w:val="21"/>
                    </w:rPr>
                    <w:t>（dB（A））</w:t>
                  </w:r>
                </w:p>
              </w:tc>
              <w:tc>
                <w:tcPr>
                  <w:tcW w:w="1703" w:type="dxa"/>
                  <w:vMerge w:val="restart"/>
                  <w:noWrap/>
                  <w:vAlign w:val="center"/>
                </w:tcPr>
                <w:p w14:paraId="4030BBFC">
                  <w:pPr>
                    <w:jc w:val="center"/>
                    <w:rPr>
                      <w:b/>
                      <w:bCs/>
                      <w:color w:val="auto"/>
                      <w:szCs w:val="21"/>
                    </w:rPr>
                  </w:pPr>
                  <w:r>
                    <w:rPr>
                      <w:b/>
                      <w:bCs/>
                      <w:color w:val="auto"/>
                      <w:szCs w:val="21"/>
                    </w:rPr>
                    <w:t>标准限值（dB（A））</w:t>
                  </w:r>
                </w:p>
              </w:tc>
              <w:tc>
                <w:tcPr>
                  <w:tcW w:w="875" w:type="dxa"/>
                  <w:vMerge w:val="restart"/>
                  <w:noWrap/>
                  <w:vAlign w:val="center"/>
                </w:tcPr>
                <w:p w14:paraId="28A88C50">
                  <w:pPr>
                    <w:jc w:val="center"/>
                    <w:rPr>
                      <w:b/>
                      <w:bCs/>
                      <w:color w:val="auto"/>
                      <w:szCs w:val="21"/>
                    </w:rPr>
                  </w:pPr>
                  <w:r>
                    <w:rPr>
                      <w:b/>
                      <w:bCs/>
                      <w:color w:val="auto"/>
                      <w:szCs w:val="21"/>
                    </w:rPr>
                    <w:t>达标情况</w:t>
                  </w:r>
                </w:p>
              </w:tc>
            </w:tr>
            <w:tr w14:paraId="7AB31F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vMerge w:val="continue"/>
                  <w:noWrap/>
                  <w:vAlign w:val="center"/>
                </w:tcPr>
                <w:p w14:paraId="706673B6">
                  <w:pPr>
                    <w:jc w:val="center"/>
                    <w:rPr>
                      <w:color w:val="auto"/>
                      <w:szCs w:val="21"/>
                    </w:rPr>
                  </w:pPr>
                </w:p>
              </w:tc>
              <w:tc>
                <w:tcPr>
                  <w:tcW w:w="597" w:type="dxa"/>
                  <w:noWrap/>
                  <w:vAlign w:val="center"/>
                </w:tcPr>
                <w:p w14:paraId="25720155">
                  <w:pPr>
                    <w:jc w:val="center"/>
                    <w:rPr>
                      <w:b/>
                      <w:bCs/>
                      <w:color w:val="auto"/>
                      <w:szCs w:val="21"/>
                    </w:rPr>
                  </w:pPr>
                  <w:r>
                    <w:rPr>
                      <w:b/>
                      <w:bCs/>
                      <w:color w:val="auto"/>
                      <w:szCs w:val="21"/>
                    </w:rPr>
                    <w:t>X</w:t>
                  </w:r>
                </w:p>
              </w:tc>
              <w:tc>
                <w:tcPr>
                  <w:tcW w:w="548" w:type="dxa"/>
                  <w:noWrap/>
                  <w:vAlign w:val="center"/>
                </w:tcPr>
                <w:p w14:paraId="21A9E93B">
                  <w:pPr>
                    <w:jc w:val="center"/>
                    <w:rPr>
                      <w:b/>
                      <w:bCs/>
                      <w:color w:val="auto"/>
                      <w:szCs w:val="21"/>
                    </w:rPr>
                  </w:pPr>
                  <w:r>
                    <w:rPr>
                      <w:b/>
                      <w:bCs/>
                      <w:color w:val="auto"/>
                      <w:szCs w:val="21"/>
                    </w:rPr>
                    <w:t>Y</w:t>
                  </w:r>
                </w:p>
              </w:tc>
              <w:tc>
                <w:tcPr>
                  <w:tcW w:w="661" w:type="dxa"/>
                  <w:noWrap/>
                  <w:vAlign w:val="center"/>
                </w:tcPr>
                <w:p w14:paraId="0E653DA0">
                  <w:pPr>
                    <w:jc w:val="center"/>
                    <w:rPr>
                      <w:b/>
                      <w:bCs/>
                      <w:color w:val="auto"/>
                      <w:szCs w:val="21"/>
                    </w:rPr>
                  </w:pPr>
                  <w:r>
                    <w:rPr>
                      <w:b/>
                      <w:bCs/>
                      <w:color w:val="auto"/>
                      <w:szCs w:val="21"/>
                    </w:rPr>
                    <w:t>Z</w:t>
                  </w:r>
                </w:p>
              </w:tc>
              <w:tc>
                <w:tcPr>
                  <w:tcW w:w="613" w:type="dxa"/>
                  <w:vMerge w:val="continue"/>
                  <w:noWrap/>
                  <w:vAlign w:val="center"/>
                </w:tcPr>
                <w:p w14:paraId="5CF9D7A6">
                  <w:pPr>
                    <w:jc w:val="center"/>
                    <w:rPr>
                      <w:color w:val="auto"/>
                      <w:szCs w:val="21"/>
                    </w:rPr>
                  </w:pPr>
                </w:p>
              </w:tc>
              <w:tc>
                <w:tcPr>
                  <w:tcW w:w="1307" w:type="dxa"/>
                  <w:vMerge w:val="continue"/>
                  <w:noWrap/>
                  <w:vAlign w:val="center"/>
                </w:tcPr>
                <w:p w14:paraId="77D2E1CE">
                  <w:pPr>
                    <w:jc w:val="center"/>
                    <w:rPr>
                      <w:color w:val="auto"/>
                      <w:szCs w:val="21"/>
                    </w:rPr>
                  </w:pPr>
                </w:p>
              </w:tc>
              <w:tc>
                <w:tcPr>
                  <w:tcW w:w="1703" w:type="dxa"/>
                  <w:vMerge w:val="continue"/>
                  <w:noWrap/>
                  <w:vAlign w:val="center"/>
                </w:tcPr>
                <w:p w14:paraId="702D8841">
                  <w:pPr>
                    <w:jc w:val="center"/>
                    <w:rPr>
                      <w:color w:val="auto"/>
                      <w:szCs w:val="21"/>
                    </w:rPr>
                  </w:pPr>
                </w:p>
              </w:tc>
              <w:tc>
                <w:tcPr>
                  <w:tcW w:w="875" w:type="dxa"/>
                  <w:vMerge w:val="continue"/>
                  <w:noWrap/>
                  <w:vAlign w:val="center"/>
                </w:tcPr>
                <w:p w14:paraId="1DD11F86">
                  <w:pPr>
                    <w:jc w:val="center"/>
                    <w:rPr>
                      <w:color w:val="auto"/>
                      <w:szCs w:val="21"/>
                    </w:rPr>
                  </w:pPr>
                </w:p>
              </w:tc>
            </w:tr>
            <w:tr w14:paraId="568B2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44CDAC07">
                  <w:pPr>
                    <w:jc w:val="center"/>
                    <w:rPr>
                      <w:color w:val="auto"/>
                      <w:szCs w:val="21"/>
                    </w:rPr>
                  </w:pPr>
                  <w:r>
                    <w:rPr>
                      <w:color w:val="auto"/>
                      <w:szCs w:val="21"/>
                    </w:rPr>
                    <w:t>项目东厂界</w:t>
                  </w:r>
                </w:p>
              </w:tc>
              <w:tc>
                <w:tcPr>
                  <w:tcW w:w="597" w:type="dxa"/>
                  <w:noWrap/>
                  <w:vAlign w:val="center"/>
                </w:tcPr>
                <w:p w14:paraId="214D59B1">
                  <w:pPr>
                    <w:jc w:val="center"/>
                    <w:rPr>
                      <w:color w:val="auto"/>
                      <w:szCs w:val="21"/>
                    </w:rPr>
                  </w:pPr>
                  <w:r>
                    <w:rPr>
                      <w:color w:val="auto"/>
                      <w:szCs w:val="21"/>
                    </w:rPr>
                    <w:t>0</w:t>
                  </w:r>
                </w:p>
              </w:tc>
              <w:tc>
                <w:tcPr>
                  <w:tcW w:w="548" w:type="dxa"/>
                  <w:noWrap/>
                  <w:vAlign w:val="center"/>
                </w:tcPr>
                <w:p w14:paraId="2F76AA47">
                  <w:pPr>
                    <w:jc w:val="center"/>
                    <w:rPr>
                      <w:color w:val="auto"/>
                      <w:szCs w:val="21"/>
                    </w:rPr>
                  </w:pPr>
                  <w:r>
                    <w:rPr>
                      <w:color w:val="auto"/>
                      <w:szCs w:val="21"/>
                    </w:rPr>
                    <w:t>-280</w:t>
                  </w:r>
                </w:p>
              </w:tc>
              <w:tc>
                <w:tcPr>
                  <w:tcW w:w="661" w:type="dxa"/>
                  <w:noWrap/>
                  <w:vAlign w:val="center"/>
                </w:tcPr>
                <w:p w14:paraId="766F2A80">
                  <w:pPr>
                    <w:jc w:val="center"/>
                    <w:rPr>
                      <w:color w:val="auto"/>
                      <w:szCs w:val="21"/>
                    </w:rPr>
                  </w:pPr>
                  <w:r>
                    <w:rPr>
                      <w:color w:val="auto"/>
                      <w:szCs w:val="21"/>
                    </w:rPr>
                    <w:t>1</w:t>
                  </w:r>
                </w:p>
              </w:tc>
              <w:tc>
                <w:tcPr>
                  <w:tcW w:w="613" w:type="dxa"/>
                  <w:noWrap/>
                  <w:vAlign w:val="center"/>
                </w:tcPr>
                <w:p w14:paraId="21BE5FFF">
                  <w:pPr>
                    <w:jc w:val="center"/>
                    <w:rPr>
                      <w:color w:val="auto"/>
                      <w:szCs w:val="21"/>
                    </w:rPr>
                  </w:pPr>
                  <w:r>
                    <w:rPr>
                      <w:color w:val="auto"/>
                      <w:szCs w:val="21"/>
                    </w:rPr>
                    <w:t>昼</w:t>
                  </w:r>
                </w:p>
              </w:tc>
              <w:tc>
                <w:tcPr>
                  <w:tcW w:w="1307" w:type="dxa"/>
                  <w:noWrap/>
                  <w:vAlign w:val="center"/>
                </w:tcPr>
                <w:p w14:paraId="1F7577E8">
                  <w:pPr>
                    <w:jc w:val="center"/>
                    <w:rPr>
                      <w:color w:val="auto"/>
                      <w:szCs w:val="21"/>
                    </w:rPr>
                  </w:pPr>
                  <w:r>
                    <w:rPr>
                      <w:color w:val="auto"/>
                      <w:szCs w:val="21"/>
                    </w:rPr>
                    <w:t>45.76</w:t>
                  </w:r>
                </w:p>
              </w:tc>
              <w:tc>
                <w:tcPr>
                  <w:tcW w:w="1703" w:type="dxa"/>
                  <w:vMerge w:val="restart"/>
                  <w:noWrap/>
                  <w:vAlign w:val="center"/>
                </w:tcPr>
                <w:p w14:paraId="7885B095">
                  <w:pPr>
                    <w:jc w:val="center"/>
                    <w:rPr>
                      <w:color w:val="auto"/>
                      <w:szCs w:val="21"/>
                    </w:rPr>
                  </w:pPr>
                  <w:r>
                    <w:rPr>
                      <w:color w:val="auto"/>
                      <w:szCs w:val="21"/>
                    </w:rPr>
                    <w:t>昼55</w:t>
                  </w:r>
                </w:p>
              </w:tc>
              <w:tc>
                <w:tcPr>
                  <w:tcW w:w="875" w:type="dxa"/>
                  <w:noWrap/>
                  <w:vAlign w:val="center"/>
                </w:tcPr>
                <w:p w14:paraId="3BD431E6">
                  <w:pPr>
                    <w:jc w:val="center"/>
                    <w:rPr>
                      <w:color w:val="auto"/>
                      <w:szCs w:val="21"/>
                    </w:rPr>
                  </w:pPr>
                  <w:r>
                    <w:rPr>
                      <w:color w:val="auto"/>
                      <w:szCs w:val="21"/>
                    </w:rPr>
                    <w:t>达标</w:t>
                  </w:r>
                </w:p>
              </w:tc>
            </w:tr>
            <w:tr w14:paraId="318C4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32B51361">
                  <w:pPr>
                    <w:jc w:val="center"/>
                    <w:rPr>
                      <w:color w:val="auto"/>
                      <w:szCs w:val="21"/>
                    </w:rPr>
                  </w:pPr>
                  <w:r>
                    <w:rPr>
                      <w:color w:val="auto"/>
                      <w:szCs w:val="21"/>
                    </w:rPr>
                    <w:t>项目南厂界</w:t>
                  </w:r>
                </w:p>
              </w:tc>
              <w:tc>
                <w:tcPr>
                  <w:tcW w:w="597" w:type="dxa"/>
                  <w:noWrap/>
                  <w:vAlign w:val="center"/>
                </w:tcPr>
                <w:p w14:paraId="67B55145">
                  <w:pPr>
                    <w:jc w:val="center"/>
                    <w:rPr>
                      <w:color w:val="auto"/>
                      <w:szCs w:val="21"/>
                    </w:rPr>
                  </w:pPr>
                  <w:r>
                    <w:rPr>
                      <w:color w:val="auto"/>
                      <w:szCs w:val="21"/>
                    </w:rPr>
                    <w:t>-255</w:t>
                  </w:r>
                </w:p>
              </w:tc>
              <w:tc>
                <w:tcPr>
                  <w:tcW w:w="548" w:type="dxa"/>
                  <w:noWrap/>
                  <w:vAlign w:val="center"/>
                </w:tcPr>
                <w:p w14:paraId="31FBA686">
                  <w:pPr>
                    <w:jc w:val="center"/>
                    <w:rPr>
                      <w:color w:val="auto"/>
                      <w:szCs w:val="21"/>
                    </w:rPr>
                  </w:pPr>
                  <w:r>
                    <w:rPr>
                      <w:color w:val="auto"/>
                      <w:szCs w:val="21"/>
                    </w:rPr>
                    <w:t>-560</w:t>
                  </w:r>
                </w:p>
              </w:tc>
              <w:tc>
                <w:tcPr>
                  <w:tcW w:w="661" w:type="dxa"/>
                  <w:noWrap/>
                  <w:vAlign w:val="center"/>
                </w:tcPr>
                <w:p w14:paraId="1E303015">
                  <w:pPr>
                    <w:jc w:val="center"/>
                    <w:rPr>
                      <w:color w:val="auto"/>
                      <w:szCs w:val="21"/>
                    </w:rPr>
                  </w:pPr>
                  <w:r>
                    <w:rPr>
                      <w:color w:val="auto"/>
                      <w:szCs w:val="21"/>
                    </w:rPr>
                    <w:t>1</w:t>
                  </w:r>
                </w:p>
              </w:tc>
              <w:tc>
                <w:tcPr>
                  <w:tcW w:w="613" w:type="dxa"/>
                  <w:noWrap/>
                  <w:vAlign w:val="center"/>
                </w:tcPr>
                <w:p w14:paraId="39B16175">
                  <w:pPr>
                    <w:jc w:val="center"/>
                    <w:rPr>
                      <w:color w:val="auto"/>
                      <w:szCs w:val="21"/>
                    </w:rPr>
                  </w:pPr>
                  <w:r>
                    <w:rPr>
                      <w:color w:val="auto"/>
                      <w:szCs w:val="21"/>
                    </w:rPr>
                    <w:t>昼</w:t>
                  </w:r>
                </w:p>
              </w:tc>
              <w:tc>
                <w:tcPr>
                  <w:tcW w:w="1307" w:type="dxa"/>
                  <w:noWrap/>
                  <w:vAlign w:val="center"/>
                </w:tcPr>
                <w:p w14:paraId="64F49873">
                  <w:pPr>
                    <w:jc w:val="center"/>
                    <w:rPr>
                      <w:color w:val="auto"/>
                      <w:szCs w:val="21"/>
                    </w:rPr>
                  </w:pPr>
                  <w:r>
                    <w:rPr>
                      <w:color w:val="auto"/>
                      <w:szCs w:val="21"/>
                    </w:rPr>
                    <w:t>45.08</w:t>
                  </w:r>
                </w:p>
              </w:tc>
              <w:tc>
                <w:tcPr>
                  <w:tcW w:w="1703" w:type="dxa"/>
                  <w:vMerge w:val="continue"/>
                  <w:noWrap/>
                  <w:vAlign w:val="center"/>
                </w:tcPr>
                <w:p w14:paraId="1689508B">
                  <w:pPr>
                    <w:jc w:val="center"/>
                    <w:rPr>
                      <w:color w:val="auto"/>
                      <w:szCs w:val="21"/>
                    </w:rPr>
                  </w:pPr>
                </w:p>
              </w:tc>
              <w:tc>
                <w:tcPr>
                  <w:tcW w:w="875" w:type="dxa"/>
                  <w:noWrap/>
                  <w:vAlign w:val="center"/>
                </w:tcPr>
                <w:p w14:paraId="2CE39307">
                  <w:pPr>
                    <w:jc w:val="center"/>
                    <w:rPr>
                      <w:color w:val="auto"/>
                      <w:szCs w:val="21"/>
                    </w:rPr>
                  </w:pPr>
                  <w:r>
                    <w:rPr>
                      <w:color w:val="auto"/>
                      <w:szCs w:val="21"/>
                    </w:rPr>
                    <w:t>达标</w:t>
                  </w:r>
                </w:p>
              </w:tc>
            </w:tr>
            <w:tr w14:paraId="4ED10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6D596797">
                  <w:pPr>
                    <w:jc w:val="center"/>
                    <w:rPr>
                      <w:color w:val="auto"/>
                      <w:szCs w:val="21"/>
                    </w:rPr>
                  </w:pPr>
                  <w:r>
                    <w:rPr>
                      <w:color w:val="auto"/>
                      <w:szCs w:val="21"/>
                    </w:rPr>
                    <w:t>项目西厂界</w:t>
                  </w:r>
                </w:p>
              </w:tc>
              <w:tc>
                <w:tcPr>
                  <w:tcW w:w="597" w:type="dxa"/>
                  <w:noWrap/>
                  <w:vAlign w:val="center"/>
                </w:tcPr>
                <w:p w14:paraId="19E80E15">
                  <w:pPr>
                    <w:jc w:val="center"/>
                    <w:rPr>
                      <w:color w:val="auto"/>
                      <w:szCs w:val="21"/>
                    </w:rPr>
                  </w:pPr>
                  <w:r>
                    <w:rPr>
                      <w:color w:val="auto"/>
                      <w:szCs w:val="21"/>
                    </w:rPr>
                    <w:t>-510</w:t>
                  </w:r>
                </w:p>
              </w:tc>
              <w:tc>
                <w:tcPr>
                  <w:tcW w:w="548" w:type="dxa"/>
                  <w:noWrap/>
                  <w:vAlign w:val="center"/>
                </w:tcPr>
                <w:p w14:paraId="767109C7">
                  <w:pPr>
                    <w:jc w:val="center"/>
                    <w:rPr>
                      <w:color w:val="auto"/>
                      <w:szCs w:val="21"/>
                    </w:rPr>
                  </w:pPr>
                  <w:r>
                    <w:rPr>
                      <w:color w:val="auto"/>
                      <w:szCs w:val="21"/>
                    </w:rPr>
                    <w:t>-280</w:t>
                  </w:r>
                </w:p>
              </w:tc>
              <w:tc>
                <w:tcPr>
                  <w:tcW w:w="661" w:type="dxa"/>
                  <w:noWrap/>
                  <w:vAlign w:val="center"/>
                </w:tcPr>
                <w:p w14:paraId="69910270">
                  <w:pPr>
                    <w:jc w:val="center"/>
                    <w:rPr>
                      <w:color w:val="auto"/>
                      <w:szCs w:val="21"/>
                    </w:rPr>
                  </w:pPr>
                  <w:r>
                    <w:rPr>
                      <w:color w:val="auto"/>
                      <w:szCs w:val="21"/>
                    </w:rPr>
                    <w:t>1</w:t>
                  </w:r>
                </w:p>
              </w:tc>
              <w:tc>
                <w:tcPr>
                  <w:tcW w:w="613" w:type="dxa"/>
                  <w:noWrap/>
                  <w:vAlign w:val="center"/>
                </w:tcPr>
                <w:p w14:paraId="7B17794C">
                  <w:pPr>
                    <w:jc w:val="center"/>
                    <w:rPr>
                      <w:color w:val="auto"/>
                      <w:szCs w:val="21"/>
                    </w:rPr>
                  </w:pPr>
                  <w:r>
                    <w:rPr>
                      <w:color w:val="auto"/>
                      <w:szCs w:val="21"/>
                    </w:rPr>
                    <w:t>昼</w:t>
                  </w:r>
                </w:p>
              </w:tc>
              <w:tc>
                <w:tcPr>
                  <w:tcW w:w="1307" w:type="dxa"/>
                  <w:noWrap/>
                  <w:vAlign w:val="center"/>
                </w:tcPr>
                <w:p w14:paraId="4E95470E">
                  <w:pPr>
                    <w:jc w:val="center"/>
                    <w:rPr>
                      <w:color w:val="auto"/>
                      <w:szCs w:val="21"/>
                    </w:rPr>
                  </w:pPr>
                  <w:r>
                    <w:rPr>
                      <w:color w:val="auto"/>
                      <w:szCs w:val="21"/>
                    </w:rPr>
                    <w:t>47.36</w:t>
                  </w:r>
                </w:p>
              </w:tc>
              <w:tc>
                <w:tcPr>
                  <w:tcW w:w="1703" w:type="dxa"/>
                  <w:vMerge w:val="continue"/>
                  <w:noWrap/>
                  <w:vAlign w:val="center"/>
                </w:tcPr>
                <w:p w14:paraId="4FD3B409">
                  <w:pPr>
                    <w:jc w:val="center"/>
                    <w:rPr>
                      <w:color w:val="auto"/>
                      <w:szCs w:val="21"/>
                    </w:rPr>
                  </w:pPr>
                </w:p>
              </w:tc>
              <w:tc>
                <w:tcPr>
                  <w:tcW w:w="875" w:type="dxa"/>
                  <w:noWrap/>
                  <w:vAlign w:val="center"/>
                </w:tcPr>
                <w:p w14:paraId="07AE8FD8">
                  <w:pPr>
                    <w:jc w:val="center"/>
                    <w:rPr>
                      <w:color w:val="auto"/>
                      <w:szCs w:val="21"/>
                    </w:rPr>
                  </w:pPr>
                  <w:r>
                    <w:rPr>
                      <w:color w:val="auto"/>
                      <w:szCs w:val="21"/>
                    </w:rPr>
                    <w:t>达标</w:t>
                  </w:r>
                </w:p>
              </w:tc>
            </w:tr>
            <w:tr w14:paraId="1DED0F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44AEBE77">
                  <w:pPr>
                    <w:jc w:val="center"/>
                    <w:rPr>
                      <w:color w:val="auto"/>
                      <w:szCs w:val="21"/>
                    </w:rPr>
                  </w:pPr>
                  <w:r>
                    <w:rPr>
                      <w:color w:val="auto"/>
                      <w:szCs w:val="21"/>
                    </w:rPr>
                    <w:t>项目北厂界</w:t>
                  </w:r>
                </w:p>
              </w:tc>
              <w:tc>
                <w:tcPr>
                  <w:tcW w:w="597" w:type="dxa"/>
                  <w:noWrap/>
                  <w:vAlign w:val="center"/>
                </w:tcPr>
                <w:p w14:paraId="7ECDAB7A">
                  <w:pPr>
                    <w:jc w:val="center"/>
                    <w:rPr>
                      <w:color w:val="auto"/>
                      <w:szCs w:val="21"/>
                    </w:rPr>
                  </w:pPr>
                  <w:r>
                    <w:rPr>
                      <w:color w:val="auto"/>
                      <w:szCs w:val="21"/>
                    </w:rPr>
                    <w:t>-255</w:t>
                  </w:r>
                </w:p>
              </w:tc>
              <w:tc>
                <w:tcPr>
                  <w:tcW w:w="548" w:type="dxa"/>
                  <w:noWrap/>
                  <w:vAlign w:val="center"/>
                </w:tcPr>
                <w:p w14:paraId="333855C4">
                  <w:pPr>
                    <w:jc w:val="center"/>
                    <w:rPr>
                      <w:color w:val="auto"/>
                      <w:szCs w:val="21"/>
                    </w:rPr>
                  </w:pPr>
                  <w:r>
                    <w:rPr>
                      <w:color w:val="auto"/>
                      <w:szCs w:val="21"/>
                    </w:rPr>
                    <w:t>0</w:t>
                  </w:r>
                </w:p>
              </w:tc>
              <w:tc>
                <w:tcPr>
                  <w:tcW w:w="661" w:type="dxa"/>
                  <w:noWrap/>
                  <w:vAlign w:val="center"/>
                </w:tcPr>
                <w:p w14:paraId="133F1028">
                  <w:pPr>
                    <w:jc w:val="center"/>
                    <w:rPr>
                      <w:color w:val="auto"/>
                      <w:szCs w:val="21"/>
                    </w:rPr>
                  </w:pPr>
                  <w:r>
                    <w:rPr>
                      <w:color w:val="auto"/>
                      <w:szCs w:val="21"/>
                    </w:rPr>
                    <w:t>1</w:t>
                  </w:r>
                </w:p>
              </w:tc>
              <w:tc>
                <w:tcPr>
                  <w:tcW w:w="613" w:type="dxa"/>
                  <w:noWrap/>
                  <w:vAlign w:val="center"/>
                </w:tcPr>
                <w:p w14:paraId="755B7ABC">
                  <w:pPr>
                    <w:jc w:val="center"/>
                    <w:rPr>
                      <w:color w:val="auto"/>
                      <w:szCs w:val="21"/>
                    </w:rPr>
                  </w:pPr>
                  <w:r>
                    <w:rPr>
                      <w:color w:val="auto"/>
                      <w:szCs w:val="21"/>
                    </w:rPr>
                    <w:t>昼</w:t>
                  </w:r>
                </w:p>
              </w:tc>
              <w:tc>
                <w:tcPr>
                  <w:tcW w:w="1307" w:type="dxa"/>
                  <w:noWrap/>
                  <w:vAlign w:val="center"/>
                </w:tcPr>
                <w:p w14:paraId="518084F1">
                  <w:pPr>
                    <w:jc w:val="center"/>
                    <w:rPr>
                      <w:color w:val="auto"/>
                      <w:szCs w:val="21"/>
                    </w:rPr>
                  </w:pPr>
                  <w:r>
                    <w:rPr>
                      <w:color w:val="auto"/>
                      <w:szCs w:val="21"/>
                    </w:rPr>
                    <w:t>46.4</w:t>
                  </w:r>
                </w:p>
              </w:tc>
              <w:tc>
                <w:tcPr>
                  <w:tcW w:w="1703" w:type="dxa"/>
                  <w:vMerge w:val="continue"/>
                  <w:noWrap/>
                  <w:vAlign w:val="center"/>
                </w:tcPr>
                <w:p w14:paraId="4A78FB20">
                  <w:pPr>
                    <w:jc w:val="center"/>
                    <w:rPr>
                      <w:color w:val="auto"/>
                      <w:szCs w:val="21"/>
                    </w:rPr>
                  </w:pPr>
                </w:p>
              </w:tc>
              <w:tc>
                <w:tcPr>
                  <w:tcW w:w="875" w:type="dxa"/>
                  <w:noWrap/>
                  <w:vAlign w:val="center"/>
                </w:tcPr>
                <w:p w14:paraId="1E46D1D8">
                  <w:pPr>
                    <w:jc w:val="center"/>
                    <w:rPr>
                      <w:color w:val="auto"/>
                      <w:szCs w:val="21"/>
                    </w:rPr>
                  </w:pPr>
                  <w:r>
                    <w:rPr>
                      <w:color w:val="auto"/>
                      <w:szCs w:val="21"/>
                    </w:rPr>
                    <w:t>达标</w:t>
                  </w:r>
                </w:p>
              </w:tc>
            </w:tr>
            <w:tr w14:paraId="51E27F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2A75BF23">
                  <w:pPr>
                    <w:jc w:val="center"/>
                    <w:rPr>
                      <w:color w:val="auto"/>
                      <w:szCs w:val="21"/>
                    </w:rPr>
                  </w:pPr>
                  <w:r>
                    <w:rPr>
                      <w:color w:val="auto"/>
                      <w:szCs w:val="21"/>
                    </w:rPr>
                    <w:t>方台湖5组</w:t>
                  </w:r>
                </w:p>
              </w:tc>
              <w:tc>
                <w:tcPr>
                  <w:tcW w:w="597" w:type="dxa"/>
                  <w:noWrap/>
                  <w:vAlign w:val="center"/>
                </w:tcPr>
                <w:p w14:paraId="023262D5">
                  <w:pPr>
                    <w:jc w:val="center"/>
                    <w:rPr>
                      <w:color w:val="auto"/>
                      <w:szCs w:val="21"/>
                    </w:rPr>
                  </w:pPr>
                  <w:r>
                    <w:rPr>
                      <w:color w:val="auto"/>
                      <w:szCs w:val="21"/>
                    </w:rPr>
                    <w:t>-504</w:t>
                  </w:r>
                </w:p>
              </w:tc>
              <w:tc>
                <w:tcPr>
                  <w:tcW w:w="548" w:type="dxa"/>
                  <w:noWrap/>
                  <w:vAlign w:val="center"/>
                </w:tcPr>
                <w:p w14:paraId="620632EF">
                  <w:pPr>
                    <w:jc w:val="center"/>
                    <w:rPr>
                      <w:color w:val="auto"/>
                      <w:szCs w:val="21"/>
                    </w:rPr>
                  </w:pPr>
                  <w:r>
                    <w:rPr>
                      <w:color w:val="auto"/>
                      <w:szCs w:val="21"/>
                    </w:rPr>
                    <w:t>-20</w:t>
                  </w:r>
                </w:p>
              </w:tc>
              <w:tc>
                <w:tcPr>
                  <w:tcW w:w="661" w:type="dxa"/>
                  <w:noWrap/>
                  <w:vAlign w:val="center"/>
                </w:tcPr>
                <w:p w14:paraId="22DCE574">
                  <w:pPr>
                    <w:jc w:val="center"/>
                    <w:rPr>
                      <w:color w:val="auto"/>
                      <w:szCs w:val="21"/>
                    </w:rPr>
                  </w:pPr>
                  <w:r>
                    <w:rPr>
                      <w:color w:val="auto"/>
                      <w:szCs w:val="21"/>
                    </w:rPr>
                    <w:t>1</w:t>
                  </w:r>
                </w:p>
              </w:tc>
              <w:tc>
                <w:tcPr>
                  <w:tcW w:w="613" w:type="dxa"/>
                  <w:noWrap/>
                  <w:vAlign w:val="center"/>
                </w:tcPr>
                <w:p w14:paraId="0F5B4978">
                  <w:pPr>
                    <w:jc w:val="center"/>
                    <w:rPr>
                      <w:color w:val="auto"/>
                      <w:szCs w:val="21"/>
                    </w:rPr>
                  </w:pPr>
                  <w:r>
                    <w:rPr>
                      <w:color w:val="auto"/>
                      <w:szCs w:val="21"/>
                    </w:rPr>
                    <w:t>昼</w:t>
                  </w:r>
                </w:p>
              </w:tc>
              <w:tc>
                <w:tcPr>
                  <w:tcW w:w="1307" w:type="dxa"/>
                  <w:noWrap/>
                  <w:vAlign w:val="center"/>
                </w:tcPr>
                <w:p w14:paraId="3C1E2828">
                  <w:pPr>
                    <w:jc w:val="center"/>
                    <w:rPr>
                      <w:color w:val="auto"/>
                      <w:szCs w:val="21"/>
                    </w:rPr>
                  </w:pPr>
                  <w:r>
                    <w:rPr>
                      <w:color w:val="auto"/>
                      <w:szCs w:val="21"/>
                    </w:rPr>
                    <w:t>27.36</w:t>
                  </w:r>
                </w:p>
              </w:tc>
              <w:tc>
                <w:tcPr>
                  <w:tcW w:w="1703" w:type="dxa"/>
                  <w:vMerge w:val="restart"/>
                  <w:noWrap/>
                  <w:vAlign w:val="center"/>
                </w:tcPr>
                <w:p w14:paraId="6BF75CC5">
                  <w:pPr>
                    <w:jc w:val="center"/>
                    <w:rPr>
                      <w:color w:val="auto"/>
                      <w:szCs w:val="21"/>
                    </w:rPr>
                  </w:pPr>
                  <w:r>
                    <w:rPr>
                      <w:color w:val="auto"/>
                      <w:szCs w:val="21"/>
                    </w:rPr>
                    <w:t>昼55</w:t>
                  </w:r>
                </w:p>
              </w:tc>
              <w:tc>
                <w:tcPr>
                  <w:tcW w:w="875" w:type="dxa"/>
                  <w:noWrap/>
                  <w:vAlign w:val="center"/>
                </w:tcPr>
                <w:p w14:paraId="0BAEF465">
                  <w:pPr>
                    <w:jc w:val="center"/>
                    <w:rPr>
                      <w:color w:val="auto"/>
                      <w:szCs w:val="21"/>
                    </w:rPr>
                  </w:pPr>
                  <w:r>
                    <w:rPr>
                      <w:color w:val="auto"/>
                      <w:szCs w:val="21"/>
                    </w:rPr>
                    <w:t>达标</w:t>
                  </w:r>
                </w:p>
              </w:tc>
            </w:tr>
            <w:tr w14:paraId="38FE0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79500B76">
                  <w:pPr>
                    <w:jc w:val="center"/>
                    <w:rPr>
                      <w:color w:val="auto"/>
                      <w:szCs w:val="21"/>
                    </w:rPr>
                  </w:pPr>
                  <w:r>
                    <w:rPr>
                      <w:color w:val="auto"/>
                      <w:kern w:val="0"/>
                      <w:lang w:bidi="ar"/>
                    </w:rPr>
                    <w:t>西部散户</w:t>
                  </w:r>
                </w:p>
              </w:tc>
              <w:tc>
                <w:tcPr>
                  <w:tcW w:w="597" w:type="dxa"/>
                  <w:noWrap/>
                  <w:vAlign w:val="center"/>
                </w:tcPr>
                <w:p w14:paraId="0ED4A754">
                  <w:pPr>
                    <w:jc w:val="center"/>
                    <w:rPr>
                      <w:color w:val="auto"/>
                      <w:szCs w:val="21"/>
                    </w:rPr>
                  </w:pPr>
                  <w:r>
                    <w:rPr>
                      <w:color w:val="auto"/>
                      <w:szCs w:val="21"/>
                    </w:rPr>
                    <w:t>-522</w:t>
                  </w:r>
                </w:p>
              </w:tc>
              <w:tc>
                <w:tcPr>
                  <w:tcW w:w="548" w:type="dxa"/>
                  <w:noWrap/>
                  <w:vAlign w:val="center"/>
                </w:tcPr>
                <w:p w14:paraId="0F2405EE">
                  <w:pPr>
                    <w:jc w:val="center"/>
                    <w:rPr>
                      <w:color w:val="auto"/>
                      <w:szCs w:val="21"/>
                    </w:rPr>
                  </w:pPr>
                  <w:r>
                    <w:rPr>
                      <w:color w:val="auto"/>
                      <w:szCs w:val="21"/>
                    </w:rPr>
                    <w:t>-80</w:t>
                  </w:r>
                </w:p>
              </w:tc>
              <w:tc>
                <w:tcPr>
                  <w:tcW w:w="661" w:type="dxa"/>
                  <w:noWrap/>
                  <w:vAlign w:val="center"/>
                </w:tcPr>
                <w:p w14:paraId="740428B7">
                  <w:pPr>
                    <w:jc w:val="center"/>
                    <w:rPr>
                      <w:color w:val="auto"/>
                      <w:szCs w:val="21"/>
                    </w:rPr>
                  </w:pPr>
                  <w:r>
                    <w:rPr>
                      <w:color w:val="auto"/>
                      <w:szCs w:val="21"/>
                    </w:rPr>
                    <w:t>1</w:t>
                  </w:r>
                </w:p>
              </w:tc>
              <w:tc>
                <w:tcPr>
                  <w:tcW w:w="613" w:type="dxa"/>
                  <w:noWrap/>
                  <w:vAlign w:val="center"/>
                </w:tcPr>
                <w:p w14:paraId="5E9AE998">
                  <w:pPr>
                    <w:jc w:val="center"/>
                    <w:rPr>
                      <w:color w:val="auto"/>
                      <w:szCs w:val="21"/>
                    </w:rPr>
                  </w:pPr>
                  <w:r>
                    <w:rPr>
                      <w:color w:val="auto"/>
                      <w:szCs w:val="21"/>
                    </w:rPr>
                    <w:t>昼</w:t>
                  </w:r>
                </w:p>
              </w:tc>
              <w:tc>
                <w:tcPr>
                  <w:tcW w:w="1307" w:type="dxa"/>
                  <w:noWrap/>
                  <w:vAlign w:val="center"/>
                </w:tcPr>
                <w:p w14:paraId="78004275">
                  <w:pPr>
                    <w:jc w:val="center"/>
                    <w:rPr>
                      <w:color w:val="auto"/>
                      <w:szCs w:val="21"/>
                    </w:rPr>
                  </w:pPr>
                  <w:r>
                    <w:rPr>
                      <w:color w:val="auto"/>
                      <w:szCs w:val="21"/>
                    </w:rPr>
                    <w:t>28.55</w:t>
                  </w:r>
                </w:p>
              </w:tc>
              <w:tc>
                <w:tcPr>
                  <w:tcW w:w="1703" w:type="dxa"/>
                  <w:vMerge w:val="continue"/>
                  <w:noWrap/>
                  <w:vAlign w:val="center"/>
                </w:tcPr>
                <w:p w14:paraId="3D028554">
                  <w:pPr>
                    <w:jc w:val="center"/>
                    <w:rPr>
                      <w:color w:val="auto"/>
                      <w:szCs w:val="21"/>
                    </w:rPr>
                  </w:pPr>
                </w:p>
              </w:tc>
              <w:tc>
                <w:tcPr>
                  <w:tcW w:w="875" w:type="dxa"/>
                  <w:noWrap/>
                  <w:vAlign w:val="center"/>
                </w:tcPr>
                <w:p w14:paraId="24C1C70D">
                  <w:pPr>
                    <w:jc w:val="center"/>
                    <w:rPr>
                      <w:color w:val="auto"/>
                      <w:szCs w:val="21"/>
                    </w:rPr>
                  </w:pPr>
                  <w:r>
                    <w:rPr>
                      <w:color w:val="auto"/>
                      <w:szCs w:val="21"/>
                    </w:rPr>
                    <w:t>达标</w:t>
                  </w:r>
                </w:p>
              </w:tc>
            </w:tr>
            <w:tr w14:paraId="662D1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0481FC04">
                  <w:pPr>
                    <w:jc w:val="center"/>
                    <w:rPr>
                      <w:color w:val="auto"/>
                      <w:szCs w:val="21"/>
                    </w:rPr>
                  </w:pPr>
                  <w:r>
                    <w:rPr>
                      <w:color w:val="auto"/>
                      <w:kern w:val="0"/>
                      <w:lang w:bidi="ar"/>
                    </w:rPr>
                    <w:t>西北部散户</w:t>
                  </w:r>
                </w:p>
              </w:tc>
              <w:tc>
                <w:tcPr>
                  <w:tcW w:w="597" w:type="dxa"/>
                  <w:noWrap/>
                  <w:vAlign w:val="center"/>
                </w:tcPr>
                <w:p w14:paraId="09ADE9CB">
                  <w:pPr>
                    <w:jc w:val="center"/>
                    <w:rPr>
                      <w:color w:val="auto"/>
                      <w:szCs w:val="21"/>
                    </w:rPr>
                  </w:pPr>
                  <w:r>
                    <w:rPr>
                      <w:color w:val="auto"/>
                      <w:szCs w:val="21"/>
                    </w:rPr>
                    <w:t>-450</w:t>
                  </w:r>
                </w:p>
              </w:tc>
              <w:tc>
                <w:tcPr>
                  <w:tcW w:w="548" w:type="dxa"/>
                  <w:noWrap/>
                  <w:vAlign w:val="center"/>
                </w:tcPr>
                <w:p w14:paraId="6FEEB708">
                  <w:pPr>
                    <w:jc w:val="center"/>
                    <w:rPr>
                      <w:color w:val="auto"/>
                      <w:szCs w:val="21"/>
                    </w:rPr>
                  </w:pPr>
                  <w:r>
                    <w:rPr>
                      <w:color w:val="auto"/>
                      <w:szCs w:val="21"/>
                    </w:rPr>
                    <w:t>6</w:t>
                  </w:r>
                </w:p>
              </w:tc>
              <w:tc>
                <w:tcPr>
                  <w:tcW w:w="661" w:type="dxa"/>
                  <w:noWrap/>
                  <w:vAlign w:val="center"/>
                </w:tcPr>
                <w:p w14:paraId="33F0A724">
                  <w:pPr>
                    <w:jc w:val="center"/>
                    <w:rPr>
                      <w:color w:val="auto"/>
                      <w:szCs w:val="21"/>
                    </w:rPr>
                  </w:pPr>
                  <w:r>
                    <w:rPr>
                      <w:color w:val="auto"/>
                      <w:szCs w:val="21"/>
                    </w:rPr>
                    <w:t>1</w:t>
                  </w:r>
                </w:p>
              </w:tc>
              <w:tc>
                <w:tcPr>
                  <w:tcW w:w="613" w:type="dxa"/>
                  <w:noWrap/>
                  <w:vAlign w:val="center"/>
                </w:tcPr>
                <w:p w14:paraId="3248E606">
                  <w:pPr>
                    <w:jc w:val="center"/>
                    <w:rPr>
                      <w:color w:val="auto"/>
                      <w:szCs w:val="21"/>
                    </w:rPr>
                  </w:pPr>
                  <w:r>
                    <w:rPr>
                      <w:color w:val="auto"/>
                      <w:szCs w:val="21"/>
                    </w:rPr>
                    <w:t>昼</w:t>
                  </w:r>
                </w:p>
              </w:tc>
              <w:tc>
                <w:tcPr>
                  <w:tcW w:w="1307" w:type="dxa"/>
                  <w:noWrap/>
                  <w:vAlign w:val="center"/>
                </w:tcPr>
                <w:p w14:paraId="31AD34C5">
                  <w:pPr>
                    <w:jc w:val="center"/>
                    <w:rPr>
                      <w:color w:val="auto"/>
                      <w:szCs w:val="21"/>
                    </w:rPr>
                  </w:pPr>
                  <w:r>
                    <w:rPr>
                      <w:color w:val="auto"/>
                      <w:szCs w:val="21"/>
                    </w:rPr>
                    <w:t>21.33</w:t>
                  </w:r>
                </w:p>
              </w:tc>
              <w:tc>
                <w:tcPr>
                  <w:tcW w:w="1703" w:type="dxa"/>
                  <w:vMerge w:val="continue"/>
                  <w:noWrap/>
                  <w:vAlign w:val="center"/>
                </w:tcPr>
                <w:p w14:paraId="5CCE3312">
                  <w:pPr>
                    <w:jc w:val="center"/>
                    <w:rPr>
                      <w:color w:val="auto"/>
                      <w:szCs w:val="21"/>
                    </w:rPr>
                  </w:pPr>
                </w:p>
              </w:tc>
              <w:tc>
                <w:tcPr>
                  <w:tcW w:w="875" w:type="dxa"/>
                  <w:noWrap/>
                  <w:vAlign w:val="center"/>
                </w:tcPr>
                <w:p w14:paraId="6D8A1AA5">
                  <w:pPr>
                    <w:jc w:val="center"/>
                    <w:rPr>
                      <w:color w:val="auto"/>
                      <w:szCs w:val="21"/>
                    </w:rPr>
                  </w:pPr>
                  <w:r>
                    <w:rPr>
                      <w:color w:val="auto"/>
                      <w:szCs w:val="21"/>
                    </w:rPr>
                    <w:t>达标</w:t>
                  </w:r>
                </w:p>
              </w:tc>
            </w:tr>
            <w:tr w14:paraId="296040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6A998080">
                  <w:pPr>
                    <w:jc w:val="center"/>
                    <w:rPr>
                      <w:color w:val="auto"/>
                      <w:szCs w:val="21"/>
                    </w:rPr>
                  </w:pPr>
                  <w:r>
                    <w:rPr>
                      <w:color w:val="auto"/>
                      <w:kern w:val="0"/>
                      <w:lang w:bidi="ar"/>
                    </w:rPr>
                    <w:t>北部散户</w:t>
                  </w:r>
                </w:p>
              </w:tc>
              <w:tc>
                <w:tcPr>
                  <w:tcW w:w="597" w:type="dxa"/>
                  <w:noWrap/>
                  <w:vAlign w:val="center"/>
                </w:tcPr>
                <w:p w14:paraId="1DE3A809">
                  <w:pPr>
                    <w:jc w:val="center"/>
                    <w:rPr>
                      <w:color w:val="auto"/>
                      <w:szCs w:val="21"/>
                    </w:rPr>
                  </w:pPr>
                  <w:r>
                    <w:rPr>
                      <w:color w:val="auto"/>
                      <w:szCs w:val="21"/>
                    </w:rPr>
                    <w:t>-280</w:t>
                  </w:r>
                </w:p>
              </w:tc>
              <w:tc>
                <w:tcPr>
                  <w:tcW w:w="548" w:type="dxa"/>
                  <w:noWrap/>
                  <w:vAlign w:val="center"/>
                </w:tcPr>
                <w:p w14:paraId="41B22C93">
                  <w:pPr>
                    <w:jc w:val="center"/>
                    <w:rPr>
                      <w:color w:val="auto"/>
                      <w:szCs w:val="21"/>
                    </w:rPr>
                  </w:pPr>
                  <w:r>
                    <w:rPr>
                      <w:color w:val="auto"/>
                      <w:szCs w:val="21"/>
                    </w:rPr>
                    <w:t>3</w:t>
                  </w:r>
                </w:p>
              </w:tc>
              <w:tc>
                <w:tcPr>
                  <w:tcW w:w="661" w:type="dxa"/>
                  <w:noWrap/>
                  <w:vAlign w:val="center"/>
                </w:tcPr>
                <w:p w14:paraId="6B64CBEE">
                  <w:pPr>
                    <w:jc w:val="center"/>
                    <w:rPr>
                      <w:color w:val="auto"/>
                      <w:szCs w:val="21"/>
                    </w:rPr>
                  </w:pPr>
                  <w:r>
                    <w:rPr>
                      <w:color w:val="auto"/>
                      <w:szCs w:val="21"/>
                    </w:rPr>
                    <w:t>1</w:t>
                  </w:r>
                </w:p>
              </w:tc>
              <w:tc>
                <w:tcPr>
                  <w:tcW w:w="613" w:type="dxa"/>
                  <w:noWrap/>
                  <w:vAlign w:val="center"/>
                </w:tcPr>
                <w:p w14:paraId="14F06313">
                  <w:pPr>
                    <w:jc w:val="center"/>
                    <w:rPr>
                      <w:color w:val="auto"/>
                      <w:szCs w:val="21"/>
                    </w:rPr>
                  </w:pPr>
                  <w:r>
                    <w:rPr>
                      <w:color w:val="auto"/>
                      <w:szCs w:val="21"/>
                    </w:rPr>
                    <w:t>昼</w:t>
                  </w:r>
                </w:p>
              </w:tc>
              <w:tc>
                <w:tcPr>
                  <w:tcW w:w="1307" w:type="dxa"/>
                  <w:noWrap/>
                  <w:vAlign w:val="center"/>
                </w:tcPr>
                <w:p w14:paraId="65157BE2">
                  <w:pPr>
                    <w:jc w:val="center"/>
                    <w:rPr>
                      <w:color w:val="auto"/>
                      <w:szCs w:val="21"/>
                    </w:rPr>
                  </w:pPr>
                  <w:r>
                    <w:rPr>
                      <w:color w:val="auto"/>
                      <w:szCs w:val="21"/>
                    </w:rPr>
                    <w:t>22.87</w:t>
                  </w:r>
                </w:p>
              </w:tc>
              <w:tc>
                <w:tcPr>
                  <w:tcW w:w="1703" w:type="dxa"/>
                  <w:vMerge w:val="continue"/>
                  <w:noWrap/>
                  <w:vAlign w:val="center"/>
                </w:tcPr>
                <w:p w14:paraId="043E7ED9">
                  <w:pPr>
                    <w:jc w:val="center"/>
                    <w:rPr>
                      <w:color w:val="auto"/>
                      <w:szCs w:val="21"/>
                    </w:rPr>
                  </w:pPr>
                </w:p>
              </w:tc>
              <w:tc>
                <w:tcPr>
                  <w:tcW w:w="875" w:type="dxa"/>
                  <w:noWrap/>
                  <w:vAlign w:val="center"/>
                </w:tcPr>
                <w:p w14:paraId="6C94F3F7">
                  <w:pPr>
                    <w:jc w:val="center"/>
                    <w:rPr>
                      <w:color w:val="auto"/>
                      <w:szCs w:val="21"/>
                    </w:rPr>
                  </w:pPr>
                  <w:r>
                    <w:rPr>
                      <w:color w:val="auto"/>
                      <w:szCs w:val="21"/>
                    </w:rPr>
                    <w:t>达标</w:t>
                  </w:r>
                </w:p>
              </w:tc>
            </w:tr>
            <w:tr w14:paraId="09569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6C8C76FD">
                  <w:pPr>
                    <w:jc w:val="center"/>
                    <w:rPr>
                      <w:color w:val="auto"/>
                      <w:szCs w:val="21"/>
                    </w:rPr>
                  </w:pPr>
                  <w:r>
                    <w:rPr>
                      <w:color w:val="auto"/>
                      <w:kern w:val="0"/>
                      <w:lang w:bidi="ar"/>
                    </w:rPr>
                    <w:t>东北部散户</w:t>
                  </w:r>
                </w:p>
              </w:tc>
              <w:tc>
                <w:tcPr>
                  <w:tcW w:w="597" w:type="dxa"/>
                  <w:noWrap/>
                  <w:vAlign w:val="center"/>
                </w:tcPr>
                <w:p w14:paraId="63BDAF29">
                  <w:pPr>
                    <w:jc w:val="center"/>
                    <w:rPr>
                      <w:color w:val="auto"/>
                      <w:szCs w:val="21"/>
                    </w:rPr>
                  </w:pPr>
                  <w:r>
                    <w:rPr>
                      <w:color w:val="auto"/>
                      <w:szCs w:val="21"/>
                    </w:rPr>
                    <w:t>-120</w:t>
                  </w:r>
                </w:p>
              </w:tc>
              <w:tc>
                <w:tcPr>
                  <w:tcW w:w="548" w:type="dxa"/>
                  <w:noWrap/>
                  <w:vAlign w:val="center"/>
                </w:tcPr>
                <w:p w14:paraId="7EF59D6B">
                  <w:pPr>
                    <w:jc w:val="center"/>
                    <w:rPr>
                      <w:color w:val="auto"/>
                      <w:szCs w:val="21"/>
                    </w:rPr>
                  </w:pPr>
                  <w:r>
                    <w:rPr>
                      <w:color w:val="auto"/>
                      <w:szCs w:val="21"/>
                    </w:rPr>
                    <w:t>55</w:t>
                  </w:r>
                </w:p>
              </w:tc>
              <w:tc>
                <w:tcPr>
                  <w:tcW w:w="661" w:type="dxa"/>
                  <w:noWrap/>
                  <w:vAlign w:val="center"/>
                </w:tcPr>
                <w:p w14:paraId="2FA516CC">
                  <w:pPr>
                    <w:jc w:val="center"/>
                    <w:rPr>
                      <w:color w:val="auto"/>
                      <w:szCs w:val="21"/>
                    </w:rPr>
                  </w:pPr>
                  <w:r>
                    <w:rPr>
                      <w:color w:val="auto"/>
                      <w:szCs w:val="21"/>
                    </w:rPr>
                    <w:t>1</w:t>
                  </w:r>
                </w:p>
              </w:tc>
              <w:tc>
                <w:tcPr>
                  <w:tcW w:w="613" w:type="dxa"/>
                  <w:noWrap/>
                  <w:vAlign w:val="center"/>
                </w:tcPr>
                <w:p w14:paraId="6B684C93">
                  <w:pPr>
                    <w:jc w:val="center"/>
                    <w:rPr>
                      <w:color w:val="auto"/>
                      <w:szCs w:val="21"/>
                    </w:rPr>
                  </w:pPr>
                  <w:r>
                    <w:rPr>
                      <w:color w:val="auto"/>
                      <w:szCs w:val="21"/>
                    </w:rPr>
                    <w:t>昼</w:t>
                  </w:r>
                </w:p>
              </w:tc>
              <w:tc>
                <w:tcPr>
                  <w:tcW w:w="1307" w:type="dxa"/>
                  <w:noWrap/>
                  <w:vAlign w:val="center"/>
                </w:tcPr>
                <w:p w14:paraId="1B4E93A6">
                  <w:pPr>
                    <w:jc w:val="center"/>
                    <w:rPr>
                      <w:color w:val="auto"/>
                      <w:szCs w:val="21"/>
                    </w:rPr>
                  </w:pPr>
                  <w:r>
                    <w:rPr>
                      <w:color w:val="auto"/>
                      <w:szCs w:val="21"/>
                    </w:rPr>
                    <w:t>20.65</w:t>
                  </w:r>
                </w:p>
              </w:tc>
              <w:tc>
                <w:tcPr>
                  <w:tcW w:w="1703" w:type="dxa"/>
                  <w:vMerge w:val="continue"/>
                  <w:noWrap/>
                  <w:vAlign w:val="center"/>
                </w:tcPr>
                <w:p w14:paraId="3082FEAE">
                  <w:pPr>
                    <w:jc w:val="center"/>
                    <w:rPr>
                      <w:color w:val="auto"/>
                      <w:szCs w:val="21"/>
                    </w:rPr>
                  </w:pPr>
                </w:p>
              </w:tc>
              <w:tc>
                <w:tcPr>
                  <w:tcW w:w="875" w:type="dxa"/>
                  <w:noWrap/>
                  <w:vAlign w:val="center"/>
                </w:tcPr>
                <w:p w14:paraId="2C71159B">
                  <w:pPr>
                    <w:jc w:val="center"/>
                    <w:rPr>
                      <w:color w:val="auto"/>
                      <w:szCs w:val="21"/>
                    </w:rPr>
                  </w:pPr>
                  <w:r>
                    <w:rPr>
                      <w:color w:val="auto"/>
                      <w:szCs w:val="21"/>
                    </w:rPr>
                    <w:t>达标</w:t>
                  </w:r>
                </w:p>
              </w:tc>
            </w:tr>
            <w:tr w14:paraId="65B158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460" w:type="dxa"/>
                  <w:noWrap/>
                  <w:vAlign w:val="center"/>
                </w:tcPr>
                <w:p w14:paraId="5B00AC0D">
                  <w:pPr>
                    <w:jc w:val="center"/>
                    <w:rPr>
                      <w:color w:val="auto"/>
                      <w:kern w:val="0"/>
                      <w:lang w:bidi="ar"/>
                    </w:rPr>
                  </w:pPr>
                  <w:r>
                    <w:rPr>
                      <w:color w:val="auto"/>
                      <w:kern w:val="0"/>
                      <w:lang w:bidi="ar"/>
                    </w:rPr>
                    <w:t>碾盘洲</w:t>
                  </w:r>
                </w:p>
              </w:tc>
              <w:tc>
                <w:tcPr>
                  <w:tcW w:w="597" w:type="dxa"/>
                  <w:noWrap/>
                  <w:vAlign w:val="center"/>
                </w:tcPr>
                <w:p w14:paraId="43D5432B">
                  <w:pPr>
                    <w:jc w:val="center"/>
                    <w:rPr>
                      <w:color w:val="auto"/>
                      <w:szCs w:val="21"/>
                    </w:rPr>
                  </w:pPr>
                  <w:r>
                    <w:rPr>
                      <w:color w:val="auto"/>
                      <w:szCs w:val="21"/>
                    </w:rPr>
                    <w:t>-30</w:t>
                  </w:r>
                </w:p>
              </w:tc>
              <w:tc>
                <w:tcPr>
                  <w:tcW w:w="548" w:type="dxa"/>
                  <w:noWrap/>
                  <w:vAlign w:val="center"/>
                </w:tcPr>
                <w:p w14:paraId="677E974B">
                  <w:pPr>
                    <w:jc w:val="center"/>
                    <w:rPr>
                      <w:color w:val="auto"/>
                      <w:szCs w:val="21"/>
                    </w:rPr>
                  </w:pPr>
                  <w:r>
                    <w:rPr>
                      <w:color w:val="auto"/>
                      <w:szCs w:val="21"/>
                    </w:rPr>
                    <w:t>-500</w:t>
                  </w:r>
                </w:p>
              </w:tc>
              <w:tc>
                <w:tcPr>
                  <w:tcW w:w="661" w:type="dxa"/>
                  <w:noWrap/>
                  <w:vAlign w:val="center"/>
                </w:tcPr>
                <w:p w14:paraId="7E7F0DCE">
                  <w:pPr>
                    <w:jc w:val="center"/>
                    <w:rPr>
                      <w:color w:val="auto"/>
                      <w:szCs w:val="21"/>
                    </w:rPr>
                  </w:pPr>
                  <w:r>
                    <w:rPr>
                      <w:color w:val="auto"/>
                      <w:szCs w:val="21"/>
                    </w:rPr>
                    <w:t>1</w:t>
                  </w:r>
                </w:p>
              </w:tc>
              <w:tc>
                <w:tcPr>
                  <w:tcW w:w="613" w:type="dxa"/>
                  <w:noWrap/>
                  <w:vAlign w:val="center"/>
                </w:tcPr>
                <w:p w14:paraId="6B4197D0">
                  <w:pPr>
                    <w:jc w:val="center"/>
                    <w:rPr>
                      <w:color w:val="auto"/>
                      <w:szCs w:val="21"/>
                    </w:rPr>
                  </w:pPr>
                  <w:r>
                    <w:rPr>
                      <w:color w:val="auto"/>
                      <w:szCs w:val="21"/>
                    </w:rPr>
                    <w:t>昼</w:t>
                  </w:r>
                </w:p>
              </w:tc>
              <w:tc>
                <w:tcPr>
                  <w:tcW w:w="1307" w:type="dxa"/>
                  <w:noWrap/>
                  <w:vAlign w:val="center"/>
                </w:tcPr>
                <w:p w14:paraId="4E69E9B1">
                  <w:pPr>
                    <w:jc w:val="center"/>
                    <w:rPr>
                      <w:color w:val="auto"/>
                      <w:szCs w:val="21"/>
                    </w:rPr>
                  </w:pPr>
                  <w:r>
                    <w:rPr>
                      <w:color w:val="auto"/>
                      <w:szCs w:val="21"/>
                    </w:rPr>
                    <w:t>25.08</w:t>
                  </w:r>
                </w:p>
              </w:tc>
              <w:tc>
                <w:tcPr>
                  <w:tcW w:w="1703" w:type="dxa"/>
                  <w:vMerge w:val="continue"/>
                  <w:noWrap/>
                  <w:vAlign w:val="center"/>
                </w:tcPr>
                <w:p w14:paraId="50371121">
                  <w:pPr>
                    <w:jc w:val="center"/>
                    <w:rPr>
                      <w:color w:val="auto"/>
                      <w:szCs w:val="21"/>
                    </w:rPr>
                  </w:pPr>
                </w:p>
              </w:tc>
              <w:tc>
                <w:tcPr>
                  <w:tcW w:w="875" w:type="dxa"/>
                  <w:noWrap/>
                  <w:vAlign w:val="center"/>
                </w:tcPr>
                <w:p w14:paraId="6B98F30E">
                  <w:pPr>
                    <w:jc w:val="center"/>
                    <w:rPr>
                      <w:color w:val="auto"/>
                      <w:szCs w:val="21"/>
                    </w:rPr>
                  </w:pPr>
                  <w:r>
                    <w:rPr>
                      <w:color w:val="auto"/>
                      <w:szCs w:val="21"/>
                    </w:rPr>
                    <w:t>达标</w:t>
                  </w:r>
                </w:p>
              </w:tc>
            </w:tr>
            <w:tr w14:paraId="7B5A7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764" w:type="dxa"/>
                  <w:gridSpan w:val="8"/>
                  <w:noWrap/>
                  <w:vAlign w:val="center"/>
                </w:tcPr>
                <w:p w14:paraId="5FA295D2">
                  <w:pPr>
                    <w:rPr>
                      <w:color w:val="auto"/>
                      <w:szCs w:val="21"/>
                      <w:u w:val="single"/>
                    </w:rPr>
                  </w:pPr>
                  <w:r>
                    <w:rPr>
                      <w:b/>
                      <w:bCs/>
                      <w:color w:val="auto"/>
                      <w:szCs w:val="21"/>
                    </w:rPr>
                    <w:t>注：以项目厂界东北角为中心（0,0,0）</w:t>
                  </w:r>
                </w:p>
              </w:tc>
            </w:tr>
          </w:tbl>
          <w:p w14:paraId="58BA6241">
            <w:pPr>
              <w:adjustRightInd w:val="0"/>
              <w:snapToGrid w:val="0"/>
              <w:spacing w:line="360" w:lineRule="auto"/>
              <w:ind w:firstLine="480" w:firstLineChars="200"/>
              <w:rPr>
                <w:b/>
                <w:bCs/>
                <w:color w:val="auto"/>
                <w:sz w:val="24"/>
              </w:rPr>
            </w:pPr>
            <w:r>
              <w:rPr>
                <w:color w:val="auto"/>
                <w:sz w:val="24"/>
              </w:rPr>
              <w:t>由以上预测结果可知，正常工况下，厂区内各声源经所在的构筑物围护结构的屏蔽效应、距离衰减以及绿化带吸音隔音后，项目东、南、西、北侧厂界昼间噪声贡献值均满足《工业企业厂界环境噪声排放标准》（GB12348-2008）中的1类标准限值要求，本项目</w:t>
            </w:r>
            <w:r>
              <w:rPr>
                <w:color w:val="auto"/>
                <w:sz w:val="24"/>
                <w:szCs w:val="21"/>
              </w:rPr>
              <w:t>东侧45m处居民点昼间背景值为56dB</w:t>
            </w:r>
            <w:r>
              <w:rPr>
                <w:color w:val="auto"/>
                <w:sz w:val="24"/>
              </w:rPr>
              <w:t>，</w:t>
            </w:r>
            <w:r>
              <w:rPr>
                <w:color w:val="auto"/>
                <w:sz w:val="24"/>
                <w:szCs w:val="21"/>
              </w:rPr>
              <w:t>夜间背景值为43dB，叠加贡献值后昼间叠加值为56dB</w:t>
            </w:r>
            <w:r>
              <w:rPr>
                <w:color w:val="auto"/>
                <w:sz w:val="24"/>
              </w:rPr>
              <w:t>，</w:t>
            </w:r>
            <w:r>
              <w:rPr>
                <w:color w:val="auto"/>
                <w:sz w:val="24"/>
                <w:szCs w:val="21"/>
              </w:rPr>
              <w:t>夜间叠加值为43dB，均满足</w:t>
            </w:r>
            <w:r>
              <w:rPr>
                <w:color w:val="auto"/>
                <w:sz w:val="24"/>
                <w:szCs w:val="20"/>
              </w:rPr>
              <w:t>《声环境质量标准》（GB3096-2008）中2类标准要求</w:t>
            </w:r>
            <w:r>
              <w:rPr>
                <w:color w:val="auto"/>
                <w:sz w:val="24"/>
              </w:rPr>
              <w:t>。</w:t>
            </w:r>
          </w:p>
          <w:p w14:paraId="015831C2">
            <w:pPr>
              <w:spacing w:line="360" w:lineRule="auto"/>
              <w:rPr>
                <w:rFonts w:hint="eastAsia" w:ascii="宋体" w:hAnsi="宋体" w:cs="宋体"/>
                <w:b/>
                <w:bCs/>
                <w:color w:val="auto"/>
                <w:kern w:val="0"/>
                <w:sz w:val="24"/>
                <w:lang w:bidi="ar"/>
              </w:rPr>
            </w:pPr>
            <w:r>
              <w:rPr>
                <w:rFonts w:hint="eastAsia" w:ascii="宋体" w:hAnsi="宋体" w:cs="宋体"/>
                <w:b/>
                <w:bCs/>
                <w:color w:val="auto"/>
                <w:kern w:val="0"/>
                <w:sz w:val="24"/>
                <w:lang w:bidi="ar"/>
              </w:rPr>
              <w:t>4、固废</w:t>
            </w:r>
            <w:r>
              <w:rPr>
                <w:b/>
                <w:bCs/>
                <w:color w:val="auto"/>
                <w:kern w:val="0"/>
                <w:sz w:val="24"/>
                <w:lang w:bidi="ar"/>
              </w:rPr>
              <w:t>污染源</w:t>
            </w:r>
            <w:r>
              <w:rPr>
                <w:rFonts w:hint="eastAsia"/>
                <w:b/>
                <w:bCs/>
                <w:color w:val="auto"/>
                <w:kern w:val="0"/>
                <w:sz w:val="24"/>
                <w:lang w:bidi="ar"/>
              </w:rPr>
              <w:t>强</w:t>
            </w:r>
          </w:p>
          <w:p w14:paraId="2F79804C">
            <w:pPr>
              <w:spacing w:line="360" w:lineRule="auto"/>
              <w:ind w:firstLine="480" w:firstLineChars="200"/>
              <w:rPr>
                <w:rFonts w:hint="eastAsia" w:ascii="宋体" w:hAnsi="宋体" w:cs="宋体"/>
                <w:color w:val="auto"/>
                <w:kern w:val="0"/>
                <w:sz w:val="24"/>
                <w:lang w:bidi="ar"/>
              </w:rPr>
            </w:pPr>
            <w:r>
              <w:rPr>
                <w:rFonts w:hint="eastAsia" w:ascii="宋体" w:hAnsi="宋体" w:cs="宋体"/>
                <w:color w:val="auto"/>
                <w:kern w:val="0"/>
                <w:sz w:val="24"/>
                <w:lang w:bidi="ar"/>
              </w:rPr>
              <w:t>本项目一般废物主要为尾水塔固液分离过程产生的污泥、圈养桶养殖过程病死鱼、废包装材料以及员工生活垃圾等。</w:t>
            </w:r>
          </w:p>
          <w:p w14:paraId="633BAC84">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①尾水塔污泥</w:t>
            </w:r>
          </w:p>
          <w:p w14:paraId="03561F2F">
            <w:pPr>
              <w:widowControl/>
              <w:spacing w:line="360" w:lineRule="auto"/>
              <w:ind w:firstLine="480" w:firstLineChars="200"/>
              <w:jc w:val="left"/>
              <w:rPr>
                <w:color w:val="auto"/>
              </w:rPr>
            </w:pPr>
            <w:r>
              <w:rPr>
                <w:rFonts w:hint="eastAsia" w:ascii="宋体" w:hAnsi="宋体" w:cs="宋体"/>
                <w:color w:val="auto"/>
                <w:kern w:val="0"/>
                <w:sz w:val="24"/>
                <w:lang w:bidi="ar"/>
              </w:rPr>
              <w:t>养殖黑水首先进入尾水塔进行固液分离后再进入人工湿地内，在尾水塔固液分离过程，黑水中大颗粒（如未碎残饵）快速沉降至塔底；小颗粒随水流上升时，被滤料吸附或阻挡，逐渐聚集后也会沉降。沉降在底部即为尾水塔污泥。根据本项目的特点，本次参考</w:t>
            </w:r>
            <w:r>
              <w:rPr>
                <w:rFonts w:ascii="HYShuSongErKW" w:hAnsi="HYShuSongErKW" w:eastAsia="HYShuSongErKW" w:cs="HYShuSongErKW"/>
                <w:color w:val="auto"/>
                <w:kern w:val="0"/>
                <w:sz w:val="24"/>
                <w:lang w:bidi="ar"/>
              </w:rPr>
              <w:t>《排污许可证申请与核发技术规范水处理（试行）》（</w:t>
            </w:r>
            <w:r>
              <w:rPr>
                <w:color w:val="auto"/>
                <w:kern w:val="0"/>
                <w:sz w:val="24"/>
                <w:lang w:bidi="ar"/>
              </w:rPr>
              <w:t>HJ978-2018</w:t>
            </w:r>
            <w:r>
              <w:rPr>
                <w:rFonts w:ascii="HYShuSongErKW" w:hAnsi="HYShuSongErKW" w:eastAsia="HYShuSongErKW" w:cs="HYShuSongErKW"/>
                <w:color w:val="auto"/>
                <w:kern w:val="0"/>
                <w:sz w:val="24"/>
                <w:lang w:bidi="ar"/>
              </w:rPr>
              <w:t>）中污泥产生量公式确定本项目污泥产生量：</w:t>
            </w:r>
          </w:p>
          <w:p w14:paraId="19F6F3FE">
            <w:pPr>
              <w:widowControl/>
              <w:spacing w:line="360" w:lineRule="auto"/>
              <w:ind w:firstLine="480" w:firstLineChars="200"/>
              <w:jc w:val="left"/>
              <w:rPr>
                <w:color w:val="auto"/>
              </w:rPr>
            </w:pPr>
            <w:r>
              <w:rPr>
                <w:color w:val="auto"/>
                <w:kern w:val="0"/>
                <w:sz w:val="24"/>
                <w:lang w:bidi="ar"/>
              </w:rPr>
              <w:t>E</w:t>
            </w:r>
            <w:r>
              <w:rPr>
                <w:rFonts w:ascii="HYShuSongErKW" w:hAnsi="HYShuSongErKW" w:eastAsia="HYShuSongErKW" w:cs="HYShuSongErKW"/>
                <w:color w:val="auto"/>
                <w:kern w:val="0"/>
                <w:sz w:val="14"/>
                <w:szCs w:val="14"/>
                <w:lang w:bidi="ar"/>
              </w:rPr>
              <w:t>产生量</w:t>
            </w:r>
            <w:r>
              <w:rPr>
                <w:color w:val="auto"/>
                <w:kern w:val="0"/>
                <w:sz w:val="24"/>
                <w:lang w:bidi="ar"/>
              </w:rPr>
              <w:t>=1.7×Q×W</w:t>
            </w:r>
            <w:r>
              <w:rPr>
                <w:rFonts w:ascii="HYShuSongErKW" w:hAnsi="HYShuSongErKW" w:eastAsia="HYShuSongErKW" w:cs="HYShuSongErKW"/>
                <w:color w:val="auto"/>
                <w:kern w:val="0"/>
                <w:sz w:val="14"/>
                <w:szCs w:val="14"/>
                <w:lang w:bidi="ar"/>
              </w:rPr>
              <w:t>深</w:t>
            </w:r>
            <w:r>
              <w:rPr>
                <w:color w:val="auto"/>
                <w:kern w:val="0"/>
                <w:sz w:val="24"/>
                <w:lang w:bidi="ar"/>
              </w:rPr>
              <w:t>×10</w:t>
            </w:r>
            <w:r>
              <w:rPr>
                <w:rFonts w:hint="eastAsia"/>
                <w:color w:val="auto"/>
                <w:kern w:val="0"/>
                <w:sz w:val="24"/>
                <w:vertAlign w:val="superscript"/>
                <w:lang w:bidi="ar"/>
              </w:rPr>
              <w:t>-4</w:t>
            </w:r>
          </w:p>
          <w:p w14:paraId="31FB074E">
            <w:pPr>
              <w:widowControl/>
              <w:spacing w:line="360" w:lineRule="auto"/>
              <w:ind w:firstLine="480" w:firstLineChars="200"/>
              <w:jc w:val="left"/>
              <w:rPr>
                <w:color w:val="auto"/>
              </w:rPr>
            </w:pPr>
            <w:r>
              <w:rPr>
                <w:rFonts w:ascii="HYShuSongErKW" w:hAnsi="HYShuSongErKW" w:eastAsia="HYShuSongErKW" w:cs="HYShuSongErKW"/>
                <w:color w:val="auto"/>
                <w:kern w:val="0"/>
                <w:sz w:val="24"/>
                <w:lang w:bidi="ar"/>
              </w:rPr>
              <w:t>式中：</w:t>
            </w:r>
            <w:r>
              <w:rPr>
                <w:color w:val="auto"/>
                <w:kern w:val="0"/>
                <w:sz w:val="24"/>
                <w:lang w:bidi="ar"/>
              </w:rPr>
              <w:t>E</w:t>
            </w:r>
            <w:r>
              <w:rPr>
                <w:rFonts w:ascii="HYShuSongErKW" w:hAnsi="HYShuSongErKW" w:eastAsia="HYShuSongErKW" w:cs="HYShuSongErKW"/>
                <w:color w:val="auto"/>
                <w:kern w:val="0"/>
                <w:sz w:val="14"/>
                <w:szCs w:val="14"/>
                <w:lang w:bidi="ar"/>
              </w:rPr>
              <w:t>产生量</w:t>
            </w:r>
            <w:r>
              <w:rPr>
                <w:rFonts w:ascii="HYShuSongErKW" w:hAnsi="HYShuSongErKW" w:eastAsia="HYShuSongErKW" w:cs="HYShuSongErKW"/>
                <w:color w:val="auto"/>
                <w:kern w:val="0"/>
                <w:sz w:val="24"/>
                <w:lang w:bidi="ar"/>
              </w:rPr>
              <w:t>——污水处理过程中产生的污泥量，以干泥计，</w:t>
            </w:r>
            <w:r>
              <w:rPr>
                <w:color w:val="auto"/>
                <w:kern w:val="0"/>
                <w:sz w:val="24"/>
                <w:lang w:bidi="ar"/>
              </w:rPr>
              <w:t>t</w:t>
            </w:r>
            <w:r>
              <w:rPr>
                <w:rFonts w:ascii="HYShuSongErKW" w:hAnsi="HYShuSongErKW" w:eastAsia="HYShuSongErKW" w:cs="HYShuSongErKW"/>
                <w:color w:val="auto"/>
                <w:kern w:val="0"/>
                <w:sz w:val="24"/>
                <w:lang w:bidi="ar"/>
              </w:rPr>
              <w:t>；</w:t>
            </w:r>
          </w:p>
          <w:p w14:paraId="0653FF60">
            <w:pPr>
              <w:widowControl/>
              <w:spacing w:line="360" w:lineRule="auto"/>
              <w:ind w:firstLine="480" w:firstLineChars="200"/>
              <w:jc w:val="left"/>
              <w:rPr>
                <w:color w:val="auto"/>
              </w:rPr>
            </w:pPr>
            <w:r>
              <w:rPr>
                <w:color w:val="auto"/>
                <w:kern w:val="0"/>
                <w:sz w:val="24"/>
                <w:lang w:bidi="ar"/>
              </w:rPr>
              <w:t>Q</w:t>
            </w:r>
            <w:r>
              <w:rPr>
                <w:rFonts w:eastAsia="HYShuSongErKW"/>
                <w:color w:val="auto"/>
                <w:kern w:val="0"/>
                <w:sz w:val="24"/>
                <w:lang w:bidi="ar"/>
              </w:rPr>
              <w:t>——核算时段内排污单位废水排放量，m³</w:t>
            </w:r>
          </w:p>
          <w:p w14:paraId="5F78B6A7">
            <w:pPr>
              <w:widowControl/>
              <w:spacing w:line="360" w:lineRule="auto"/>
              <w:ind w:firstLine="480" w:firstLineChars="200"/>
              <w:jc w:val="left"/>
              <w:rPr>
                <w:color w:val="auto"/>
                <w:sz w:val="24"/>
              </w:rPr>
            </w:pPr>
            <w:r>
              <w:rPr>
                <w:color w:val="auto"/>
                <w:kern w:val="0"/>
                <w:sz w:val="24"/>
                <w:lang w:bidi="ar"/>
              </w:rPr>
              <w:t>W</w:t>
            </w:r>
            <w:r>
              <w:rPr>
                <w:rFonts w:eastAsia="HYShuSongErKW"/>
                <w:color w:val="auto"/>
                <w:kern w:val="0"/>
                <w:sz w:val="24"/>
                <w:lang w:bidi="ar"/>
              </w:rPr>
              <w:t>深——有深度处理工艺（添加化学药剂）时按</w:t>
            </w:r>
            <w:r>
              <w:rPr>
                <w:color w:val="auto"/>
                <w:kern w:val="0"/>
                <w:sz w:val="24"/>
                <w:lang w:bidi="ar"/>
              </w:rPr>
              <w:t>2</w:t>
            </w:r>
            <w:r>
              <w:rPr>
                <w:rFonts w:eastAsia="HYShuSongErKW"/>
                <w:color w:val="auto"/>
                <w:kern w:val="0"/>
                <w:sz w:val="24"/>
                <w:lang w:bidi="ar"/>
              </w:rPr>
              <w:t>计，无深度处理工艺时按</w:t>
            </w:r>
            <w:r>
              <w:rPr>
                <w:color w:val="auto"/>
                <w:kern w:val="0"/>
                <w:sz w:val="24"/>
                <w:lang w:bidi="ar"/>
              </w:rPr>
              <w:t>1</w:t>
            </w:r>
            <w:r>
              <w:rPr>
                <w:rFonts w:eastAsia="HYShuSongErKW"/>
                <w:color w:val="auto"/>
                <w:kern w:val="0"/>
                <w:sz w:val="24"/>
                <w:lang w:bidi="ar"/>
              </w:rPr>
              <w:t>计，量纲一，本项目取</w:t>
            </w:r>
            <w:r>
              <w:rPr>
                <w:rFonts w:hint="eastAsia" w:eastAsia="HYShuSongErKW"/>
                <w:color w:val="auto"/>
                <w:kern w:val="0"/>
                <w:sz w:val="24"/>
                <w:lang w:bidi="ar"/>
              </w:rPr>
              <w:t>1</w:t>
            </w:r>
            <w:r>
              <w:rPr>
                <w:rFonts w:eastAsia="HYShuSongErKW"/>
                <w:color w:val="auto"/>
                <w:kern w:val="0"/>
                <w:sz w:val="24"/>
                <w:lang w:bidi="ar"/>
              </w:rPr>
              <w:t>。</w:t>
            </w:r>
          </w:p>
          <w:p w14:paraId="35040806">
            <w:pPr>
              <w:widowControl/>
              <w:wordWrap w:val="0"/>
              <w:spacing w:line="360" w:lineRule="auto"/>
              <w:ind w:firstLine="480" w:firstLineChars="200"/>
              <w:jc w:val="left"/>
              <w:rPr>
                <w:rFonts w:hint="eastAsia" w:ascii="宋体" w:hAnsi="宋体" w:cs="宋体"/>
                <w:color w:val="auto"/>
                <w:kern w:val="0"/>
                <w:sz w:val="24"/>
                <w:lang w:bidi="ar"/>
              </w:rPr>
            </w:pPr>
            <w:r>
              <w:rPr>
                <w:rFonts w:eastAsia="HYShuSongErKW"/>
                <w:color w:val="auto"/>
                <w:kern w:val="0"/>
                <w:sz w:val="24"/>
                <w:lang w:bidi="ar"/>
              </w:rPr>
              <w:t>按上式可计算得到本项目干污泥产生量为</w:t>
            </w:r>
            <w:r>
              <w:rPr>
                <w:rFonts w:hint="eastAsia" w:eastAsia="HYShuSongErKW"/>
                <w:color w:val="auto"/>
                <w:kern w:val="0"/>
                <w:sz w:val="24"/>
                <w:lang w:bidi="ar"/>
              </w:rPr>
              <w:t>3.536</w:t>
            </w:r>
            <w:r>
              <w:rPr>
                <w:color w:val="auto"/>
                <w:kern w:val="0"/>
                <w:sz w:val="24"/>
                <w:lang w:bidi="ar"/>
              </w:rPr>
              <w:t>t/a</w:t>
            </w:r>
            <w:r>
              <w:rPr>
                <w:rFonts w:eastAsia="HYShuSongErKW"/>
                <w:color w:val="auto"/>
                <w:kern w:val="0"/>
                <w:sz w:val="24"/>
                <w:lang w:bidi="ar"/>
              </w:rPr>
              <w:t>，</w:t>
            </w:r>
            <w:r>
              <w:rPr>
                <w:rFonts w:hint="eastAsia" w:eastAsia="HYShuSongErKW"/>
                <w:color w:val="auto"/>
                <w:kern w:val="0"/>
                <w:sz w:val="24"/>
                <w:lang w:bidi="ar"/>
              </w:rPr>
              <w:t>污泥未经机械脱水含水率以96%计算，</w:t>
            </w:r>
            <w:r>
              <w:rPr>
                <w:rFonts w:eastAsia="HYShuSongErKW"/>
                <w:color w:val="auto"/>
                <w:kern w:val="0"/>
                <w:sz w:val="24"/>
                <w:lang w:bidi="ar"/>
              </w:rPr>
              <w:t>折合含水污泥</w:t>
            </w:r>
            <w:r>
              <w:rPr>
                <w:rFonts w:hint="eastAsia" w:eastAsia="HYShuSongErKW"/>
                <w:color w:val="auto"/>
                <w:kern w:val="0"/>
                <w:sz w:val="24"/>
                <w:lang w:bidi="ar"/>
              </w:rPr>
              <w:t>88.4</w:t>
            </w:r>
            <w:r>
              <w:rPr>
                <w:color w:val="auto"/>
                <w:kern w:val="0"/>
                <w:sz w:val="24"/>
                <w:lang w:bidi="ar"/>
              </w:rPr>
              <w:t>t/a</w:t>
            </w:r>
            <w:r>
              <w:rPr>
                <w:rFonts w:hint="eastAsia" w:ascii="宋体" w:hAnsi="宋体" w:cs="宋体"/>
                <w:color w:val="auto"/>
                <w:kern w:val="0"/>
                <w:sz w:val="24"/>
                <w:lang w:bidi="ar"/>
              </w:rPr>
              <w:t>。</w:t>
            </w:r>
          </w:p>
          <w:p w14:paraId="76B4A279">
            <w:pPr>
              <w:widowControl/>
              <w:wordWrap w:val="0"/>
              <w:spacing w:line="360" w:lineRule="auto"/>
              <w:ind w:firstLine="480" w:firstLineChars="200"/>
              <w:jc w:val="left"/>
              <w:rPr>
                <w:rFonts w:eastAsia="HYShuSongErKW"/>
                <w:color w:val="auto"/>
                <w:kern w:val="0"/>
                <w:sz w:val="24"/>
                <w:u w:val="single"/>
                <w:lang w:bidi="ar"/>
              </w:rPr>
            </w:pPr>
            <w:r>
              <w:rPr>
                <w:rFonts w:hint="eastAsia" w:eastAsia="HYShuSongErKW"/>
                <w:color w:val="auto"/>
                <w:kern w:val="0"/>
                <w:sz w:val="24"/>
                <w:u w:val="single"/>
                <w:lang w:bidi="ar"/>
              </w:rPr>
              <w:t>尾水塔</w:t>
            </w:r>
            <w:r>
              <w:rPr>
                <w:rFonts w:eastAsia="HYShuSongErKW"/>
                <w:color w:val="auto"/>
                <w:kern w:val="0"/>
                <w:sz w:val="24"/>
                <w:u w:val="single"/>
                <w:lang w:bidi="ar"/>
              </w:rPr>
              <w:t>污泥中含有大量鱼类排泄物、残饵分解物，以及水体中的浮游生物残骸，</w:t>
            </w:r>
            <w:r>
              <w:rPr>
                <w:rFonts w:hint="eastAsia" w:eastAsia="HYShuSongErKW"/>
                <w:color w:val="auto"/>
                <w:kern w:val="0"/>
                <w:sz w:val="24"/>
                <w:u w:val="single"/>
                <w:lang w:bidi="ar"/>
              </w:rPr>
              <w:t>建设单位计划将尾水塔污泥将运送给附近村民用作农肥，或由附件居民自行拖运。污泥</w:t>
            </w:r>
            <w:r>
              <w:rPr>
                <w:rFonts w:eastAsia="HYShuSongErKW"/>
                <w:color w:val="auto"/>
                <w:kern w:val="0"/>
                <w:sz w:val="24"/>
                <w:u w:val="single"/>
                <w:lang w:bidi="ar"/>
              </w:rPr>
              <w:t>天然富含氮、磷、钾等基础养分，能满足蔬菜、果树、粮食作物等不同生长阶段的营养需求，减少化学肥料的使用量</w:t>
            </w:r>
            <w:r>
              <w:rPr>
                <w:rFonts w:hint="eastAsia" w:eastAsia="HYShuSongErKW"/>
                <w:color w:val="auto"/>
                <w:kern w:val="0"/>
                <w:sz w:val="24"/>
                <w:u w:val="single"/>
                <w:lang w:bidi="ar"/>
              </w:rPr>
              <w:t>，养分供给能力强，可直接替代30%-50%的化学肥料，降低农户种植成本。同时项目将养殖废弃物转化为农业资源，既减少了污泥填埋、焚烧的处理成本，又降低了化学肥料对土壤结构的破坏，符合“种养结合”的循环农业模式。</w:t>
            </w:r>
          </w:p>
          <w:p w14:paraId="0AC9E310">
            <w:pPr>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②病死鱼</w:t>
            </w:r>
          </w:p>
          <w:p w14:paraId="7E188DE3">
            <w:pPr>
              <w:spacing w:line="360" w:lineRule="auto"/>
              <w:ind w:firstLine="480" w:firstLineChars="200"/>
              <w:jc w:val="left"/>
              <w:rPr>
                <w:color w:val="auto"/>
                <w:kern w:val="0"/>
                <w:sz w:val="24"/>
                <w:lang w:bidi="ar"/>
              </w:rPr>
            </w:pPr>
            <w:r>
              <w:rPr>
                <w:color w:val="auto"/>
                <w:kern w:val="0"/>
                <w:sz w:val="24"/>
                <w:lang w:bidi="ar"/>
              </w:rPr>
              <w:t>养殖过程中，日常饲养管理、环境突变、疾病爆发这三个核心环节最易产生病死鱼，</w:t>
            </w:r>
            <w:r>
              <w:rPr>
                <w:rFonts w:hint="eastAsia"/>
                <w:color w:val="auto"/>
                <w:kern w:val="0"/>
                <w:sz w:val="24"/>
                <w:lang w:bidi="ar"/>
              </w:rPr>
              <w:t>根据业主提供资</w:t>
            </w:r>
            <w:r>
              <w:rPr>
                <w:color w:val="auto"/>
                <w:kern w:val="0"/>
                <w:sz w:val="24"/>
                <w:lang w:bidi="ar"/>
              </w:rPr>
              <w:t>料，在正常情况下病、死鱼的产生量约为产量的0.2%，</w:t>
            </w:r>
            <w:r>
              <w:rPr>
                <w:rFonts w:hint="eastAsia"/>
                <w:color w:val="auto"/>
                <w:kern w:val="0"/>
                <w:sz w:val="24"/>
                <w:lang w:bidi="ar"/>
              </w:rPr>
              <w:t>经核算，</w:t>
            </w:r>
            <w:r>
              <w:rPr>
                <w:color w:val="auto"/>
                <w:kern w:val="0"/>
                <w:sz w:val="24"/>
                <w:lang w:bidi="ar"/>
              </w:rPr>
              <w:t>本项目病死鱼产生量为0.32t/a</w:t>
            </w:r>
            <w:r>
              <w:rPr>
                <w:rFonts w:hint="eastAsia"/>
                <w:color w:val="auto"/>
                <w:kern w:val="0"/>
                <w:sz w:val="24"/>
                <w:lang w:bidi="ar"/>
              </w:rPr>
              <w:t>。</w:t>
            </w:r>
            <w:r>
              <w:rPr>
                <w:color w:val="auto"/>
                <w:kern w:val="0"/>
                <w:sz w:val="24"/>
                <w:lang w:bidi="ar"/>
              </w:rPr>
              <w:t>在病死鱼产生后，</w:t>
            </w:r>
            <w:r>
              <w:rPr>
                <w:rFonts w:hint="eastAsia"/>
                <w:color w:val="auto"/>
                <w:kern w:val="0"/>
                <w:sz w:val="24"/>
                <w:lang w:bidi="ar"/>
              </w:rPr>
              <w:t>将</w:t>
            </w:r>
            <w:r>
              <w:rPr>
                <w:color w:val="auto"/>
                <w:kern w:val="0"/>
                <w:sz w:val="24"/>
                <w:lang w:bidi="ar"/>
              </w:rPr>
              <w:t>第一时间进行捞出作业并开展消毒处理，随后委托具备相应资质的第三方公司实施无害化处理。</w:t>
            </w:r>
          </w:p>
          <w:p w14:paraId="0F083CB2">
            <w:pPr>
              <w:spacing w:line="360" w:lineRule="auto"/>
              <w:ind w:firstLine="480" w:firstLineChars="200"/>
              <w:jc w:val="left"/>
              <w:rPr>
                <w:color w:val="auto"/>
                <w:kern w:val="0"/>
                <w:sz w:val="24"/>
                <w:lang w:bidi="ar"/>
              </w:rPr>
            </w:pPr>
            <w:r>
              <w:rPr>
                <w:color w:val="auto"/>
                <w:kern w:val="0"/>
                <w:sz w:val="24"/>
                <w:lang w:bidi="ar"/>
              </w:rPr>
              <w:t>③</w:t>
            </w:r>
            <w:r>
              <w:rPr>
                <w:rFonts w:hint="eastAsia"/>
                <w:color w:val="auto"/>
                <w:kern w:val="0"/>
                <w:sz w:val="24"/>
                <w:lang w:bidi="ar"/>
              </w:rPr>
              <w:t>废包装材料</w:t>
            </w:r>
          </w:p>
          <w:p w14:paraId="4A0D3CA0">
            <w:pPr>
              <w:spacing w:line="360" w:lineRule="auto"/>
              <w:ind w:firstLine="480" w:firstLineChars="200"/>
              <w:rPr>
                <w:color w:val="auto"/>
                <w:kern w:val="0"/>
                <w:sz w:val="24"/>
                <w:lang w:bidi="ar"/>
              </w:rPr>
            </w:pPr>
            <w:r>
              <w:rPr>
                <w:rFonts w:hint="eastAsia"/>
                <w:color w:val="auto"/>
                <w:kern w:val="0"/>
                <w:sz w:val="24"/>
              </w:rPr>
              <w:t>废包装材料</w:t>
            </w:r>
            <w:r>
              <w:rPr>
                <w:color w:val="auto"/>
                <w:kern w:val="0"/>
                <w:sz w:val="24"/>
              </w:rPr>
              <w:t>主要</w:t>
            </w:r>
            <w:r>
              <w:rPr>
                <w:rFonts w:hint="eastAsia"/>
                <w:color w:val="auto"/>
                <w:kern w:val="0"/>
                <w:sz w:val="24"/>
              </w:rPr>
              <w:t>为药品、饲料等</w:t>
            </w:r>
            <w:r>
              <w:rPr>
                <w:color w:val="auto"/>
                <w:kern w:val="0"/>
                <w:sz w:val="24"/>
              </w:rPr>
              <w:t>包装过程中产生的纸箱、塑料袋</w:t>
            </w:r>
            <w:r>
              <w:rPr>
                <w:rFonts w:hint="eastAsia"/>
                <w:color w:val="auto"/>
                <w:kern w:val="0"/>
                <w:sz w:val="24"/>
              </w:rPr>
              <w:t>、塑料瓶</w:t>
            </w:r>
            <w:r>
              <w:rPr>
                <w:color w:val="auto"/>
                <w:kern w:val="0"/>
                <w:sz w:val="24"/>
              </w:rPr>
              <w:t>等</w:t>
            </w:r>
            <w:r>
              <w:rPr>
                <w:color w:val="auto"/>
                <w:sz w:val="24"/>
                <w:shd w:val="clear" w:color="auto" w:fill="FFFFFF"/>
              </w:rPr>
              <w:t>，</w:t>
            </w:r>
            <w:r>
              <w:rPr>
                <w:color w:val="auto"/>
                <w:sz w:val="24"/>
              </w:rPr>
              <w:t>产生量约为</w:t>
            </w:r>
            <w:r>
              <w:rPr>
                <w:rFonts w:hint="eastAsia"/>
                <w:color w:val="auto"/>
                <w:sz w:val="24"/>
              </w:rPr>
              <w:t>0.2</w:t>
            </w:r>
            <w:r>
              <w:rPr>
                <w:rFonts w:eastAsia="TimesNewRomanPSMT"/>
                <w:color w:val="auto"/>
                <w:sz w:val="24"/>
              </w:rPr>
              <w:t>t/a</w:t>
            </w:r>
            <w:r>
              <w:rPr>
                <w:color w:val="auto"/>
                <w:sz w:val="24"/>
              </w:rPr>
              <w:t>，将统一收集后外售给物资单位回收综合利用。</w:t>
            </w:r>
          </w:p>
          <w:p w14:paraId="78DB964C">
            <w:pPr>
              <w:spacing w:line="360" w:lineRule="auto"/>
              <w:ind w:firstLine="480" w:firstLineChars="200"/>
              <w:rPr>
                <w:color w:val="auto"/>
                <w:kern w:val="0"/>
                <w:sz w:val="24"/>
                <w:lang w:bidi="ar"/>
              </w:rPr>
            </w:pPr>
            <w:r>
              <w:rPr>
                <w:rFonts w:hint="eastAsia" w:ascii="微软雅黑" w:hAnsi="微软雅黑" w:eastAsia="微软雅黑" w:cs="微软雅黑"/>
                <w:color w:val="auto"/>
                <w:kern w:val="0"/>
                <w:sz w:val="24"/>
                <w:lang w:bidi="ar"/>
              </w:rPr>
              <w:t>④</w:t>
            </w:r>
            <w:r>
              <w:rPr>
                <w:color w:val="auto"/>
                <w:kern w:val="0"/>
                <w:sz w:val="24"/>
                <w:lang w:bidi="ar"/>
              </w:rPr>
              <w:t>员工生活垃圾</w:t>
            </w:r>
          </w:p>
          <w:p w14:paraId="1B21C917">
            <w:pPr>
              <w:spacing w:line="360" w:lineRule="auto"/>
              <w:ind w:firstLine="480" w:firstLineChars="200"/>
              <w:rPr>
                <w:color w:val="auto"/>
                <w:kern w:val="0"/>
                <w:sz w:val="24"/>
                <w:lang w:bidi="ar"/>
              </w:rPr>
            </w:pPr>
            <w:r>
              <w:rPr>
                <w:color w:val="auto"/>
                <w:kern w:val="0"/>
                <w:sz w:val="24"/>
                <w:lang w:bidi="ar"/>
              </w:rPr>
              <w:t>本项目劳动定员3人，均为附近居民，办公生活垃圾按照0.5kg/d·人计算，则生活垃圾的产生量为0.54t/a，</w:t>
            </w:r>
            <w:r>
              <w:rPr>
                <w:rFonts w:hint="eastAsia"/>
                <w:color w:val="auto"/>
                <w:kern w:val="0"/>
                <w:sz w:val="24"/>
                <w:lang w:bidi="ar"/>
              </w:rPr>
              <w:t>生活垃圾</w:t>
            </w:r>
            <w:r>
              <w:rPr>
                <w:color w:val="auto"/>
                <w:kern w:val="0"/>
                <w:sz w:val="24"/>
                <w:lang w:bidi="ar"/>
              </w:rPr>
              <w:t>交由环卫部门清运。</w:t>
            </w:r>
          </w:p>
          <w:p w14:paraId="7A2C24FC">
            <w:pPr>
              <w:jc w:val="center"/>
              <w:rPr>
                <w:rFonts w:hint="eastAsia" w:ascii="宋体" w:hAnsi="宋体" w:cs="宋体"/>
                <w:color w:val="auto"/>
                <w:szCs w:val="21"/>
              </w:rPr>
            </w:pPr>
            <w:r>
              <w:rPr>
                <w:b/>
                <w:bCs/>
                <w:color w:val="auto"/>
                <w:szCs w:val="21"/>
              </w:rPr>
              <w:t>表4-13   固体废物</w:t>
            </w:r>
            <w:r>
              <w:rPr>
                <w:rFonts w:hint="eastAsia" w:ascii="宋体" w:hAnsi="宋体" w:cs="宋体"/>
                <w:b/>
                <w:bCs/>
                <w:color w:val="auto"/>
                <w:szCs w:val="21"/>
              </w:rPr>
              <w:t>一览表及处理处置方式</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69"/>
              <w:gridCol w:w="1427"/>
              <w:gridCol w:w="1240"/>
              <w:gridCol w:w="1240"/>
              <w:gridCol w:w="2469"/>
            </w:tblGrid>
            <w:tr w14:paraId="7946D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vAlign w:val="center"/>
                </w:tcPr>
                <w:p w14:paraId="0A93C924">
                  <w:pPr>
                    <w:jc w:val="center"/>
                    <w:rPr>
                      <w:color w:val="auto"/>
                      <w:szCs w:val="21"/>
                    </w:rPr>
                  </w:pPr>
                  <w:r>
                    <w:rPr>
                      <w:color w:val="auto"/>
                      <w:szCs w:val="21"/>
                    </w:rPr>
                    <w:t>产生环节</w:t>
                  </w:r>
                </w:p>
              </w:tc>
              <w:tc>
                <w:tcPr>
                  <w:tcW w:w="921" w:type="pct"/>
                  <w:tcBorders>
                    <w:tl2br w:val="nil"/>
                    <w:tr2bl w:val="nil"/>
                  </w:tcBorders>
                  <w:vAlign w:val="center"/>
                </w:tcPr>
                <w:p w14:paraId="62982BA3">
                  <w:pPr>
                    <w:jc w:val="center"/>
                    <w:rPr>
                      <w:color w:val="auto"/>
                      <w:szCs w:val="21"/>
                    </w:rPr>
                  </w:pPr>
                  <w:r>
                    <w:rPr>
                      <w:color w:val="auto"/>
                      <w:szCs w:val="21"/>
                    </w:rPr>
                    <w:t>名称</w:t>
                  </w:r>
                </w:p>
              </w:tc>
              <w:tc>
                <w:tcPr>
                  <w:tcW w:w="800" w:type="pct"/>
                  <w:tcBorders>
                    <w:tl2br w:val="nil"/>
                    <w:tr2bl w:val="nil"/>
                  </w:tcBorders>
                  <w:vAlign w:val="center"/>
                </w:tcPr>
                <w:p w14:paraId="02CF09F3">
                  <w:pPr>
                    <w:jc w:val="center"/>
                    <w:rPr>
                      <w:color w:val="auto"/>
                      <w:szCs w:val="21"/>
                      <w:lang w:bidi="zh-CN"/>
                    </w:rPr>
                  </w:pPr>
                  <w:r>
                    <w:rPr>
                      <w:color w:val="auto"/>
                      <w:szCs w:val="21"/>
                    </w:rPr>
                    <w:t>产生量(t/a)</w:t>
                  </w:r>
                </w:p>
              </w:tc>
              <w:tc>
                <w:tcPr>
                  <w:tcW w:w="800" w:type="pct"/>
                  <w:tcBorders>
                    <w:tl2br w:val="nil"/>
                    <w:tr2bl w:val="nil"/>
                  </w:tcBorders>
                  <w:vAlign w:val="center"/>
                </w:tcPr>
                <w:p w14:paraId="5BBD5ACF">
                  <w:pPr>
                    <w:jc w:val="center"/>
                    <w:rPr>
                      <w:color w:val="auto"/>
                      <w:szCs w:val="21"/>
                    </w:rPr>
                  </w:pPr>
                  <w:r>
                    <w:rPr>
                      <w:color w:val="auto"/>
                      <w:szCs w:val="21"/>
                    </w:rPr>
                    <w:t>废物类别</w:t>
                  </w:r>
                </w:p>
              </w:tc>
              <w:tc>
                <w:tcPr>
                  <w:tcW w:w="1593" w:type="pct"/>
                  <w:tcBorders>
                    <w:tl2br w:val="nil"/>
                    <w:tr2bl w:val="nil"/>
                  </w:tcBorders>
                  <w:vAlign w:val="center"/>
                </w:tcPr>
                <w:p w14:paraId="0A51A580">
                  <w:pPr>
                    <w:jc w:val="center"/>
                    <w:rPr>
                      <w:color w:val="auto"/>
                      <w:szCs w:val="21"/>
                    </w:rPr>
                  </w:pPr>
                  <w:r>
                    <w:rPr>
                      <w:color w:val="auto"/>
                      <w:szCs w:val="21"/>
                    </w:rPr>
                    <w:t>处理处置方式及去向</w:t>
                  </w:r>
                </w:p>
              </w:tc>
            </w:tr>
            <w:tr w14:paraId="29A0B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884" w:type="pct"/>
                  <w:tcBorders>
                    <w:tl2br w:val="nil"/>
                    <w:tr2bl w:val="nil"/>
                  </w:tcBorders>
                  <w:vAlign w:val="center"/>
                </w:tcPr>
                <w:p w14:paraId="2CF3342D">
                  <w:pPr>
                    <w:jc w:val="center"/>
                    <w:rPr>
                      <w:color w:val="auto"/>
                      <w:szCs w:val="21"/>
                    </w:rPr>
                  </w:pPr>
                  <w:r>
                    <w:rPr>
                      <w:color w:val="auto"/>
                      <w:szCs w:val="21"/>
                    </w:rPr>
                    <w:t>养殖黑水处理</w:t>
                  </w:r>
                </w:p>
              </w:tc>
              <w:tc>
                <w:tcPr>
                  <w:tcW w:w="921" w:type="pct"/>
                  <w:tcBorders>
                    <w:tl2br w:val="nil"/>
                    <w:tr2bl w:val="nil"/>
                  </w:tcBorders>
                  <w:vAlign w:val="center"/>
                </w:tcPr>
                <w:p w14:paraId="092564AA">
                  <w:pPr>
                    <w:jc w:val="center"/>
                    <w:rPr>
                      <w:color w:val="auto"/>
                      <w:szCs w:val="21"/>
                    </w:rPr>
                  </w:pPr>
                  <w:r>
                    <w:rPr>
                      <w:color w:val="auto"/>
                      <w:szCs w:val="21"/>
                    </w:rPr>
                    <w:t>污泥</w:t>
                  </w:r>
                </w:p>
              </w:tc>
              <w:tc>
                <w:tcPr>
                  <w:tcW w:w="800" w:type="pct"/>
                  <w:tcBorders>
                    <w:tl2br w:val="nil"/>
                    <w:tr2bl w:val="nil"/>
                  </w:tcBorders>
                  <w:vAlign w:val="center"/>
                </w:tcPr>
                <w:p w14:paraId="7A9377B7">
                  <w:pPr>
                    <w:jc w:val="center"/>
                    <w:rPr>
                      <w:color w:val="auto"/>
                      <w:szCs w:val="21"/>
                      <w:lang w:bidi="zh-CN"/>
                    </w:rPr>
                  </w:pPr>
                  <w:r>
                    <w:rPr>
                      <w:color w:val="auto"/>
                      <w:szCs w:val="21"/>
                      <w:lang w:bidi="zh-CN"/>
                    </w:rPr>
                    <w:t>88.4</w:t>
                  </w:r>
                </w:p>
              </w:tc>
              <w:tc>
                <w:tcPr>
                  <w:tcW w:w="800" w:type="pct"/>
                  <w:tcBorders>
                    <w:tl2br w:val="nil"/>
                    <w:tr2bl w:val="nil"/>
                  </w:tcBorders>
                  <w:vAlign w:val="center"/>
                </w:tcPr>
                <w:p w14:paraId="06649CE6">
                  <w:pPr>
                    <w:jc w:val="center"/>
                    <w:rPr>
                      <w:color w:val="auto"/>
                      <w:szCs w:val="21"/>
                    </w:rPr>
                  </w:pPr>
                  <w:r>
                    <w:rPr>
                      <w:color w:val="auto"/>
                      <w:szCs w:val="21"/>
                    </w:rPr>
                    <w:t>一般固废</w:t>
                  </w:r>
                </w:p>
              </w:tc>
              <w:tc>
                <w:tcPr>
                  <w:tcW w:w="1593" w:type="pct"/>
                  <w:tcBorders>
                    <w:tl2br w:val="nil"/>
                    <w:tr2bl w:val="nil"/>
                  </w:tcBorders>
                  <w:vAlign w:val="center"/>
                </w:tcPr>
                <w:p w14:paraId="5CE3C8F1">
                  <w:pPr>
                    <w:jc w:val="center"/>
                    <w:rPr>
                      <w:color w:val="auto"/>
                      <w:szCs w:val="21"/>
                    </w:rPr>
                  </w:pPr>
                  <w:r>
                    <w:rPr>
                      <w:color w:val="auto"/>
                      <w:szCs w:val="21"/>
                    </w:rPr>
                    <w:t>运送给附近村民用作农肥</w:t>
                  </w:r>
                </w:p>
              </w:tc>
            </w:tr>
            <w:tr w14:paraId="74794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884" w:type="pct"/>
                  <w:tcBorders>
                    <w:tl2br w:val="nil"/>
                    <w:tr2bl w:val="nil"/>
                  </w:tcBorders>
                  <w:vAlign w:val="center"/>
                </w:tcPr>
                <w:p w14:paraId="15BB86B7">
                  <w:pPr>
                    <w:jc w:val="center"/>
                    <w:rPr>
                      <w:color w:val="auto"/>
                      <w:szCs w:val="21"/>
                    </w:rPr>
                  </w:pPr>
                  <w:r>
                    <w:rPr>
                      <w:color w:val="auto"/>
                      <w:szCs w:val="21"/>
                    </w:rPr>
                    <w:t>养殖过程</w:t>
                  </w:r>
                </w:p>
              </w:tc>
              <w:tc>
                <w:tcPr>
                  <w:tcW w:w="921" w:type="pct"/>
                  <w:tcBorders>
                    <w:tl2br w:val="nil"/>
                    <w:tr2bl w:val="nil"/>
                  </w:tcBorders>
                  <w:vAlign w:val="center"/>
                </w:tcPr>
                <w:p w14:paraId="562BC8A3">
                  <w:pPr>
                    <w:jc w:val="center"/>
                    <w:rPr>
                      <w:color w:val="auto"/>
                      <w:szCs w:val="21"/>
                    </w:rPr>
                  </w:pPr>
                  <w:r>
                    <w:rPr>
                      <w:color w:val="auto"/>
                      <w:szCs w:val="21"/>
                    </w:rPr>
                    <w:t>死病鱼</w:t>
                  </w:r>
                </w:p>
              </w:tc>
              <w:tc>
                <w:tcPr>
                  <w:tcW w:w="800" w:type="pct"/>
                  <w:tcBorders>
                    <w:tl2br w:val="nil"/>
                    <w:tr2bl w:val="nil"/>
                  </w:tcBorders>
                  <w:vAlign w:val="center"/>
                </w:tcPr>
                <w:p w14:paraId="68BCEADB">
                  <w:pPr>
                    <w:jc w:val="center"/>
                    <w:rPr>
                      <w:color w:val="auto"/>
                      <w:szCs w:val="21"/>
                      <w:lang w:bidi="zh-CN"/>
                    </w:rPr>
                  </w:pPr>
                  <w:r>
                    <w:rPr>
                      <w:color w:val="auto"/>
                      <w:szCs w:val="21"/>
                    </w:rPr>
                    <w:t>0.32</w:t>
                  </w:r>
                </w:p>
              </w:tc>
              <w:tc>
                <w:tcPr>
                  <w:tcW w:w="800" w:type="pct"/>
                  <w:tcBorders>
                    <w:tl2br w:val="nil"/>
                    <w:tr2bl w:val="nil"/>
                  </w:tcBorders>
                  <w:vAlign w:val="center"/>
                </w:tcPr>
                <w:p w14:paraId="328AC500">
                  <w:pPr>
                    <w:jc w:val="center"/>
                    <w:rPr>
                      <w:color w:val="auto"/>
                      <w:szCs w:val="21"/>
                    </w:rPr>
                  </w:pPr>
                  <w:r>
                    <w:rPr>
                      <w:color w:val="auto"/>
                      <w:szCs w:val="21"/>
                    </w:rPr>
                    <w:t>一般固废</w:t>
                  </w:r>
                </w:p>
              </w:tc>
              <w:tc>
                <w:tcPr>
                  <w:tcW w:w="1593" w:type="pct"/>
                  <w:tcBorders>
                    <w:tl2br w:val="nil"/>
                    <w:tr2bl w:val="nil"/>
                  </w:tcBorders>
                  <w:vAlign w:val="center"/>
                </w:tcPr>
                <w:p w14:paraId="10B46AFE">
                  <w:pPr>
                    <w:jc w:val="center"/>
                    <w:rPr>
                      <w:color w:val="auto"/>
                      <w:szCs w:val="21"/>
                    </w:rPr>
                  </w:pPr>
                  <w:r>
                    <w:rPr>
                      <w:color w:val="auto"/>
                      <w:szCs w:val="21"/>
                    </w:rPr>
                    <w:t>委托第三方公司无害化处理</w:t>
                  </w:r>
                </w:p>
              </w:tc>
            </w:tr>
            <w:tr w14:paraId="6041C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884" w:type="pct"/>
                  <w:tcBorders>
                    <w:tl2br w:val="nil"/>
                    <w:tr2bl w:val="nil"/>
                  </w:tcBorders>
                  <w:vAlign w:val="center"/>
                </w:tcPr>
                <w:p w14:paraId="6C52FE76">
                  <w:pPr>
                    <w:jc w:val="center"/>
                    <w:rPr>
                      <w:color w:val="auto"/>
                      <w:szCs w:val="21"/>
                    </w:rPr>
                  </w:pPr>
                  <w:r>
                    <w:rPr>
                      <w:rFonts w:hint="eastAsia"/>
                      <w:color w:val="auto"/>
                      <w:szCs w:val="21"/>
                    </w:rPr>
                    <w:t>辅料包装</w:t>
                  </w:r>
                </w:p>
              </w:tc>
              <w:tc>
                <w:tcPr>
                  <w:tcW w:w="921" w:type="pct"/>
                  <w:tcBorders>
                    <w:tl2br w:val="nil"/>
                    <w:tr2bl w:val="nil"/>
                  </w:tcBorders>
                  <w:vAlign w:val="center"/>
                </w:tcPr>
                <w:p w14:paraId="46F8EA48">
                  <w:pPr>
                    <w:jc w:val="center"/>
                    <w:rPr>
                      <w:color w:val="auto"/>
                      <w:szCs w:val="21"/>
                    </w:rPr>
                  </w:pPr>
                  <w:r>
                    <w:rPr>
                      <w:rFonts w:hint="eastAsia"/>
                      <w:color w:val="auto"/>
                      <w:szCs w:val="21"/>
                    </w:rPr>
                    <w:t>废包装材料</w:t>
                  </w:r>
                </w:p>
              </w:tc>
              <w:tc>
                <w:tcPr>
                  <w:tcW w:w="800" w:type="pct"/>
                  <w:tcBorders>
                    <w:tl2br w:val="nil"/>
                    <w:tr2bl w:val="nil"/>
                  </w:tcBorders>
                  <w:vAlign w:val="center"/>
                </w:tcPr>
                <w:p w14:paraId="564097E8">
                  <w:pPr>
                    <w:jc w:val="center"/>
                    <w:rPr>
                      <w:color w:val="auto"/>
                      <w:szCs w:val="21"/>
                    </w:rPr>
                  </w:pPr>
                  <w:r>
                    <w:rPr>
                      <w:rFonts w:hint="eastAsia"/>
                      <w:color w:val="auto"/>
                      <w:szCs w:val="21"/>
                    </w:rPr>
                    <w:t>0.2</w:t>
                  </w:r>
                </w:p>
              </w:tc>
              <w:tc>
                <w:tcPr>
                  <w:tcW w:w="800" w:type="pct"/>
                  <w:tcBorders>
                    <w:tl2br w:val="nil"/>
                    <w:tr2bl w:val="nil"/>
                  </w:tcBorders>
                  <w:vAlign w:val="center"/>
                </w:tcPr>
                <w:p w14:paraId="071091A0">
                  <w:pPr>
                    <w:jc w:val="center"/>
                    <w:rPr>
                      <w:color w:val="auto"/>
                      <w:szCs w:val="21"/>
                    </w:rPr>
                  </w:pPr>
                  <w:r>
                    <w:rPr>
                      <w:color w:val="auto"/>
                      <w:szCs w:val="21"/>
                    </w:rPr>
                    <w:t>一般固废</w:t>
                  </w:r>
                </w:p>
              </w:tc>
              <w:tc>
                <w:tcPr>
                  <w:tcW w:w="1593" w:type="pct"/>
                  <w:tcBorders>
                    <w:tl2br w:val="nil"/>
                    <w:tr2bl w:val="nil"/>
                  </w:tcBorders>
                  <w:vAlign w:val="center"/>
                </w:tcPr>
                <w:p w14:paraId="21AF61A5">
                  <w:pPr>
                    <w:jc w:val="center"/>
                    <w:rPr>
                      <w:color w:val="auto"/>
                      <w:szCs w:val="21"/>
                    </w:rPr>
                  </w:pPr>
                  <w:r>
                    <w:rPr>
                      <w:color w:val="auto"/>
                      <w:szCs w:val="21"/>
                    </w:rPr>
                    <w:t>外售给物资单位回收综合利用</w:t>
                  </w:r>
                </w:p>
              </w:tc>
            </w:tr>
            <w:tr w14:paraId="4109A0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vAlign w:val="center"/>
                </w:tcPr>
                <w:p w14:paraId="57274382">
                  <w:pPr>
                    <w:jc w:val="center"/>
                    <w:rPr>
                      <w:color w:val="auto"/>
                      <w:szCs w:val="21"/>
                    </w:rPr>
                  </w:pPr>
                  <w:r>
                    <w:rPr>
                      <w:rFonts w:hint="eastAsia"/>
                      <w:color w:val="auto"/>
                      <w:szCs w:val="21"/>
                    </w:rPr>
                    <w:t>办公生活</w:t>
                  </w:r>
                </w:p>
              </w:tc>
              <w:tc>
                <w:tcPr>
                  <w:tcW w:w="921" w:type="pct"/>
                  <w:tcBorders>
                    <w:tl2br w:val="nil"/>
                    <w:tr2bl w:val="nil"/>
                  </w:tcBorders>
                  <w:vAlign w:val="center"/>
                </w:tcPr>
                <w:p w14:paraId="1855C3AC">
                  <w:pPr>
                    <w:jc w:val="center"/>
                    <w:rPr>
                      <w:color w:val="auto"/>
                      <w:szCs w:val="21"/>
                    </w:rPr>
                  </w:pPr>
                  <w:r>
                    <w:rPr>
                      <w:color w:val="auto"/>
                      <w:szCs w:val="21"/>
                    </w:rPr>
                    <w:t>生活垃圾</w:t>
                  </w:r>
                </w:p>
              </w:tc>
              <w:tc>
                <w:tcPr>
                  <w:tcW w:w="800" w:type="pct"/>
                  <w:tcBorders>
                    <w:tl2br w:val="nil"/>
                    <w:tr2bl w:val="nil"/>
                  </w:tcBorders>
                  <w:vAlign w:val="center"/>
                </w:tcPr>
                <w:p w14:paraId="2D40511D">
                  <w:pPr>
                    <w:jc w:val="center"/>
                    <w:rPr>
                      <w:color w:val="auto"/>
                      <w:szCs w:val="21"/>
                      <w:lang w:bidi="zh-CN"/>
                    </w:rPr>
                  </w:pPr>
                  <w:r>
                    <w:rPr>
                      <w:color w:val="auto"/>
                      <w:szCs w:val="21"/>
                      <w:lang w:bidi="zh-CN"/>
                    </w:rPr>
                    <w:t>0.54</w:t>
                  </w:r>
                </w:p>
              </w:tc>
              <w:tc>
                <w:tcPr>
                  <w:tcW w:w="800" w:type="pct"/>
                  <w:tcBorders>
                    <w:tl2br w:val="nil"/>
                    <w:tr2bl w:val="nil"/>
                  </w:tcBorders>
                  <w:vAlign w:val="center"/>
                </w:tcPr>
                <w:p w14:paraId="17747EC8">
                  <w:pPr>
                    <w:jc w:val="center"/>
                    <w:rPr>
                      <w:color w:val="auto"/>
                      <w:szCs w:val="21"/>
                    </w:rPr>
                  </w:pPr>
                  <w:r>
                    <w:rPr>
                      <w:color w:val="auto"/>
                      <w:szCs w:val="21"/>
                    </w:rPr>
                    <w:t>生活垃圾</w:t>
                  </w:r>
                </w:p>
              </w:tc>
              <w:tc>
                <w:tcPr>
                  <w:tcW w:w="1593" w:type="pct"/>
                  <w:tcBorders>
                    <w:tl2br w:val="nil"/>
                    <w:tr2bl w:val="nil"/>
                  </w:tcBorders>
                  <w:vAlign w:val="center"/>
                </w:tcPr>
                <w:p w14:paraId="6B308FCD">
                  <w:pPr>
                    <w:jc w:val="center"/>
                    <w:rPr>
                      <w:color w:val="auto"/>
                      <w:szCs w:val="21"/>
                    </w:rPr>
                  </w:pPr>
                  <w:r>
                    <w:rPr>
                      <w:color w:val="auto"/>
                      <w:szCs w:val="21"/>
                    </w:rPr>
                    <w:t>交由环卫部门清运</w:t>
                  </w:r>
                </w:p>
              </w:tc>
            </w:tr>
          </w:tbl>
          <w:p w14:paraId="296B106C">
            <w:pPr>
              <w:adjustRightInd w:val="0"/>
              <w:snapToGrid w:val="0"/>
              <w:rPr>
                <w:rFonts w:hint="eastAsia" w:ascii="宋体" w:hAnsi="宋体" w:cs="宋体"/>
                <w:bCs/>
                <w:color w:val="auto"/>
                <w:szCs w:val="21"/>
              </w:rPr>
            </w:pPr>
          </w:p>
        </w:tc>
      </w:tr>
      <w:tr w14:paraId="04EE4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27" w:type="dxa"/>
            <w:vAlign w:val="center"/>
          </w:tcPr>
          <w:p w14:paraId="4367245C">
            <w:pPr>
              <w:widowControl/>
              <w:adjustRightInd w:val="0"/>
              <w:snapToGrid w:val="0"/>
              <w:jc w:val="center"/>
              <w:rPr>
                <w:rFonts w:hint="eastAsia" w:ascii="宋体" w:hAnsi="宋体" w:cs="宋体"/>
                <w:bCs/>
                <w:color w:val="auto"/>
                <w:szCs w:val="21"/>
              </w:rPr>
            </w:pPr>
            <w:r>
              <w:rPr>
                <w:rFonts w:hint="eastAsia" w:ascii="宋体" w:hAnsi="宋体" w:cs="宋体"/>
                <w:bCs/>
                <w:color w:val="auto"/>
                <w:sz w:val="24"/>
              </w:rPr>
              <w:t>选址选线环境合理性分析</w:t>
            </w:r>
          </w:p>
        </w:tc>
        <w:tc>
          <w:tcPr>
            <w:tcW w:w="8015" w:type="dxa"/>
          </w:tcPr>
          <w:p w14:paraId="66EAB5D6">
            <w:pPr>
              <w:spacing w:line="360" w:lineRule="auto"/>
              <w:ind w:firstLine="482" w:firstLineChars="200"/>
              <w:jc w:val="left"/>
              <w:rPr>
                <w:b/>
                <w:bCs/>
                <w:color w:val="auto"/>
                <w:sz w:val="24"/>
              </w:rPr>
            </w:pPr>
            <w:r>
              <w:rPr>
                <w:b/>
                <w:bCs/>
                <w:color w:val="auto"/>
                <w:sz w:val="24"/>
              </w:rPr>
              <w:t>（1）</w:t>
            </w:r>
            <w:r>
              <w:rPr>
                <w:rFonts w:hint="eastAsia"/>
                <w:b/>
                <w:bCs/>
                <w:color w:val="auto"/>
                <w:sz w:val="24"/>
              </w:rPr>
              <w:t>项目选址选线合理性分析</w:t>
            </w:r>
          </w:p>
          <w:p w14:paraId="554EB978">
            <w:pPr>
              <w:spacing w:line="360" w:lineRule="auto"/>
              <w:ind w:firstLine="480" w:firstLineChars="200"/>
              <w:rPr>
                <w:color w:val="auto"/>
                <w:sz w:val="24"/>
              </w:rPr>
            </w:pPr>
            <w:r>
              <w:rPr>
                <w:color w:val="auto"/>
                <w:sz w:val="24"/>
              </w:rPr>
              <w:t>本项目选址于岳阳市君山区钱粮湖镇，项目周边均为农田、荒地等，不属于饮用水水源保护区、风景名胜区，属于洞庭湖自然保护区的实验区，不属于自然保护区的核心区和缓冲区。本项目的工程本身位于保护区实验区内，属于原址上进行改建升级，无新增占地，因此无法迁出和避绕湖南东洞庭湖国家级自然保护区。</w:t>
            </w:r>
          </w:p>
          <w:p w14:paraId="482E0B8E">
            <w:pPr>
              <w:spacing w:line="360" w:lineRule="auto"/>
              <w:ind w:firstLine="480" w:firstLineChars="200"/>
              <w:rPr>
                <w:color w:val="auto"/>
                <w:sz w:val="24"/>
              </w:rPr>
            </w:pPr>
            <w:r>
              <w:rPr>
                <w:color w:val="auto"/>
                <w:sz w:val="24"/>
              </w:rPr>
              <w:t>本项目建设已取得湖南东洞庭湖国家级自然保护区管理局的同意（详见附件）。本项目建设对湖南东洞庭湖国家级自然保护区的生态环境虽然短期内有一定的影响，但工程影响的时间和范围有限，且通过采取相应的保护措施和生态补偿措施，可以减少工程对自然保护区的影响。</w:t>
            </w:r>
          </w:p>
          <w:p w14:paraId="297E340F">
            <w:pPr>
              <w:spacing w:line="360" w:lineRule="auto"/>
              <w:ind w:firstLine="480" w:firstLineChars="200"/>
              <w:jc w:val="left"/>
              <w:rPr>
                <w:color w:val="auto"/>
                <w:sz w:val="24"/>
              </w:rPr>
            </w:pPr>
            <w:r>
              <w:rPr>
                <w:color w:val="auto"/>
                <w:sz w:val="24"/>
              </w:rPr>
              <w:t>环境方面，建设地块当前环境问题主要源于农村污染源，具体表现为养殖废水直排、饵料过量投喂引发水体污染及生活垃圾随意堆放等。目前，项目地块已流转至湖南君山生态渔业集团有限公司，由该公司实施集中管理，公司将针对上述原有环境污染问题采取有效措施整改，实现项目规范化生产。项目建成投产后，养殖过程完全受控，其精准的投料量及用药量，能有效降低养殖过程中对生态环境造成的负担。“零排放”绿色高效循环渔业养殖突出了养殖废弃物收集与净化处理的高效性、养殖产品的安全性、生产管理的便利性和灵活性，以及养殖生产的经济性和高效性，实现了养殖废弃物高效收集，是一种生态、环保、安全、高效的全新绿色养殖模式。</w:t>
            </w:r>
          </w:p>
          <w:p w14:paraId="699FE562">
            <w:pPr>
              <w:spacing w:line="360" w:lineRule="auto"/>
              <w:ind w:firstLine="480" w:firstLineChars="200"/>
              <w:jc w:val="left"/>
              <w:rPr>
                <w:color w:val="auto"/>
                <w:sz w:val="24"/>
              </w:rPr>
            </w:pPr>
            <w:r>
              <w:rPr>
                <w:color w:val="auto"/>
                <w:sz w:val="24"/>
              </w:rPr>
              <w:t>同时，通过该养殖食源地的建设，可以提供候鸟更丰富的食物，保证候鸟安全过冬，使得东洞庭湖自然保护区方台湖内水质、生态环境、生物多样性得到提升，生态得到改善，候鸟的种群数量也随之不断增加。</w:t>
            </w:r>
          </w:p>
          <w:p w14:paraId="362FDACF">
            <w:pPr>
              <w:spacing w:line="360" w:lineRule="auto"/>
              <w:ind w:firstLine="482" w:firstLineChars="200"/>
              <w:jc w:val="left"/>
              <w:rPr>
                <w:b/>
                <w:bCs/>
                <w:color w:val="auto"/>
                <w:sz w:val="24"/>
              </w:rPr>
            </w:pPr>
            <w:r>
              <w:rPr>
                <w:b/>
                <w:bCs/>
                <w:color w:val="auto"/>
                <w:sz w:val="24"/>
              </w:rPr>
              <w:t>（</w:t>
            </w:r>
            <w:r>
              <w:rPr>
                <w:rFonts w:hint="eastAsia"/>
                <w:b/>
                <w:bCs/>
                <w:color w:val="auto"/>
                <w:sz w:val="24"/>
              </w:rPr>
              <w:t>2</w:t>
            </w:r>
            <w:r>
              <w:rPr>
                <w:b/>
                <w:bCs/>
                <w:color w:val="auto"/>
                <w:sz w:val="24"/>
              </w:rPr>
              <w:t>）环境承载力分析</w:t>
            </w:r>
          </w:p>
          <w:p w14:paraId="64EA1ADA">
            <w:pPr>
              <w:spacing w:line="360" w:lineRule="auto"/>
              <w:ind w:firstLine="480" w:firstLineChars="200"/>
              <w:jc w:val="left"/>
              <w:rPr>
                <w:color w:val="auto"/>
                <w:sz w:val="24"/>
              </w:rPr>
            </w:pPr>
            <w:r>
              <w:rPr>
                <w:color w:val="auto"/>
                <w:sz w:val="24"/>
              </w:rPr>
              <w:t>①大气环境</w:t>
            </w:r>
          </w:p>
          <w:p w14:paraId="04150D5E">
            <w:pPr>
              <w:wordWrap w:val="0"/>
              <w:spacing w:line="360" w:lineRule="auto"/>
              <w:ind w:firstLine="480" w:firstLineChars="200"/>
              <w:jc w:val="left"/>
              <w:rPr>
                <w:color w:val="auto"/>
                <w:sz w:val="24"/>
              </w:rPr>
            </w:pPr>
            <w:r>
              <w:rPr>
                <w:color w:val="auto"/>
                <w:sz w:val="24"/>
              </w:rPr>
              <w:t>本评价收集了202</w:t>
            </w:r>
            <w:r>
              <w:rPr>
                <w:rFonts w:hint="eastAsia"/>
                <w:color w:val="auto"/>
                <w:sz w:val="24"/>
              </w:rPr>
              <w:t>4</w:t>
            </w:r>
            <w:r>
              <w:rPr>
                <w:color w:val="auto"/>
                <w:sz w:val="24"/>
              </w:rPr>
              <w:t>年</w:t>
            </w:r>
            <w:r>
              <w:rPr>
                <w:rFonts w:hint="eastAsia"/>
                <w:color w:val="auto"/>
                <w:sz w:val="24"/>
              </w:rPr>
              <w:t>君山区</w:t>
            </w:r>
            <w:r>
              <w:rPr>
                <w:color w:val="auto"/>
                <w:sz w:val="24"/>
              </w:rPr>
              <w:t>常规监测点的基本污染物环境空气质量现状数据</w:t>
            </w:r>
            <w:r>
              <w:rPr>
                <w:rFonts w:hint="eastAsia"/>
                <w:color w:val="auto"/>
                <w:sz w:val="24"/>
              </w:rPr>
              <w:t>，</w:t>
            </w:r>
            <w:r>
              <w:rPr>
                <w:color w:val="auto"/>
                <w:sz w:val="24"/>
                <w:szCs w:val="20"/>
              </w:rPr>
              <w:t>2024年度君山区环境空气质量PM</w:t>
            </w:r>
            <w:r>
              <w:rPr>
                <w:color w:val="auto"/>
                <w:sz w:val="24"/>
                <w:szCs w:val="20"/>
                <w:vertAlign w:val="subscript"/>
              </w:rPr>
              <w:t>2.5</w:t>
            </w:r>
            <w:r>
              <w:rPr>
                <w:color w:val="auto"/>
                <w:sz w:val="24"/>
                <w:szCs w:val="20"/>
              </w:rPr>
              <w:t>不能达到《环境空气质量标准》（GB3095-2012）二级标准，</w:t>
            </w:r>
            <w:r>
              <w:rPr>
                <w:rFonts w:hint="eastAsia"/>
                <w:color w:val="auto"/>
                <w:sz w:val="24"/>
                <w:szCs w:val="20"/>
              </w:rPr>
              <w:t>因此君山区为</w:t>
            </w:r>
            <w:r>
              <w:rPr>
                <w:color w:val="auto"/>
                <w:sz w:val="24"/>
                <w:szCs w:val="20"/>
              </w:rPr>
              <w:t>环境空气质量不达标区。根据《岳阳市环境空气质量期限达标规划（2020-2026）》（岳生环委发【2020】10号），在2026年底前岳阳市将实现空气质量6项主要污染物（PM</w:t>
            </w:r>
            <w:r>
              <w:rPr>
                <w:color w:val="auto"/>
                <w:sz w:val="24"/>
                <w:szCs w:val="20"/>
                <w:vertAlign w:val="subscript"/>
              </w:rPr>
              <w:t>10</w:t>
            </w:r>
            <w:r>
              <w:rPr>
                <w:color w:val="auto"/>
                <w:sz w:val="24"/>
                <w:szCs w:val="20"/>
              </w:rPr>
              <w:t>、PM</w:t>
            </w:r>
            <w:r>
              <w:rPr>
                <w:color w:val="auto"/>
                <w:sz w:val="24"/>
                <w:szCs w:val="20"/>
                <w:vertAlign w:val="subscript"/>
              </w:rPr>
              <w:t>2.5</w:t>
            </w:r>
            <w:r>
              <w:rPr>
                <w:color w:val="auto"/>
                <w:sz w:val="24"/>
                <w:szCs w:val="20"/>
              </w:rPr>
              <w:t>、二氧化硫、二氧化氮、一氧化碳和臭氧）全部达标。当地政府</w:t>
            </w:r>
            <w:r>
              <w:rPr>
                <w:rFonts w:hint="eastAsia"/>
                <w:color w:val="auto"/>
                <w:sz w:val="24"/>
                <w:szCs w:val="20"/>
              </w:rPr>
              <w:t>在</w:t>
            </w:r>
            <w:r>
              <w:rPr>
                <w:color w:val="auto"/>
                <w:sz w:val="24"/>
                <w:szCs w:val="20"/>
              </w:rPr>
              <w:t>加大环境治理力度，采取更为严格的大气防治手段</w:t>
            </w:r>
            <w:r>
              <w:rPr>
                <w:rFonts w:hint="eastAsia"/>
                <w:color w:val="auto"/>
                <w:sz w:val="24"/>
                <w:szCs w:val="20"/>
              </w:rPr>
              <w:t>后</w:t>
            </w:r>
            <w:r>
              <w:rPr>
                <w:color w:val="auto"/>
                <w:sz w:val="24"/>
                <w:szCs w:val="20"/>
              </w:rPr>
              <w:t>，所在地区环境空气质量将得到改善。</w:t>
            </w:r>
            <w:r>
              <w:rPr>
                <w:rFonts w:hint="eastAsia"/>
                <w:color w:val="auto"/>
                <w:sz w:val="24"/>
                <w:szCs w:val="20"/>
              </w:rPr>
              <w:t>本项目养殖恶臭通过喷洒除臭剂后无组织排放；柴油发电机废气通过管理用房烟道外排，不会对大气环境产生明显影响。</w:t>
            </w:r>
          </w:p>
          <w:p w14:paraId="36AE7F67">
            <w:pPr>
              <w:spacing w:line="360" w:lineRule="auto"/>
              <w:ind w:firstLine="480" w:firstLineChars="200"/>
              <w:jc w:val="left"/>
              <w:rPr>
                <w:color w:val="auto"/>
                <w:sz w:val="24"/>
              </w:rPr>
            </w:pPr>
            <w:r>
              <w:rPr>
                <w:color w:val="auto"/>
                <w:sz w:val="24"/>
              </w:rPr>
              <w:t>②地表水环境</w:t>
            </w:r>
          </w:p>
          <w:p w14:paraId="5F5A6B5B">
            <w:pPr>
              <w:wordWrap w:val="0"/>
              <w:spacing w:line="360" w:lineRule="auto"/>
              <w:ind w:firstLine="480" w:firstLineChars="200"/>
              <w:jc w:val="left"/>
              <w:rPr>
                <w:color w:val="auto"/>
                <w:sz w:val="24"/>
              </w:rPr>
            </w:pPr>
            <w:r>
              <w:rPr>
                <w:color w:val="auto"/>
                <w:sz w:val="24"/>
              </w:rPr>
              <w:t>项目区</w:t>
            </w:r>
            <w:r>
              <w:rPr>
                <w:rFonts w:hint="eastAsia"/>
                <w:color w:val="auto"/>
                <w:sz w:val="24"/>
              </w:rPr>
              <w:t>北侧</w:t>
            </w:r>
            <w:r>
              <w:rPr>
                <w:color w:val="auto"/>
                <w:sz w:val="24"/>
              </w:rPr>
              <w:t>地表水</w:t>
            </w:r>
            <w:r>
              <w:rPr>
                <w:rFonts w:hint="eastAsia"/>
                <w:color w:val="auto"/>
                <w:sz w:val="24"/>
              </w:rPr>
              <w:t>采桑湖、项目区鱼塘内水质</w:t>
            </w:r>
            <w:r>
              <w:rPr>
                <w:color w:val="auto"/>
                <w:sz w:val="24"/>
              </w:rPr>
              <w:t>监测</w:t>
            </w:r>
            <w:r>
              <w:rPr>
                <w:rFonts w:hint="eastAsia"/>
                <w:color w:val="auto"/>
                <w:sz w:val="24"/>
              </w:rPr>
              <w:t>因子均</w:t>
            </w:r>
            <w:r>
              <w:rPr>
                <w:color w:val="auto"/>
                <w:sz w:val="24"/>
              </w:rPr>
              <w:t>满足《地表水环境质量标准》（GB3838-2002）中Ⅲ类标准。本项目运营期马口鱼圈养桶底部前5分钟抽出的养殖黑水经尾水塔+人工湿地处理满足《渔业水质标准》（GB11607-89)限值要求后回用（观赏鱼不产生养殖黑水）。后续抽出的其他养殖尾水（包括观赏鱼养殖桶全部养殖水）直接进入人工湿地处理满足《渔业水质标准》（GB11607-89)限值要求后回用，不会对地表水环境质量产生影响。</w:t>
            </w:r>
          </w:p>
          <w:p w14:paraId="2AD57334">
            <w:pPr>
              <w:spacing w:line="360" w:lineRule="auto"/>
              <w:ind w:firstLine="480" w:firstLineChars="200"/>
              <w:jc w:val="left"/>
              <w:rPr>
                <w:color w:val="auto"/>
                <w:sz w:val="24"/>
              </w:rPr>
            </w:pPr>
            <w:r>
              <w:rPr>
                <w:color w:val="auto"/>
                <w:sz w:val="24"/>
              </w:rPr>
              <w:t>③声环境</w:t>
            </w:r>
          </w:p>
          <w:p w14:paraId="59B15001">
            <w:pPr>
              <w:spacing w:line="360" w:lineRule="auto"/>
              <w:ind w:firstLine="480" w:firstLineChars="200"/>
              <w:jc w:val="left"/>
              <w:rPr>
                <w:color w:val="auto"/>
                <w:sz w:val="24"/>
              </w:rPr>
            </w:pPr>
            <w:r>
              <w:rPr>
                <w:color w:val="auto"/>
                <w:sz w:val="24"/>
                <w:szCs w:val="21"/>
              </w:rPr>
              <w:t>根据调查，项目50m范围内居民点</w:t>
            </w:r>
            <w:r>
              <w:rPr>
                <w:color w:val="auto"/>
                <w:sz w:val="24"/>
              </w:rPr>
              <w:t>昼间和夜间声环境监测结果均满足《声环境质量标准》（GB3096-2008）中1类标准要求。由预测结果可知，</w:t>
            </w:r>
            <w:r>
              <w:rPr>
                <w:rFonts w:hint="eastAsia"/>
                <w:color w:val="auto"/>
                <w:sz w:val="24"/>
              </w:rPr>
              <w:t>采取</w:t>
            </w:r>
            <w:r>
              <w:rPr>
                <w:color w:val="auto"/>
                <w:sz w:val="24"/>
              </w:rPr>
              <w:t>声环境治理措施</w:t>
            </w:r>
            <w:r>
              <w:rPr>
                <w:rFonts w:hint="eastAsia"/>
                <w:color w:val="auto"/>
                <w:sz w:val="24"/>
              </w:rPr>
              <w:t>后</w:t>
            </w:r>
            <w:r>
              <w:rPr>
                <w:color w:val="auto"/>
                <w:sz w:val="24"/>
              </w:rPr>
              <w:t>建设项目厂界噪声均可满足《工业企业厂界环境噪声排放标准》（GB12348-2008）中</w:t>
            </w:r>
            <w:r>
              <w:rPr>
                <w:rFonts w:hint="eastAsia"/>
                <w:color w:val="auto"/>
                <w:sz w:val="24"/>
              </w:rPr>
              <w:t>1</w:t>
            </w:r>
            <w:r>
              <w:rPr>
                <w:color w:val="auto"/>
                <w:sz w:val="24"/>
              </w:rPr>
              <w:t>类标准的要求。因此，建设项目投产后对周边声环境影响较小。</w:t>
            </w:r>
          </w:p>
          <w:p w14:paraId="02572676">
            <w:pPr>
              <w:spacing w:line="360" w:lineRule="auto"/>
              <w:ind w:firstLine="480" w:firstLineChars="200"/>
              <w:jc w:val="left"/>
              <w:rPr>
                <w:color w:val="auto"/>
                <w:sz w:val="24"/>
              </w:rPr>
            </w:pPr>
            <w:r>
              <w:rPr>
                <w:color w:val="auto"/>
                <w:sz w:val="24"/>
              </w:rPr>
              <w:t>（</w:t>
            </w:r>
            <w:r>
              <w:rPr>
                <w:rFonts w:hint="eastAsia"/>
                <w:color w:val="auto"/>
                <w:sz w:val="24"/>
              </w:rPr>
              <w:t>3</w:t>
            </w:r>
            <w:r>
              <w:rPr>
                <w:color w:val="auto"/>
                <w:sz w:val="24"/>
              </w:rPr>
              <w:t>）周边环境相容性分析</w:t>
            </w:r>
          </w:p>
          <w:p w14:paraId="646B2627">
            <w:pPr>
              <w:spacing w:line="360" w:lineRule="auto"/>
              <w:ind w:firstLine="480" w:firstLineChars="200"/>
              <w:jc w:val="left"/>
              <w:rPr>
                <w:color w:val="auto"/>
                <w:sz w:val="24"/>
                <w:highlight w:val="green"/>
              </w:rPr>
            </w:pPr>
            <w:r>
              <w:rPr>
                <w:color w:val="auto"/>
                <w:sz w:val="24"/>
              </w:rPr>
              <w:t>拟建项目位于</w:t>
            </w:r>
            <w:r>
              <w:rPr>
                <w:rFonts w:hint="eastAsia"/>
                <w:color w:val="auto"/>
                <w:sz w:val="24"/>
              </w:rPr>
              <w:t>湖南省岳阳市君山区钱粮湖镇银杯社区方台村5组，</w:t>
            </w:r>
            <w:r>
              <w:rPr>
                <w:color w:val="auto"/>
                <w:sz w:val="24"/>
              </w:rPr>
              <w:t>项目周边</w:t>
            </w:r>
            <w:r>
              <w:rPr>
                <w:rFonts w:hint="eastAsia"/>
                <w:color w:val="auto"/>
                <w:sz w:val="24"/>
              </w:rPr>
              <w:t>有西边、北边及南边的散户，农田，鱼塘等</w:t>
            </w:r>
            <w:r>
              <w:rPr>
                <w:color w:val="auto"/>
                <w:sz w:val="24"/>
              </w:rPr>
              <w:t>。本项目自身产污环节较少，主要为</w:t>
            </w:r>
            <w:r>
              <w:rPr>
                <w:rFonts w:hint="eastAsia"/>
                <w:color w:val="auto"/>
                <w:sz w:val="24"/>
              </w:rPr>
              <w:t>养殖废水</w:t>
            </w:r>
            <w:r>
              <w:rPr>
                <w:color w:val="auto"/>
                <w:sz w:val="24"/>
              </w:rPr>
              <w:t>，污染物相对简单。在落实本次环评提出的相关污染防治措施，并认真履行“三同时”制度后，各污染物均可实现达标排放。因此，项目的建设与周边环境相容。从土地利用规划及环境保护角度分析，本项目与周围环境没有冲突。根据以上分析，本项目与周围环境相容。</w:t>
            </w:r>
          </w:p>
          <w:p w14:paraId="7DA3833A">
            <w:pPr>
              <w:adjustRightInd w:val="0"/>
              <w:snapToGrid w:val="0"/>
              <w:spacing w:line="360" w:lineRule="auto"/>
              <w:ind w:firstLine="480" w:firstLineChars="200"/>
              <w:rPr>
                <w:color w:val="auto"/>
                <w:sz w:val="24"/>
              </w:rPr>
            </w:pPr>
            <w:r>
              <w:rPr>
                <w:color w:val="auto"/>
                <w:sz w:val="24"/>
              </w:rPr>
              <w:t>综上分析，根据建设条件、环境承载力、周边环境相容性以及相关规划分析，本项目选址合理。</w:t>
            </w:r>
          </w:p>
        </w:tc>
      </w:tr>
    </w:tbl>
    <w:p w14:paraId="4579CA0A">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14:paraId="6C48C0CA">
      <w:pPr>
        <w:pStyle w:val="23"/>
        <w:jc w:val="center"/>
        <w:outlineLvl w:val="0"/>
        <w:rPr>
          <w:rFonts w:hint="eastAsia" w:ascii="黑体" w:hAnsi="黑体" w:eastAsia="黑体"/>
          <w:snapToGrid w:val="0"/>
          <w:color w:val="auto"/>
          <w:sz w:val="30"/>
          <w:szCs w:val="30"/>
        </w:rPr>
      </w:pPr>
      <w:bookmarkStart w:id="32" w:name="_Toc30378"/>
      <w:bookmarkStart w:id="33" w:name="_Toc29306"/>
      <w:r>
        <w:rPr>
          <w:rFonts w:hint="eastAsia" w:ascii="黑体" w:hAnsi="黑体" w:eastAsia="黑体"/>
          <w:snapToGrid w:val="0"/>
          <w:color w:val="auto"/>
          <w:sz w:val="30"/>
          <w:szCs w:val="30"/>
        </w:rPr>
        <w:t>五、主要生态环境保护措施</w:t>
      </w:r>
      <w:bookmarkEnd w:id="31"/>
      <w:bookmarkEnd w:id="32"/>
      <w:bookmarkEnd w:id="33"/>
    </w:p>
    <w:tbl>
      <w:tblPr>
        <w:tblStyle w:val="27"/>
        <w:tblW w:w="84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811"/>
      </w:tblGrid>
      <w:tr w14:paraId="21E17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9" w:hRule="atLeast"/>
          <w:jc w:val="center"/>
        </w:trPr>
        <w:tc>
          <w:tcPr>
            <w:tcW w:w="641" w:type="dxa"/>
            <w:tcMar>
              <w:left w:w="28" w:type="dxa"/>
              <w:right w:w="28" w:type="dxa"/>
            </w:tcMar>
            <w:vAlign w:val="center"/>
          </w:tcPr>
          <w:p w14:paraId="3E18F972">
            <w:pPr>
              <w:adjustRightInd w:val="0"/>
              <w:snapToGrid w:val="0"/>
              <w:jc w:val="center"/>
              <w:rPr>
                <w:rFonts w:hint="eastAsia" w:ascii="宋体" w:hAnsi="宋体"/>
                <w:bCs/>
                <w:color w:val="auto"/>
                <w:szCs w:val="21"/>
              </w:rPr>
            </w:pPr>
            <w:r>
              <w:rPr>
                <w:rFonts w:hint="eastAsia" w:ascii="宋体" w:hAnsi="宋体" w:cs="宋体"/>
                <w:bCs/>
                <w:color w:val="auto"/>
                <w:spacing w:val="10"/>
                <w:sz w:val="24"/>
              </w:rPr>
              <w:t>施工期生态环境保护措施</w:t>
            </w:r>
          </w:p>
        </w:tc>
        <w:tc>
          <w:tcPr>
            <w:tcW w:w="7806" w:type="dxa"/>
          </w:tcPr>
          <w:p w14:paraId="5F267230">
            <w:pPr>
              <w:spacing w:line="360" w:lineRule="auto"/>
              <w:ind w:firstLine="480" w:firstLineChars="200"/>
              <w:rPr>
                <w:color w:val="auto"/>
                <w:sz w:val="24"/>
              </w:rPr>
            </w:pPr>
            <w:bookmarkStart w:id="34" w:name="_Toc8721"/>
            <w:r>
              <w:rPr>
                <w:rFonts w:hint="eastAsia"/>
                <w:color w:val="auto"/>
                <w:sz w:val="24"/>
              </w:rPr>
              <w:t>项目施工期包括生态环境影响和环境污染影响，因此环境保护措施包含生态环境保护措施和环境污染防治措施。</w:t>
            </w:r>
          </w:p>
          <w:bookmarkEnd w:id="34"/>
          <w:p w14:paraId="60F78B3B">
            <w:pPr>
              <w:spacing w:line="360" w:lineRule="auto"/>
              <w:rPr>
                <w:b/>
                <w:bCs/>
                <w:color w:val="auto"/>
                <w:sz w:val="24"/>
                <w:u w:val="single"/>
              </w:rPr>
            </w:pPr>
            <w:r>
              <w:rPr>
                <w:rFonts w:hint="eastAsia"/>
                <w:b/>
                <w:bCs/>
                <w:color w:val="auto"/>
                <w:sz w:val="24"/>
                <w:u w:val="single"/>
              </w:rPr>
              <w:t>一、施工期生态环境保护措施</w:t>
            </w:r>
          </w:p>
          <w:p w14:paraId="13A53093">
            <w:pPr>
              <w:spacing w:line="360" w:lineRule="auto"/>
              <w:ind w:firstLine="480" w:firstLineChars="200"/>
              <w:rPr>
                <w:color w:val="auto"/>
                <w:sz w:val="24"/>
                <w:u w:val="single"/>
              </w:rPr>
            </w:pPr>
            <w:r>
              <w:rPr>
                <w:rFonts w:hint="eastAsia"/>
                <w:color w:val="auto"/>
                <w:sz w:val="24"/>
                <w:u w:val="single"/>
              </w:rPr>
              <w:t>工程施工建设期间，将对工程占地区生态环境产生一定影响，为减少对区域植物植被、野生动植物的生长环境和生态环境质量的影响，建设单位应采取以下生态环境保护恢复措施：</w:t>
            </w:r>
          </w:p>
          <w:p w14:paraId="43453E96">
            <w:pPr>
              <w:spacing w:line="360" w:lineRule="auto"/>
              <w:ind w:firstLine="482" w:firstLineChars="200"/>
              <w:rPr>
                <w:b/>
                <w:bCs/>
                <w:color w:val="auto"/>
                <w:sz w:val="24"/>
                <w:u w:val="single"/>
              </w:rPr>
            </w:pPr>
            <w:r>
              <w:rPr>
                <w:rFonts w:hint="eastAsia"/>
                <w:b/>
                <w:bCs/>
                <w:color w:val="auto"/>
                <w:sz w:val="24"/>
                <w:u w:val="single"/>
              </w:rPr>
              <w:t>1、土地资源占用保护措施</w:t>
            </w:r>
          </w:p>
          <w:p w14:paraId="527EC966">
            <w:pPr>
              <w:spacing w:line="360" w:lineRule="auto"/>
              <w:ind w:firstLine="480" w:firstLineChars="200"/>
              <w:rPr>
                <w:color w:val="auto"/>
                <w:sz w:val="24"/>
                <w:u w:val="single"/>
              </w:rPr>
            </w:pPr>
            <w:r>
              <w:rPr>
                <w:rFonts w:hint="eastAsia"/>
                <w:color w:val="auto"/>
                <w:sz w:val="24"/>
                <w:u w:val="single"/>
              </w:rPr>
              <w:t>1）严格控制工程的占地，限制施工设备、堆土场等临时占地面积，避免对原有植被的破坏。</w:t>
            </w:r>
          </w:p>
          <w:p w14:paraId="65011DC7">
            <w:pPr>
              <w:spacing w:line="360" w:lineRule="auto"/>
              <w:ind w:firstLine="480" w:firstLineChars="200"/>
              <w:rPr>
                <w:color w:val="auto"/>
                <w:sz w:val="24"/>
                <w:u w:val="single"/>
              </w:rPr>
            </w:pPr>
            <w:r>
              <w:rPr>
                <w:rFonts w:hint="eastAsia"/>
                <w:color w:val="auto"/>
                <w:sz w:val="24"/>
                <w:u w:val="single"/>
              </w:rPr>
              <w:t>2）施工后应迅速平整作业场地，填埋土坑，尽快恢复植被。</w:t>
            </w:r>
          </w:p>
          <w:p w14:paraId="76E03F52">
            <w:pPr>
              <w:spacing w:line="360" w:lineRule="auto"/>
              <w:ind w:firstLine="480" w:firstLineChars="200"/>
              <w:rPr>
                <w:color w:val="auto"/>
                <w:sz w:val="24"/>
                <w:u w:val="single"/>
              </w:rPr>
            </w:pPr>
            <w:r>
              <w:rPr>
                <w:rFonts w:hint="eastAsia"/>
                <w:color w:val="auto"/>
                <w:sz w:val="24"/>
                <w:u w:val="single"/>
              </w:rPr>
              <w:t>3）尽可能不在绿地范围内建设施工营地，以减少人类活动对生态环境的扰动影响。</w:t>
            </w:r>
          </w:p>
          <w:p w14:paraId="13EA1970">
            <w:pPr>
              <w:spacing w:line="360" w:lineRule="auto"/>
              <w:ind w:firstLine="480" w:firstLineChars="200"/>
              <w:rPr>
                <w:color w:val="auto"/>
                <w:sz w:val="24"/>
                <w:u w:val="single"/>
              </w:rPr>
            </w:pPr>
            <w:r>
              <w:rPr>
                <w:rFonts w:hint="eastAsia"/>
                <w:color w:val="auto"/>
                <w:sz w:val="24"/>
                <w:u w:val="single"/>
              </w:rPr>
              <w:t>4）施工场地的选择与布置，应尽量少占用绿地面积，减少对陆域生态环境的破坏，另外施工开挖、填方，应严格按照批准的施工方案进行，避免任意取土和弃土，未经有关部门批准不得随意砍伐或改变附近区域的植被与绿地性质。</w:t>
            </w:r>
          </w:p>
          <w:p w14:paraId="16DE9FDA">
            <w:pPr>
              <w:spacing w:line="360" w:lineRule="auto"/>
              <w:ind w:firstLine="482" w:firstLineChars="200"/>
              <w:rPr>
                <w:b/>
                <w:bCs/>
                <w:color w:val="auto"/>
                <w:sz w:val="24"/>
                <w:u w:val="single"/>
              </w:rPr>
            </w:pPr>
            <w:r>
              <w:rPr>
                <w:rFonts w:hint="eastAsia"/>
                <w:b/>
                <w:bCs/>
                <w:color w:val="auto"/>
                <w:sz w:val="24"/>
                <w:u w:val="single"/>
              </w:rPr>
              <w:t>2、陆生植物保护措施</w:t>
            </w:r>
          </w:p>
          <w:p w14:paraId="75A73094">
            <w:pPr>
              <w:spacing w:line="360" w:lineRule="auto"/>
              <w:ind w:firstLine="480" w:firstLineChars="200"/>
              <w:rPr>
                <w:color w:val="auto"/>
                <w:kern w:val="0"/>
                <w:sz w:val="24"/>
                <w:szCs w:val="20"/>
                <w:u w:val="single"/>
              </w:rPr>
            </w:pPr>
            <w:r>
              <w:rPr>
                <w:rFonts w:hint="eastAsia"/>
                <w:color w:val="auto"/>
                <w:kern w:val="0"/>
                <w:sz w:val="24"/>
                <w:szCs w:val="20"/>
                <w:u w:val="single"/>
              </w:rPr>
              <w:t>1）划定施工范围：在施工前，明确划定施工区域，设立明显的边界标识，严禁施工人员和机械设备超出范围作业，避免对施工区域外的植被造成不必要的破坏。比如设置坚固的围栏或警示桩，将施工范围清晰界定，防止施工活动的随意扩张。​</w:t>
            </w:r>
          </w:p>
          <w:p w14:paraId="29FF9B6C">
            <w:pPr>
              <w:spacing w:line="360" w:lineRule="auto"/>
              <w:ind w:firstLine="480" w:firstLineChars="200"/>
              <w:rPr>
                <w:color w:val="auto"/>
                <w:kern w:val="0"/>
                <w:sz w:val="24"/>
                <w:szCs w:val="20"/>
                <w:u w:val="single"/>
              </w:rPr>
            </w:pPr>
            <w:r>
              <w:rPr>
                <w:rFonts w:hint="eastAsia"/>
                <w:color w:val="auto"/>
                <w:kern w:val="0"/>
                <w:sz w:val="24"/>
                <w:szCs w:val="20"/>
                <w:u w:val="single"/>
              </w:rPr>
              <w:t>2）移栽保护植物：施工前对施工区域内的保护植物进行详细调查，若发现有保护植物，及时上报相关部门，并根据专业意见进行移栽保护。移栽过程中，邀请专业人员指导，确保保护植物的成活率。例如，小心挖掘保护植物，尽量保持其根系完整，并选择合适的移栽地点，提供良好的生长环境。​</w:t>
            </w:r>
          </w:p>
          <w:p w14:paraId="4DFA493D">
            <w:pPr>
              <w:spacing w:line="360" w:lineRule="auto"/>
              <w:ind w:firstLine="480" w:firstLineChars="200"/>
              <w:rPr>
                <w:color w:val="auto"/>
                <w:kern w:val="0"/>
                <w:sz w:val="24"/>
                <w:szCs w:val="20"/>
                <w:u w:val="single"/>
              </w:rPr>
            </w:pPr>
            <w:r>
              <w:rPr>
                <w:rFonts w:hint="eastAsia"/>
                <w:color w:val="auto"/>
                <w:kern w:val="0"/>
                <w:sz w:val="24"/>
                <w:szCs w:val="20"/>
                <w:u w:val="single"/>
              </w:rPr>
              <w:t>3）保存表层土：施工过程中，对开挖区域的表层土进行剥离并妥善保存，施工结束后用于覆土绿化，以恢复土壤肥力和植被生长条件。表层土富含养分和植物种子，对于植被恢复具有重要作用。​</w:t>
            </w:r>
          </w:p>
          <w:p w14:paraId="15D87C2F">
            <w:pPr>
              <w:spacing w:line="360" w:lineRule="auto"/>
              <w:ind w:firstLine="480" w:firstLineChars="200"/>
              <w:rPr>
                <w:color w:val="auto"/>
                <w:kern w:val="0"/>
                <w:sz w:val="24"/>
                <w:szCs w:val="20"/>
                <w:u w:val="single"/>
              </w:rPr>
            </w:pPr>
            <w:r>
              <w:rPr>
                <w:rFonts w:hint="eastAsia"/>
                <w:color w:val="auto"/>
                <w:kern w:val="0"/>
                <w:sz w:val="24"/>
                <w:szCs w:val="20"/>
                <w:u w:val="single"/>
              </w:rPr>
              <w:t>4）复垦绿化：施工结束后，及时对临时占地和永久占地中可绿化区域进行植被恢复。优先选用当地乡土植物品种进行种植，这些植物对当地环境适应性强，有利于快速恢复生态系统。同时，加强对绿化区域的养护管理，确保植被的成活率和正常生长。</w:t>
            </w:r>
          </w:p>
          <w:p w14:paraId="2D20D471">
            <w:pPr>
              <w:spacing w:line="360" w:lineRule="auto"/>
              <w:ind w:firstLine="480" w:firstLineChars="200"/>
              <w:rPr>
                <w:color w:val="auto"/>
                <w:kern w:val="0"/>
                <w:sz w:val="24"/>
                <w:szCs w:val="20"/>
                <w:u w:val="single"/>
              </w:rPr>
            </w:pPr>
            <w:r>
              <w:rPr>
                <w:rFonts w:hint="eastAsia"/>
                <w:color w:val="auto"/>
                <w:kern w:val="0"/>
                <w:sz w:val="24"/>
                <w:szCs w:val="20"/>
                <w:u w:val="single"/>
              </w:rPr>
              <w:t>5）开展环保教育：对所有施工人员进行生态环境保护教育，通过培训、讲座、发放宣传资料等方式，提高施工人员对保护陆生植物重要性的认识，增强他们的环保意识，使其自觉遵守相关规定，不随意砍伐、践踏植被。​</w:t>
            </w:r>
          </w:p>
          <w:p w14:paraId="5F82C3D2">
            <w:pPr>
              <w:spacing w:line="360" w:lineRule="auto"/>
              <w:ind w:firstLine="482" w:firstLineChars="200"/>
              <w:rPr>
                <w:b/>
                <w:bCs/>
                <w:color w:val="auto"/>
                <w:sz w:val="24"/>
                <w:u w:val="single"/>
              </w:rPr>
            </w:pPr>
            <w:r>
              <w:rPr>
                <w:rFonts w:hint="eastAsia"/>
                <w:b/>
                <w:bCs/>
                <w:color w:val="auto"/>
                <w:sz w:val="24"/>
                <w:u w:val="single"/>
              </w:rPr>
              <w:t>3、陆生动物保护措施</w:t>
            </w:r>
          </w:p>
          <w:p w14:paraId="369F4826">
            <w:pPr>
              <w:spacing w:line="360" w:lineRule="auto"/>
              <w:ind w:firstLine="480" w:firstLineChars="200"/>
              <w:rPr>
                <w:color w:val="auto"/>
                <w:sz w:val="24"/>
                <w:u w:val="single"/>
              </w:rPr>
            </w:pPr>
            <w:r>
              <w:rPr>
                <w:rFonts w:hint="eastAsia"/>
                <w:color w:val="auto"/>
                <w:sz w:val="24"/>
                <w:u w:val="single"/>
              </w:rPr>
              <w:t>1）选用低噪设备：在施工设备选型时，优先选用低噪声、低振动的设备，从源头上减少施工噪声对陆生动物的惊扰。</w:t>
            </w:r>
          </w:p>
          <w:p w14:paraId="179FB31F">
            <w:pPr>
              <w:spacing w:line="360" w:lineRule="auto"/>
              <w:ind w:firstLine="480" w:firstLineChars="200"/>
              <w:rPr>
                <w:color w:val="auto"/>
                <w:sz w:val="24"/>
                <w:u w:val="single"/>
              </w:rPr>
            </w:pPr>
            <w:r>
              <w:rPr>
                <w:rFonts w:hint="eastAsia"/>
                <w:color w:val="auto"/>
                <w:sz w:val="24"/>
                <w:u w:val="single"/>
              </w:rPr>
              <w:t>2）合理安排施工时间：根据陆生动物的活动习性，合理安排施工时间，尽量避开动物的繁殖期、迁徙期和觅食时间。比如在鸟类繁殖季节，避免在清晨和傍晚等鸟类活动频繁的时段进行高噪声施工。</w:t>
            </w:r>
          </w:p>
          <w:p w14:paraId="64A77384">
            <w:pPr>
              <w:spacing w:line="360" w:lineRule="auto"/>
              <w:ind w:firstLine="480" w:firstLineChars="200"/>
              <w:rPr>
                <w:color w:val="auto"/>
                <w:sz w:val="24"/>
                <w:u w:val="single"/>
              </w:rPr>
            </w:pPr>
            <w:r>
              <w:rPr>
                <w:rFonts w:hint="eastAsia"/>
                <w:color w:val="auto"/>
                <w:sz w:val="24"/>
                <w:u w:val="single"/>
              </w:rPr>
              <w:t>3）加强施工人员教育：对施工人员进行野生动物保护教育，使其了解当地常见陆生动物的种类、习性和保护意义，严禁施工人员猎捕、伤害野生动物，不破坏动物巢穴和栖息地。</w:t>
            </w:r>
          </w:p>
          <w:p w14:paraId="07078532">
            <w:pPr>
              <w:spacing w:line="360" w:lineRule="auto"/>
              <w:ind w:firstLine="480" w:firstLineChars="200"/>
              <w:rPr>
                <w:color w:val="auto"/>
                <w:sz w:val="24"/>
                <w:u w:val="single"/>
              </w:rPr>
            </w:pPr>
            <w:r>
              <w:rPr>
                <w:rFonts w:hint="eastAsia"/>
                <w:color w:val="auto"/>
                <w:sz w:val="24"/>
                <w:u w:val="single"/>
              </w:rPr>
              <w:t>4）设置动物保护告示牌：在施工区域及周边设置明显的动物保护告示牌，提醒施工人员和周边居民保护野生动物，禁止非法猎捕和伤害行为。告示牌上可配以当地常见野生动物的图片和文字说明，增强宣传效果。​</w:t>
            </w:r>
          </w:p>
          <w:p w14:paraId="468D7467">
            <w:pPr>
              <w:spacing w:line="360" w:lineRule="auto"/>
              <w:ind w:firstLine="480" w:firstLineChars="200"/>
              <w:rPr>
                <w:color w:val="auto"/>
                <w:sz w:val="24"/>
                <w:u w:val="single"/>
              </w:rPr>
            </w:pPr>
            <w:r>
              <w:rPr>
                <w:rFonts w:hint="eastAsia"/>
                <w:color w:val="auto"/>
                <w:sz w:val="24"/>
                <w:u w:val="single"/>
              </w:rPr>
              <w:t>5）避免污染水体：加强施工废水处理，确保达标排放，避免对周边水体造成污染，为两栖类和水生昆虫等动物提供清洁的生存环境。</w:t>
            </w:r>
            <w:r>
              <w:rPr>
                <w:rFonts w:hint="eastAsia"/>
                <w:color w:val="auto"/>
                <w:sz w:val="24"/>
                <w:u w:val="single"/>
                <w:lang w:val="en-US" w:eastAsia="zh-CN"/>
              </w:rPr>
              <w:t>清淤</w:t>
            </w:r>
            <w:r>
              <w:rPr>
                <w:rFonts w:hint="eastAsia"/>
                <w:color w:val="auto"/>
                <w:sz w:val="24"/>
                <w:u w:val="single"/>
              </w:rPr>
              <w:t>废水经</w:t>
            </w:r>
            <w:r>
              <w:rPr>
                <w:rFonts w:hint="eastAsia"/>
                <w:color w:val="auto"/>
                <w:sz w:val="24"/>
                <w:u w:val="single"/>
                <w:lang w:val="en-US" w:eastAsia="zh-CN"/>
              </w:rPr>
              <w:t>沉淀</w:t>
            </w:r>
            <w:r>
              <w:rPr>
                <w:rFonts w:hint="eastAsia"/>
                <w:color w:val="auto"/>
                <w:sz w:val="24"/>
                <w:u w:val="single"/>
              </w:rPr>
              <w:t>处理后</w:t>
            </w:r>
            <w:r>
              <w:rPr>
                <w:rFonts w:hint="eastAsia"/>
                <w:color w:val="auto"/>
                <w:sz w:val="24"/>
                <w:u w:val="single"/>
                <w:lang w:val="en-US" w:eastAsia="zh-CN"/>
              </w:rPr>
              <w:t>排入池塘</w:t>
            </w:r>
            <w:r>
              <w:rPr>
                <w:rFonts w:hint="eastAsia"/>
                <w:color w:val="auto"/>
                <w:sz w:val="24"/>
                <w:u w:val="single"/>
              </w:rPr>
              <w:t>。​</w:t>
            </w:r>
          </w:p>
          <w:p w14:paraId="3BB777D3">
            <w:pPr>
              <w:spacing w:line="360" w:lineRule="auto"/>
              <w:ind w:firstLine="480" w:firstLineChars="200"/>
              <w:rPr>
                <w:b/>
                <w:bCs/>
                <w:color w:val="auto"/>
                <w:sz w:val="24"/>
                <w:u w:val="single"/>
              </w:rPr>
            </w:pPr>
            <w:r>
              <w:rPr>
                <w:rFonts w:hint="eastAsia"/>
                <w:color w:val="auto"/>
                <w:sz w:val="24"/>
                <w:u w:val="single"/>
              </w:rPr>
              <w:t>6）减少栖息地破坏：优化施工方案，尽量减少对陆生动物栖息地的破坏。对于无法避免的栖息地破坏，采取相应的生态补偿措施，如在附近合适区域建设人工栖息地，为动物提供新的生存空间。</w:t>
            </w:r>
          </w:p>
          <w:p w14:paraId="087C9C6B">
            <w:pPr>
              <w:spacing w:line="360" w:lineRule="auto"/>
              <w:ind w:firstLine="482" w:firstLineChars="200"/>
              <w:rPr>
                <w:b/>
                <w:bCs/>
                <w:color w:val="auto"/>
                <w:sz w:val="24"/>
                <w:u w:val="single"/>
              </w:rPr>
            </w:pPr>
            <w:r>
              <w:rPr>
                <w:rFonts w:hint="eastAsia"/>
                <w:b/>
                <w:bCs/>
                <w:color w:val="auto"/>
                <w:sz w:val="24"/>
                <w:u w:val="single"/>
              </w:rPr>
              <w:t>4、水生动植物保护措施</w:t>
            </w:r>
          </w:p>
          <w:p w14:paraId="2F896247">
            <w:pPr>
              <w:spacing w:line="360" w:lineRule="auto"/>
              <w:ind w:firstLine="482" w:firstLineChars="200"/>
              <w:rPr>
                <w:b/>
                <w:bCs/>
                <w:color w:val="auto"/>
                <w:sz w:val="24"/>
                <w:u w:val="single"/>
              </w:rPr>
            </w:pPr>
            <w:r>
              <w:rPr>
                <w:rFonts w:hint="eastAsia"/>
                <w:b/>
                <w:bCs/>
                <w:color w:val="auto"/>
                <w:sz w:val="24"/>
                <w:u w:val="single"/>
              </w:rPr>
              <w:t>4.1水生植物保护​</w:t>
            </w:r>
          </w:p>
          <w:p w14:paraId="448C1A7B">
            <w:pPr>
              <w:spacing w:line="360" w:lineRule="auto"/>
              <w:ind w:firstLine="480" w:firstLineChars="200"/>
              <w:rPr>
                <w:color w:val="auto"/>
                <w:sz w:val="24"/>
                <w:u w:val="single"/>
              </w:rPr>
            </w:pPr>
            <w:r>
              <w:rPr>
                <w:rFonts w:hint="eastAsia"/>
                <w:color w:val="auto"/>
                <w:sz w:val="24"/>
                <w:u w:val="single"/>
              </w:rPr>
              <w:t>1）合理安排施工时间：尽量避免在水生植物生长旺盛期和繁殖期进行施工，如春季和夏季。选择在冬季等水生植物生长相对缓慢的时期开展施工活动，可减少对水生植物的直接破坏。</w:t>
            </w:r>
          </w:p>
          <w:p w14:paraId="4DE0AE9C">
            <w:pPr>
              <w:spacing w:line="360" w:lineRule="auto"/>
              <w:ind w:firstLine="480" w:firstLineChars="200"/>
              <w:rPr>
                <w:color w:val="auto"/>
                <w:sz w:val="24"/>
                <w:u w:val="single"/>
              </w:rPr>
            </w:pPr>
            <w:r>
              <w:rPr>
                <w:rFonts w:hint="eastAsia"/>
                <w:color w:val="auto"/>
                <w:sz w:val="24"/>
                <w:u w:val="single"/>
              </w:rPr>
              <w:t>2）控制施工范围：在施工区域周边设置明显的标识和围挡，防止施工机械和人员进入非施工区域，避免对施工范围外的水生植物造成不必要的践踏和破坏。</w:t>
            </w:r>
          </w:p>
          <w:p w14:paraId="3F976CEA">
            <w:pPr>
              <w:spacing w:line="360" w:lineRule="auto"/>
              <w:ind w:firstLine="480" w:firstLineChars="200"/>
              <w:rPr>
                <w:color w:val="auto"/>
                <w:sz w:val="24"/>
                <w:u w:val="single"/>
              </w:rPr>
            </w:pPr>
            <w:r>
              <w:rPr>
                <w:rFonts w:hint="eastAsia"/>
                <w:color w:val="auto"/>
                <w:sz w:val="24"/>
                <w:u w:val="single"/>
              </w:rPr>
              <w:t>3）加强水质保护：施工过程中，</w:t>
            </w:r>
            <w:r>
              <w:rPr>
                <w:rFonts w:hint="eastAsia"/>
                <w:color w:val="auto"/>
                <w:sz w:val="24"/>
                <w:u w:val="single"/>
                <w:lang w:val="en-US" w:eastAsia="zh-CN"/>
              </w:rPr>
              <w:t>清淤</w:t>
            </w:r>
            <w:r>
              <w:rPr>
                <w:rFonts w:hint="eastAsia"/>
                <w:color w:val="auto"/>
                <w:sz w:val="24"/>
                <w:u w:val="single"/>
              </w:rPr>
              <w:t>废水</w:t>
            </w:r>
            <w:r>
              <w:rPr>
                <w:rFonts w:hint="eastAsia"/>
                <w:color w:val="auto"/>
                <w:sz w:val="24"/>
                <w:u w:val="single"/>
                <w:lang w:val="en-US" w:eastAsia="zh-CN"/>
              </w:rPr>
              <w:t>通过沉淀</w:t>
            </w:r>
            <w:r>
              <w:rPr>
                <w:rFonts w:hint="eastAsia"/>
                <w:color w:val="auto"/>
                <w:sz w:val="24"/>
                <w:u w:val="single"/>
              </w:rPr>
              <w:t>去除污水中的悬浮物</w:t>
            </w:r>
            <w:r>
              <w:rPr>
                <w:rFonts w:hint="eastAsia"/>
                <w:color w:val="auto"/>
                <w:sz w:val="24"/>
                <w:u w:val="single"/>
                <w:lang w:val="en-US" w:eastAsia="zh-CN"/>
              </w:rPr>
              <w:t>后排入池塘</w:t>
            </w:r>
            <w:r>
              <w:rPr>
                <w:rFonts w:hint="eastAsia"/>
                <w:color w:val="auto"/>
                <w:sz w:val="24"/>
                <w:u w:val="single"/>
                <w:lang w:eastAsia="zh-CN"/>
              </w:rPr>
              <w:t>，</w:t>
            </w:r>
            <w:r>
              <w:rPr>
                <w:rFonts w:hint="eastAsia"/>
                <w:color w:val="auto"/>
                <w:sz w:val="24"/>
                <w:u w:val="single"/>
              </w:rPr>
              <w:t>避免对水生植物生长的水体环境造成污染。</w:t>
            </w:r>
          </w:p>
          <w:p w14:paraId="2F3A2978">
            <w:pPr>
              <w:spacing w:line="360" w:lineRule="auto"/>
              <w:ind w:firstLine="480" w:firstLineChars="200"/>
              <w:rPr>
                <w:color w:val="auto"/>
                <w:sz w:val="24"/>
                <w:u w:val="single"/>
              </w:rPr>
            </w:pPr>
            <w:r>
              <w:rPr>
                <w:rFonts w:hint="eastAsia"/>
                <w:color w:val="auto"/>
                <w:sz w:val="24"/>
                <w:u w:val="single"/>
              </w:rPr>
              <w:t>4）及时清理施工废弃物：施工过程中产生的废弃物，如石块、水泥块、塑料等，及时清理出施工区域，避免其进入水体，影响水生植物的生长和生存空间。</w:t>
            </w:r>
          </w:p>
          <w:p w14:paraId="6555BFFA">
            <w:pPr>
              <w:spacing w:line="360" w:lineRule="auto"/>
              <w:ind w:firstLine="480" w:firstLineChars="200"/>
              <w:rPr>
                <w:color w:val="auto"/>
                <w:sz w:val="24"/>
                <w:u w:val="single"/>
              </w:rPr>
            </w:pPr>
            <w:r>
              <w:rPr>
                <w:rFonts w:hint="eastAsia"/>
                <w:color w:val="auto"/>
                <w:sz w:val="24"/>
                <w:u w:val="single"/>
              </w:rPr>
              <w:t>5）种植水生植物：施工结束后，根据鱼塘的生态环境和水生植物的特点，选择合适的本地水生植物品种进行种植，如芦苇、菖蒲、睡莲等，以恢复和重建水生植物群落，提高水生生态系统的稳定性。</w:t>
            </w:r>
          </w:p>
          <w:p w14:paraId="25B2BC6E">
            <w:pPr>
              <w:spacing w:line="360" w:lineRule="auto"/>
              <w:ind w:firstLine="482" w:firstLineChars="200"/>
              <w:rPr>
                <w:b/>
                <w:bCs/>
                <w:color w:val="auto"/>
                <w:sz w:val="24"/>
                <w:u w:val="single"/>
              </w:rPr>
            </w:pPr>
            <w:r>
              <w:rPr>
                <w:rFonts w:hint="eastAsia"/>
                <w:b/>
                <w:bCs/>
                <w:color w:val="auto"/>
                <w:sz w:val="24"/>
                <w:u w:val="single"/>
              </w:rPr>
              <w:t>4.2浮游生物保护​</w:t>
            </w:r>
          </w:p>
          <w:p w14:paraId="54F37CEF">
            <w:pPr>
              <w:spacing w:line="360" w:lineRule="auto"/>
              <w:ind w:firstLine="480" w:firstLineChars="200"/>
              <w:rPr>
                <w:color w:val="auto"/>
                <w:sz w:val="24"/>
                <w:u w:val="single"/>
              </w:rPr>
            </w:pPr>
            <w:r>
              <w:rPr>
                <w:rFonts w:hint="eastAsia"/>
                <w:color w:val="auto"/>
                <w:sz w:val="24"/>
                <w:u w:val="single"/>
              </w:rPr>
              <w:t>1）控制施工悬浮物排放：在施工过程中，采用先进的施工工艺和设备，减少悬浮物的产生。如在清淤作业时，使用封闭式清淤设备，减少淤泥的扩散；在田埂道路开挖和废渣运输过程中，采取洒水降尘、覆盖等措施，减少尘土进入水体。</w:t>
            </w:r>
          </w:p>
          <w:p w14:paraId="1C0CC6C6">
            <w:pPr>
              <w:spacing w:line="360" w:lineRule="auto"/>
              <w:ind w:firstLine="480" w:firstLineChars="200"/>
              <w:rPr>
                <w:color w:val="auto"/>
                <w:sz w:val="24"/>
                <w:u w:val="single"/>
              </w:rPr>
            </w:pPr>
            <w:r>
              <w:rPr>
                <w:rFonts w:hint="eastAsia"/>
                <w:color w:val="auto"/>
                <w:sz w:val="24"/>
                <w:u w:val="single"/>
              </w:rPr>
              <w:t>2）优化施工工艺：合理安排施工顺序和施工方法，避免在同一区域集中施工，减少对水体的扰动。采用分段施工、分层施工等方式，降低施工对浮游生物生存环境的影响。​</w:t>
            </w:r>
          </w:p>
          <w:p w14:paraId="31326DA0">
            <w:pPr>
              <w:spacing w:line="360" w:lineRule="auto"/>
              <w:ind w:firstLine="482" w:firstLineChars="200"/>
              <w:rPr>
                <w:b/>
                <w:bCs/>
                <w:color w:val="auto"/>
                <w:sz w:val="24"/>
                <w:u w:val="single"/>
              </w:rPr>
            </w:pPr>
            <w:r>
              <w:rPr>
                <w:rFonts w:hint="eastAsia"/>
                <w:b/>
                <w:bCs/>
                <w:color w:val="auto"/>
                <w:sz w:val="24"/>
                <w:u w:val="single"/>
              </w:rPr>
              <w:t>4.3鱼类保护​</w:t>
            </w:r>
          </w:p>
          <w:p w14:paraId="76A468D7">
            <w:pPr>
              <w:spacing w:line="360" w:lineRule="auto"/>
              <w:ind w:firstLine="480" w:firstLineChars="200"/>
              <w:rPr>
                <w:color w:val="auto"/>
                <w:sz w:val="24"/>
                <w:u w:val="single"/>
              </w:rPr>
            </w:pPr>
            <w:r>
              <w:rPr>
                <w:rFonts w:hint="eastAsia"/>
                <w:color w:val="auto"/>
                <w:sz w:val="24"/>
                <w:u w:val="single"/>
              </w:rPr>
              <w:t>1）合理安排施工时间和方式：避免在鱼类繁殖期、洄游期进行高噪声、高振动的施工活动。如在春季鱼类繁殖季节，减少施工强度和范围，采用低噪声、低振动的施工设备和工艺，降低对鱼类的惊扰。​</w:t>
            </w:r>
          </w:p>
          <w:p w14:paraId="1C56F885">
            <w:pPr>
              <w:spacing w:line="360" w:lineRule="auto"/>
              <w:ind w:firstLine="480" w:firstLineChars="200"/>
              <w:rPr>
                <w:color w:val="auto"/>
                <w:sz w:val="24"/>
                <w:u w:val="single"/>
              </w:rPr>
            </w:pPr>
            <w:r>
              <w:rPr>
                <w:rFonts w:hint="eastAsia"/>
                <w:color w:val="auto"/>
                <w:sz w:val="24"/>
                <w:u w:val="single"/>
              </w:rPr>
              <w:t>2）加强水质保护：确保施工过程</w:t>
            </w:r>
            <w:r>
              <w:rPr>
                <w:rFonts w:hint="eastAsia"/>
                <w:color w:val="auto"/>
                <w:sz w:val="24"/>
                <w:u w:val="single"/>
                <w:lang w:val="en-US" w:eastAsia="zh-CN"/>
              </w:rPr>
              <w:t>清淤淤泥废水沉淀处理后排入池塘</w:t>
            </w:r>
            <w:r>
              <w:rPr>
                <w:rFonts w:hint="eastAsia"/>
                <w:color w:val="auto"/>
                <w:sz w:val="24"/>
                <w:u w:val="single"/>
              </w:rPr>
              <w:t>，防止施工废水污染水体，为鱼类提供清洁的生存环境。定期监测施工区域及周边水体的水质，一旦发现水质异常，及时采取措施进行处理。​</w:t>
            </w:r>
          </w:p>
          <w:p w14:paraId="4F88B5E5">
            <w:pPr>
              <w:spacing w:line="360" w:lineRule="auto"/>
              <w:ind w:firstLine="482" w:firstLineChars="200"/>
              <w:rPr>
                <w:b/>
                <w:bCs/>
                <w:color w:val="auto"/>
                <w:sz w:val="24"/>
                <w:u w:val="single"/>
              </w:rPr>
            </w:pPr>
            <w:r>
              <w:rPr>
                <w:rFonts w:hint="eastAsia"/>
                <w:b/>
                <w:bCs/>
                <w:color w:val="auto"/>
                <w:sz w:val="24"/>
                <w:u w:val="single"/>
              </w:rPr>
              <w:t>5、水土流失保持措施</w:t>
            </w:r>
          </w:p>
          <w:p w14:paraId="4AB6F924">
            <w:pPr>
              <w:spacing w:line="360" w:lineRule="auto"/>
              <w:ind w:firstLine="482" w:firstLineChars="200"/>
              <w:rPr>
                <w:b/>
                <w:bCs/>
                <w:color w:val="auto"/>
                <w:sz w:val="24"/>
                <w:u w:val="single"/>
              </w:rPr>
            </w:pPr>
            <w:r>
              <w:rPr>
                <w:rFonts w:hint="eastAsia"/>
                <w:b/>
                <w:bCs/>
                <w:color w:val="auto"/>
                <w:sz w:val="24"/>
                <w:u w:val="single"/>
              </w:rPr>
              <w:t>5.1工程措施​</w:t>
            </w:r>
          </w:p>
          <w:p w14:paraId="6880C9F2">
            <w:pPr>
              <w:spacing w:line="360" w:lineRule="auto"/>
              <w:ind w:firstLine="480" w:firstLineChars="200"/>
              <w:rPr>
                <w:color w:val="auto"/>
                <w:sz w:val="24"/>
                <w:u w:val="single"/>
              </w:rPr>
            </w:pPr>
            <w:r>
              <w:rPr>
                <w:rFonts w:hint="eastAsia"/>
                <w:color w:val="auto"/>
                <w:sz w:val="24"/>
                <w:u w:val="single"/>
              </w:rPr>
              <w:t>1）设置挡土墙：在堆土场、岸坡等容易发生土体坍塌和滑坡的区域，根据地形和土体稳定性计算，合理设置挡土墙。挡土墙的结构形式可选用重力式、悬臂式或扶壁式等，确保其能够承受土体的侧向压力，防止土体滑落，减少水土流失。例如，在堆土场的周边，采用重力式挡土墙，其依靠自身重力来维持稳定，阻挡堆土的下滑。</w:t>
            </w:r>
          </w:p>
          <w:p w14:paraId="2FD02A06">
            <w:pPr>
              <w:spacing w:line="360" w:lineRule="auto"/>
              <w:ind w:firstLine="480" w:firstLineChars="200"/>
              <w:rPr>
                <w:color w:val="auto"/>
                <w:sz w:val="24"/>
                <w:u w:val="single"/>
              </w:rPr>
            </w:pPr>
            <w:r>
              <w:rPr>
                <w:rFonts w:hint="eastAsia"/>
                <w:color w:val="auto"/>
                <w:sz w:val="24"/>
                <w:u w:val="single"/>
              </w:rPr>
              <w:t>2）护坡工程：对于岸坡加固建设中清理植被后的边坡，采用多种护坡方式相结合。如在坡度较缓的边坡，可采用浆砌石护坡，通过将石块用水泥砂浆砌筑在边坡表面，形成防护层，防止雨水冲刷和坡面侵蚀；对于坡度较陡的边坡，采用混凝土护坡，利用混凝土的强度和整体性，增强边坡的稳定性。同时，在护坡表面设置排水孔，及时排除坡体内的积水，降低孔隙水压力，提高边坡的抗滑能力。</w:t>
            </w:r>
          </w:p>
          <w:p w14:paraId="5FE8EB3D">
            <w:pPr>
              <w:spacing w:line="360" w:lineRule="auto"/>
              <w:ind w:firstLine="480" w:firstLineChars="200"/>
              <w:rPr>
                <w:color w:val="auto"/>
                <w:sz w:val="24"/>
                <w:u w:val="single"/>
              </w:rPr>
            </w:pPr>
            <w:r>
              <w:rPr>
                <w:rFonts w:hint="eastAsia"/>
                <w:color w:val="auto"/>
                <w:sz w:val="24"/>
                <w:u w:val="single"/>
              </w:rPr>
              <w:t>3）排水系统建设：在施工区域内合理规划排水系统，包括开挖排水沟、修建排水管道等。排水沟的尺寸和坡度应根据区域的降雨量、汇水面积等因素进行设计，确保能够及时排除施工场地内的雨水，避免积水对地面的冲刷。</w:t>
            </w:r>
          </w:p>
          <w:p w14:paraId="059572CF">
            <w:pPr>
              <w:spacing w:line="360" w:lineRule="auto"/>
              <w:ind w:firstLine="482" w:firstLineChars="200"/>
              <w:rPr>
                <w:b/>
                <w:bCs/>
                <w:color w:val="auto"/>
                <w:sz w:val="24"/>
                <w:u w:val="single"/>
              </w:rPr>
            </w:pPr>
            <w:r>
              <w:rPr>
                <w:rFonts w:hint="eastAsia"/>
                <w:b/>
                <w:bCs/>
                <w:color w:val="auto"/>
                <w:sz w:val="24"/>
                <w:u w:val="single"/>
              </w:rPr>
              <w:t>5.2植物措施​</w:t>
            </w:r>
          </w:p>
          <w:p w14:paraId="5162150A">
            <w:pPr>
              <w:spacing w:line="360" w:lineRule="auto"/>
              <w:ind w:firstLine="480" w:firstLineChars="200"/>
              <w:rPr>
                <w:color w:val="auto"/>
                <w:sz w:val="24"/>
                <w:u w:val="single"/>
              </w:rPr>
            </w:pPr>
            <w:r>
              <w:rPr>
                <w:rFonts w:hint="eastAsia"/>
                <w:color w:val="auto"/>
                <w:sz w:val="24"/>
                <w:u w:val="single"/>
              </w:rPr>
              <w:t>1）植被种植：在施工结束后，对施工开挖后的裸露区域、边坡以及周边现有杂树杂灌杂草清理后的区域，及时进行植被种植。优先选择本地适生的草本植物和灌木，如狗牙根、紫穗槐等。这些植物适应性强，生长迅速，能够快速覆盖地面，减少雨水对土壤的直接冲击，降低地表径流速度，从而有效防止水土流失。草本植物和灌木可采用混合种植的方式，形成多层次的植被结构，增强植被的防护效果。​</w:t>
            </w:r>
          </w:p>
          <w:p w14:paraId="3ACDF00F">
            <w:pPr>
              <w:spacing w:line="360" w:lineRule="auto"/>
              <w:ind w:firstLine="480" w:firstLineChars="200"/>
              <w:rPr>
                <w:color w:val="auto"/>
                <w:sz w:val="24"/>
                <w:u w:val="single"/>
              </w:rPr>
            </w:pPr>
            <w:r>
              <w:rPr>
                <w:rFonts w:hint="eastAsia"/>
                <w:color w:val="auto"/>
                <w:sz w:val="24"/>
                <w:u w:val="single"/>
              </w:rPr>
              <w:t>2）植被恢复：对施工过程中破坏的原有植被，根据其种类和生态环境要求，进行针对性的恢复。对于草地，播撒原有草种，同时采取施肥、灌溉等措施，提高草种的发芽率和成活率，尽快恢复草地植被，提高植被覆盖率，发挥植被固土保水的作用。</w:t>
            </w:r>
          </w:p>
          <w:p w14:paraId="097F379C">
            <w:pPr>
              <w:spacing w:line="360" w:lineRule="auto"/>
              <w:ind w:firstLine="482" w:firstLineChars="200"/>
              <w:rPr>
                <w:b/>
                <w:bCs/>
                <w:color w:val="auto"/>
                <w:sz w:val="24"/>
                <w:u w:val="single"/>
              </w:rPr>
            </w:pPr>
            <w:r>
              <w:rPr>
                <w:rFonts w:hint="eastAsia"/>
                <w:b/>
                <w:bCs/>
                <w:color w:val="auto"/>
                <w:sz w:val="24"/>
                <w:u w:val="single"/>
              </w:rPr>
              <w:t>5.3管理措施​</w:t>
            </w:r>
          </w:p>
          <w:p w14:paraId="70850C13">
            <w:pPr>
              <w:spacing w:line="360" w:lineRule="auto"/>
              <w:ind w:firstLine="480" w:firstLineChars="200"/>
              <w:rPr>
                <w:color w:val="auto"/>
                <w:sz w:val="24"/>
                <w:u w:val="single"/>
              </w:rPr>
            </w:pPr>
            <w:r>
              <w:rPr>
                <w:rFonts w:hint="eastAsia"/>
                <w:color w:val="auto"/>
                <w:sz w:val="24"/>
                <w:u w:val="single"/>
              </w:rPr>
              <w:t>1）加强施工管理：建立健全施工管理制度，明确施工过程中水土流失防治的责任人和责任部门，将水土流失防治纳入施工日常管理工作中。加强对施工人员的培训，提高其对水土流失危害的认识和防治意识，使其在施工过程中自觉采取措施减少水土流失。例如，严禁随意倾倒施工废弃物，规范施工机械和车辆的行驶路线，避免对地表造成不必要的破坏。</w:t>
            </w:r>
          </w:p>
          <w:p w14:paraId="3B2D1BC8">
            <w:pPr>
              <w:spacing w:line="360" w:lineRule="auto"/>
              <w:ind w:firstLine="480" w:firstLineChars="200"/>
              <w:rPr>
                <w:color w:val="auto"/>
                <w:sz w:val="24"/>
                <w:u w:val="single"/>
              </w:rPr>
            </w:pPr>
            <w:r>
              <w:rPr>
                <w:rFonts w:hint="eastAsia"/>
                <w:color w:val="auto"/>
                <w:sz w:val="24"/>
                <w:u w:val="single"/>
              </w:rPr>
              <w:t>2）制定合理施工计划：根据当地的气候特点和降雨规律，合理安排施工进度和施工时间。尽量避免在雨季进行大规模的土方开挖和填筑作业，如需在雨季施工，应制定详细的雨季施工方案，采取有效的防护措施，如对裸露地面进行覆盖、设置临时排水设施等，减少雨水对施工场地的冲刷。</w:t>
            </w:r>
          </w:p>
          <w:p w14:paraId="4C8F8A44">
            <w:pPr>
              <w:spacing w:line="360" w:lineRule="auto"/>
              <w:ind w:firstLine="480" w:firstLineChars="200"/>
              <w:rPr>
                <w:color w:val="auto"/>
                <w:sz w:val="24"/>
                <w:u w:val="single"/>
              </w:rPr>
            </w:pPr>
            <w:r>
              <w:rPr>
                <w:rFonts w:hint="eastAsia"/>
                <w:color w:val="auto"/>
                <w:sz w:val="24"/>
                <w:u w:val="single"/>
              </w:rPr>
              <w:t>3）定期检查维护：定期对水土流失防治设施进行检查和维护，及时发现并修复损坏的挡土墙、护坡、排水系统等设施，确保其正常运行。对植被种植区域进行巡查，及时处理病虫害问题，对生长不良的植被进行补植和抚育管理，保证植被的防护功能。</w:t>
            </w:r>
          </w:p>
          <w:p w14:paraId="39B83EE6">
            <w:pPr>
              <w:spacing w:line="360" w:lineRule="auto"/>
              <w:rPr>
                <w:b/>
                <w:bCs/>
                <w:color w:val="auto"/>
                <w:sz w:val="24"/>
              </w:rPr>
            </w:pPr>
            <w:r>
              <w:rPr>
                <w:rFonts w:hint="eastAsia"/>
                <w:b/>
                <w:bCs/>
                <w:color w:val="auto"/>
                <w:sz w:val="24"/>
              </w:rPr>
              <w:t>二、施工期环境污染防治措施</w:t>
            </w:r>
          </w:p>
          <w:p w14:paraId="6C51E27B">
            <w:pPr>
              <w:spacing w:line="360" w:lineRule="auto"/>
              <w:ind w:firstLine="482" w:firstLineChars="200"/>
              <w:rPr>
                <w:b/>
                <w:bCs/>
                <w:color w:val="auto"/>
                <w:sz w:val="24"/>
              </w:rPr>
            </w:pPr>
            <w:r>
              <w:rPr>
                <w:rFonts w:hint="eastAsia"/>
                <w:b/>
                <w:bCs/>
                <w:color w:val="auto"/>
                <w:sz w:val="24"/>
              </w:rPr>
              <w:t>1、大气污染防治措施</w:t>
            </w:r>
          </w:p>
          <w:p w14:paraId="1C6A7C3A">
            <w:pPr>
              <w:spacing w:line="360" w:lineRule="auto"/>
              <w:ind w:firstLine="482" w:firstLineChars="200"/>
              <w:rPr>
                <w:b/>
                <w:bCs/>
                <w:color w:val="auto"/>
                <w:sz w:val="24"/>
              </w:rPr>
            </w:pPr>
            <w:r>
              <w:rPr>
                <w:rFonts w:hint="eastAsia"/>
                <w:b/>
                <w:bCs/>
                <w:color w:val="auto"/>
                <w:sz w:val="24"/>
              </w:rPr>
              <w:t>1.1、粉尘污染防治措施</w:t>
            </w:r>
          </w:p>
          <w:p w14:paraId="3C2C7425">
            <w:pPr>
              <w:spacing w:line="360" w:lineRule="auto"/>
              <w:ind w:firstLine="480" w:firstLineChars="200"/>
              <w:rPr>
                <w:color w:val="auto"/>
                <w:sz w:val="24"/>
              </w:rPr>
            </w:pPr>
            <w:r>
              <w:rPr>
                <w:color w:val="auto"/>
                <w:sz w:val="24"/>
              </w:rPr>
              <w:t>为防止项目施工期</w:t>
            </w:r>
            <w:r>
              <w:rPr>
                <w:rFonts w:hint="eastAsia"/>
                <w:color w:val="auto"/>
                <w:sz w:val="24"/>
              </w:rPr>
              <w:t>粉尘</w:t>
            </w:r>
            <w:r>
              <w:rPr>
                <w:color w:val="auto"/>
                <w:sz w:val="24"/>
              </w:rPr>
              <w:t>对环境的影响，</w:t>
            </w:r>
            <w:r>
              <w:rPr>
                <w:rFonts w:hint="eastAsia"/>
                <w:color w:val="auto"/>
                <w:sz w:val="24"/>
              </w:rPr>
              <w:t>根据《湖南省大气污染防治特护期实施方案（2018-2020 年）》，本环评要求，扬尘控制与治理措施如下：</w:t>
            </w:r>
          </w:p>
          <w:p w14:paraId="10707654">
            <w:pPr>
              <w:spacing w:line="360" w:lineRule="auto"/>
              <w:ind w:firstLine="480" w:firstLineChars="200"/>
              <w:rPr>
                <w:color w:val="auto"/>
                <w:sz w:val="24"/>
              </w:rPr>
            </w:pPr>
            <w:r>
              <w:rPr>
                <w:rFonts w:hint="eastAsia"/>
                <w:color w:val="auto"/>
                <w:sz w:val="24"/>
              </w:rPr>
              <w:t>①严格落实施施工现场 100%、围挡，施工现场 100%、洒水清扫保洁，驶出车辆 100%、冲洗，施工道路 100%、硬化，裸露场地、土堆及物料堆放 100%、覆盖，渣土车辆 100%、密闭运输，远程视频监控 100%、安装，扬尘在线监测设备 100%安装、“八个百分之百”。</w:t>
            </w:r>
          </w:p>
          <w:p w14:paraId="4578218C">
            <w:pPr>
              <w:spacing w:line="360" w:lineRule="auto"/>
              <w:ind w:firstLine="480" w:firstLineChars="200"/>
              <w:rPr>
                <w:color w:val="auto"/>
                <w:sz w:val="24"/>
              </w:rPr>
            </w:pPr>
            <w:r>
              <w:rPr>
                <w:rFonts w:hint="eastAsia"/>
                <w:color w:val="auto"/>
                <w:sz w:val="24"/>
              </w:rPr>
              <w:t>②施工工地内易产生扬尘的物料堆放，应在其周围设置不低于堆放物高度的封闭性硬质围栏围挡；施工现场的围挡必须从四周连续设置并采用硬质材料进行封闭围挡；减少建筑物内部扬尘的扩散，设置喷雾装置，在粉尘产生量较大的情况进行喷雾降尘。</w:t>
            </w:r>
          </w:p>
          <w:p w14:paraId="2CABD812">
            <w:pPr>
              <w:spacing w:line="360" w:lineRule="auto"/>
              <w:ind w:firstLine="480" w:firstLineChars="200"/>
              <w:rPr>
                <w:color w:val="auto"/>
                <w:sz w:val="24"/>
              </w:rPr>
            </w:pPr>
            <w:r>
              <w:rPr>
                <w:rFonts w:hint="eastAsia"/>
                <w:color w:val="auto"/>
                <w:sz w:val="24"/>
              </w:rPr>
              <w:t>③对于物料堆放及裸露施工区，及时压实处理并洒水，每天至少上下班两次，使其保持一定的湿度，减少扬尘产生。裸露的场地应采用密目网或其他有机材料进行覆盖处理。</w:t>
            </w:r>
          </w:p>
          <w:p w14:paraId="578CE6B5">
            <w:pPr>
              <w:spacing w:line="360" w:lineRule="auto"/>
              <w:ind w:firstLine="480" w:firstLineChars="200"/>
              <w:rPr>
                <w:color w:val="auto"/>
                <w:sz w:val="24"/>
              </w:rPr>
            </w:pPr>
            <w:r>
              <w:rPr>
                <w:rFonts w:hint="eastAsia"/>
                <w:color w:val="auto"/>
                <w:sz w:val="24"/>
              </w:rPr>
              <w:t>④开挖的土方、弃料应及时清运，临时堆存，应采取洒水或喷淋措施，并进行覆盖处理。</w:t>
            </w:r>
          </w:p>
          <w:p w14:paraId="537B821F">
            <w:pPr>
              <w:spacing w:line="360" w:lineRule="auto"/>
              <w:ind w:firstLine="480" w:firstLineChars="200"/>
              <w:rPr>
                <w:color w:val="auto"/>
                <w:sz w:val="24"/>
              </w:rPr>
            </w:pPr>
            <w:r>
              <w:rPr>
                <w:rFonts w:hint="eastAsia"/>
                <w:color w:val="auto"/>
                <w:sz w:val="24"/>
              </w:rPr>
              <w:t>⑤天气预报4级风以上天气应停止产生扬尘的施工作业，例如土方工程、粉状建筑材料的相关作业。</w:t>
            </w:r>
          </w:p>
          <w:p w14:paraId="443BCD55">
            <w:pPr>
              <w:spacing w:line="360" w:lineRule="auto"/>
              <w:ind w:firstLine="480" w:firstLineChars="200"/>
              <w:rPr>
                <w:color w:val="auto"/>
                <w:sz w:val="24"/>
              </w:rPr>
            </w:pPr>
            <w:r>
              <w:rPr>
                <w:rFonts w:hint="eastAsia"/>
                <w:color w:val="auto"/>
                <w:sz w:val="24"/>
              </w:rPr>
              <w:t>⑥严格禁止在施工现场拌制混凝土，选择购买商品混凝土和预拌混凝土。</w:t>
            </w:r>
          </w:p>
          <w:p w14:paraId="45410933">
            <w:pPr>
              <w:spacing w:line="360" w:lineRule="auto"/>
              <w:ind w:firstLine="480" w:firstLineChars="200"/>
              <w:rPr>
                <w:color w:val="auto"/>
                <w:sz w:val="24"/>
              </w:rPr>
            </w:pPr>
            <w:r>
              <w:rPr>
                <w:rFonts w:hint="eastAsia"/>
                <w:color w:val="auto"/>
                <w:sz w:val="24"/>
              </w:rPr>
              <w:t>⑦建设单位必须委托具有建筑垃圾运输资质的运输单位进行建筑垃圾运输。清运弃土的车辆应预先办理相关手续或委托具有建筑垃圾运输资质的运输单位进行，严格按要求进行封闭运输，不得乱卸乱倒垃圾，不允许凌空抛扬，宜袋装清运，以免造成扬尘污染。</w:t>
            </w:r>
          </w:p>
          <w:p w14:paraId="6B0AC2C4">
            <w:pPr>
              <w:spacing w:line="360" w:lineRule="auto"/>
              <w:ind w:firstLine="480" w:firstLineChars="200"/>
              <w:rPr>
                <w:color w:val="auto"/>
                <w:sz w:val="24"/>
              </w:rPr>
            </w:pPr>
            <w:r>
              <w:rPr>
                <w:rFonts w:hint="eastAsia"/>
                <w:color w:val="auto"/>
                <w:sz w:val="24"/>
              </w:rPr>
              <w:t>经采取上述措施后，施工期扬尘能得到有效控制，可有效缓解对周围环境的影响，因此，扬尘污染控制措施可行。</w:t>
            </w:r>
          </w:p>
          <w:p w14:paraId="16DEBFDC">
            <w:pPr>
              <w:pStyle w:val="104"/>
              <w:spacing w:line="360" w:lineRule="auto"/>
              <w:rPr>
                <w:b/>
                <w:bCs/>
                <w:color w:val="auto"/>
                <w:szCs w:val="24"/>
              </w:rPr>
            </w:pPr>
            <w:r>
              <w:rPr>
                <w:rFonts w:hint="eastAsia"/>
                <w:b/>
                <w:bCs/>
                <w:color w:val="auto"/>
                <w:kern w:val="2"/>
                <w:szCs w:val="24"/>
              </w:rPr>
              <w:t>1.2、</w:t>
            </w:r>
            <w:r>
              <w:rPr>
                <w:b/>
                <w:color w:val="auto"/>
                <w:szCs w:val="24"/>
              </w:rPr>
              <w:t>燃油废气</w:t>
            </w:r>
            <w:r>
              <w:rPr>
                <w:rFonts w:hint="eastAsia"/>
                <w:b/>
                <w:bCs/>
                <w:color w:val="auto"/>
                <w:szCs w:val="24"/>
              </w:rPr>
              <w:t>污染治理措施</w:t>
            </w:r>
          </w:p>
          <w:p w14:paraId="7A7308B3">
            <w:pPr>
              <w:spacing w:line="360" w:lineRule="auto"/>
              <w:ind w:firstLine="480" w:firstLineChars="200"/>
              <w:rPr>
                <w:color w:val="auto"/>
                <w:sz w:val="24"/>
              </w:rPr>
            </w:pPr>
            <w:r>
              <w:rPr>
                <w:color w:val="auto"/>
                <w:sz w:val="24"/>
              </w:rPr>
              <w:t>施工期间燃油废气主要来自施工机械、运输车辆燃油排放，产生的污染物主要为SO</w:t>
            </w:r>
            <w:r>
              <w:rPr>
                <w:color w:val="auto"/>
                <w:sz w:val="24"/>
                <w:vertAlign w:val="subscript"/>
              </w:rPr>
              <w:t>2</w:t>
            </w:r>
            <w:r>
              <w:rPr>
                <w:color w:val="auto"/>
                <w:sz w:val="24"/>
              </w:rPr>
              <w:t>、NOx、CO、碳氢化合物等</w:t>
            </w:r>
            <w:r>
              <w:rPr>
                <w:rFonts w:hint="eastAsia"/>
                <w:color w:val="auto"/>
                <w:sz w:val="24"/>
              </w:rPr>
              <w:t>，</w:t>
            </w:r>
            <w:r>
              <w:rPr>
                <w:color w:val="auto"/>
                <w:sz w:val="24"/>
              </w:rPr>
              <w:t>其影响范围是施工现场和运输道路沿途，排放的尾气在施工期间对施工作业点附近的大气环境造成污染，其产生量与施工机械数量及密度、耗油量、燃料品质及机械设备状况有关。施工机械燃油废气的控制措施有以下几个方面：</w:t>
            </w:r>
          </w:p>
          <w:p w14:paraId="2A21BA8F">
            <w:pPr>
              <w:numPr>
                <w:ilvl w:val="0"/>
                <w:numId w:val="8"/>
              </w:numPr>
              <w:spacing w:line="360" w:lineRule="auto"/>
              <w:ind w:firstLine="480" w:firstLineChars="200"/>
              <w:rPr>
                <w:color w:val="auto"/>
                <w:sz w:val="24"/>
              </w:rPr>
            </w:pPr>
            <w:r>
              <w:rPr>
                <w:bCs/>
                <w:color w:val="auto"/>
                <w:sz w:val="24"/>
              </w:rPr>
              <w:t>在施工期间通过加强施工机械和车辆的管理，</w:t>
            </w:r>
            <w:r>
              <w:rPr>
                <w:color w:val="auto"/>
                <w:sz w:val="24"/>
              </w:rPr>
              <w:t>机械及运输车辆要定时保养，调整到最佳状态运行。</w:t>
            </w:r>
            <w:r>
              <w:rPr>
                <w:bCs/>
                <w:color w:val="auto"/>
                <w:sz w:val="24"/>
              </w:rPr>
              <w:t>执行定期检查维护制度，提前规划好运输线路，尽量避开周边居民住宅等环境敏感目标等措施；</w:t>
            </w:r>
          </w:p>
          <w:p w14:paraId="6AFEB96B">
            <w:pPr>
              <w:numPr>
                <w:ilvl w:val="0"/>
                <w:numId w:val="8"/>
              </w:numPr>
              <w:spacing w:line="360" w:lineRule="auto"/>
              <w:ind w:firstLine="480" w:firstLineChars="200"/>
              <w:rPr>
                <w:color w:val="auto"/>
                <w:sz w:val="24"/>
              </w:rPr>
            </w:pPr>
            <w:r>
              <w:rPr>
                <w:color w:val="auto"/>
                <w:sz w:val="24"/>
              </w:rPr>
              <w:t>加强大型施工机械和车辆的管理；</w:t>
            </w:r>
            <w:r>
              <w:rPr>
                <w:rFonts w:hint="eastAsia"/>
                <w:color w:val="auto"/>
                <w:sz w:val="24"/>
              </w:rPr>
              <w:t>运输车辆禁止超载，不得使用劣质燃料；对车辆的尾气排放进行监督管理，严格执行有关汽车排污监管办法和相关制度。</w:t>
            </w:r>
          </w:p>
          <w:p w14:paraId="491C23EC">
            <w:pPr>
              <w:numPr>
                <w:ilvl w:val="0"/>
                <w:numId w:val="8"/>
              </w:numPr>
              <w:spacing w:line="360" w:lineRule="auto"/>
              <w:ind w:firstLine="480" w:firstLineChars="200"/>
              <w:rPr>
                <w:color w:val="auto"/>
                <w:sz w:val="24"/>
              </w:rPr>
            </w:pPr>
            <w:r>
              <w:rPr>
                <w:bCs/>
                <w:color w:val="auto"/>
                <w:sz w:val="24"/>
              </w:rPr>
              <w:t>施工机械使用无铅汽油等优质燃料、严禁使用劣质油品，杜绝冒黑烟现象；使施工期间车辆尾气对环境的污染减少到最低程度。</w:t>
            </w:r>
          </w:p>
          <w:p w14:paraId="579AFDDC">
            <w:pPr>
              <w:spacing w:line="360" w:lineRule="auto"/>
              <w:ind w:firstLine="480" w:firstLineChars="200"/>
              <w:rPr>
                <w:color w:val="auto"/>
                <w:sz w:val="24"/>
              </w:rPr>
            </w:pPr>
            <w:r>
              <w:rPr>
                <w:rFonts w:hint="eastAsia"/>
                <w:color w:val="auto"/>
                <w:sz w:val="24"/>
              </w:rPr>
              <w:t>采取上述措施后，可减少燃油废气对周围大气环境的影响。</w:t>
            </w:r>
            <w:r>
              <w:rPr>
                <w:color w:val="auto"/>
                <w:sz w:val="24"/>
              </w:rPr>
              <w:t>由于项目施工区区域地形开阔，空气流通性好，排放废气中的各项污染物能够很快扩散，不会引起局部大气环境质量的恶化，</w:t>
            </w:r>
            <w:r>
              <w:rPr>
                <w:rFonts w:hint="eastAsia"/>
                <w:color w:val="auto"/>
                <w:sz w:val="24"/>
              </w:rPr>
              <w:t>施工结束后，影响随之消失。</w:t>
            </w:r>
          </w:p>
          <w:p w14:paraId="7009B4B0">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2、废水污染防治措施</w:t>
            </w:r>
          </w:p>
          <w:p w14:paraId="3F65C6FD">
            <w:pPr>
              <w:adjustRightInd w:val="0"/>
              <w:snapToGrid w:val="0"/>
              <w:spacing w:line="360" w:lineRule="auto"/>
              <w:ind w:firstLine="480" w:firstLineChars="200"/>
              <w:rPr>
                <w:color w:val="auto"/>
                <w:sz w:val="24"/>
              </w:rPr>
            </w:pPr>
            <w:r>
              <w:rPr>
                <w:rFonts w:hint="eastAsia"/>
                <w:color w:val="auto"/>
                <w:sz w:val="24"/>
              </w:rPr>
              <w:t>施工期废水主要为施工人员生活污水、清淤淤泥沥水。主要采取的水环境保护措施为：</w:t>
            </w:r>
          </w:p>
          <w:p w14:paraId="3E8FA5E9">
            <w:pPr>
              <w:adjustRightInd w:val="0"/>
              <w:snapToGrid w:val="0"/>
              <w:spacing w:line="360" w:lineRule="auto"/>
              <w:ind w:firstLine="480" w:firstLineChars="200"/>
              <w:rPr>
                <w:color w:val="auto"/>
                <w:sz w:val="24"/>
              </w:rPr>
            </w:pPr>
            <w:r>
              <w:rPr>
                <w:rFonts w:hint="eastAsia"/>
                <w:color w:val="auto"/>
                <w:sz w:val="24"/>
              </w:rPr>
              <w:t>①施工人员的生活污水：</w:t>
            </w:r>
            <w:r>
              <w:rPr>
                <w:color w:val="auto"/>
                <w:kern w:val="0"/>
                <w:sz w:val="24"/>
              </w:rPr>
              <w:t>项目在施工区域附近直接招募村民作为施工人员，</w:t>
            </w:r>
            <w:r>
              <w:rPr>
                <w:rFonts w:hint="eastAsia"/>
                <w:color w:val="auto"/>
                <w:kern w:val="0"/>
                <w:sz w:val="24"/>
              </w:rPr>
              <w:t>利用现有管理用房</w:t>
            </w:r>
            <w:r>
              <w:rPr>
                <w:color w:val="auto"/>
                <w:kern w:val="0"/>
                <w:sz w:val="24"/>
              </w:rPr>
              <w:t>作为施工期间办公生活用房，生活污水</w:t>
            </w:r>
            <w:r>
              <w:rPr>
                <w:rFonts w:hint="eastAsia"/>
                <w:color w:val="auto"/>
                <w:sz w:val="24"/>
              </w:rPr>
              <w:t>现有的化粪池进行处理，处理后废水作为农肥</w:t>
            </w:r>
            <w:r>
              <w:rPr>
                <w:bCs/>
                <w:color w:val="auto"/>
                <w:sz w:val="24"/>
              </w:rPr>
              <w:t>。</w:t>
            </w:r>
          </w:p>
          <w:p w14:paraId="27DCB8DB">
            <w:pPr>
              <w:adjustRightInd w:val="0"/>
              <w:snapToGrid w:val="0"/>
              <w:spacing w:line="360" w:lineRule="auto"/>
              <w:ind w:firstLine="480" w:firstLineChars="200"/>
              <w:rPr>
                <w:color w:val="auto"/>
                <w:sz w:val="24"/>
              </w:rPr>
            </w:pPr>
            <w:r>
              <w:rPr>
                <w:rFonts w:hint="eastAsia"/>
                <w:color w:val="auto"/>
                <w:sz w:val="24"/>
              </w:rPr>
              <w:t>②清淤淤泥沥水：</w:t>
            </w:r>
            <w:r>
              <w:rPr>
                <w:bCs/>
                <w:color w:val="auto"/>
                <w:sz w:val="24"/>
              </w:rPr>
              <w:t>本工程</w:t>
            </w:r>
            <w:r>
              <w:rPr>
                <w:rFonts w:hint="eastAsia"/>
                <w:bCs/>
                <w:color w:val="auto"/>
                <w:sz w:val="24"/>
              </w:rPr>
              <w:t>设1</w:t>
            </w:r>
            <w:r>
              <w:rPr>
                <w:bCs/>
                <w:color w:val="auto"/>
                <w:sz w:val="24"/>
              </w:rPr>
              <w:t>个临时堆土场，</w:t>
            </w:r>
            <w:r>
              <w:rPr>
                <w:rFonts w:hint="eastAsia"/>
                <w:bCs/>
                <w:color w:val="auto"/>
                <w:sz w:val="24"/>
              </w:rPr>
              <w:t>淤泥在</w:t>
            </w:r>
            <w:r>
              <w:rPr>
                <w:bCs/>
                <w:color w:val="auto"/>
                <w:sz w:val="24"/>
              </w:rPr>
              <w:t>临时堆土场自然</w:t>
            </w:r>
            <w:r>
              <w:rPr>
                <w:rFonts w:hint="eastAsia"/>
                <w:bCs/>
                <w:color w:val="auto"/>
                <w:sz w:val="24"/>
              </w:rPr>
              <w:t>堆存将产生一定量的沥水，沥水</w:t>
            </w:r>
            <w:r>
              <w:rPr>
                <w:bCs/>
                <w:color w:val="auto"/>
                <w:sz w:val="24"/>
              </w:rPr>
              <w:t>主要污染物为</w:t>
            </w:r>
            <w:r>
              <w:rPr>
                <w:rFonts w:hint="eastAsia"/>
                <w:bCs/>
                <w:color w:val="auto"/>
                <w:sz w:val="24"/>
              </w:rPr>
              <w:t>COD、SS，建设单位需</w:t>
            </w:r>
            <w:r>
              <w:rPr>
                <w:bCs/>
                <w:color w:val="auto"/>
                <w:sz w:val="24"/>
              </w:rPr>
              <w:t>在临时堆土场构建排水沟</w:t>
            </w:r>
            <w:r>
              <w:rPr>
                <w:rFonts w:hint="eastAsia"/>
                <w:bCs/>
                <w:color w:val="auto"/>
                <w:sz w:val="24"/>
              </w:rPr>
              <w:t>，并设置集水沉淀池</w:t>
            </w:r>
            <w:r>
              <w:rPr>
                <w:bCs/>
                <w:color w:val="auto"/>
                <w:sz w:val="24"/>
              </w:rPr>
              <w:t>用于收集及处理</w:t>
            </w:r>
            <w:r>
              <w:rPr>
                <w:rFonts w:hint="eastAsia"/>
                <w:bCs/>
                <w:color w:val="auto"/>
                <w:sz w:val="24"/>
              </w:rPr>
              <w:t>弃土自然</w:t>
            </w:r>
            <w:r>
              <w:rPr>
                <w:bCs/>
                <w:color w:val="auto"/>
                <w:sz w:val="24"/>
              </w:rPr>
              <w:t>脱水产生的</w:t>
            </w:r>
            <w:r>
              <w:rPr>
                <w:rFonts w:hint="eastAsia"/>
                <w:bCs/>
                <w:color w:val="auto"/>
                <w:sz w:val="24"/>
              </w:rPr>
              <w:t>沥水，</w:t>
            </w:r>
            <w:r>
              <w:rPr>
                <w:rFonts w:hint="eastAsia"/>
                <w:color w:val="auto"/>
                <w:sz w:val="24"/>
              </w:rPr>
              <w:t>沥水</w:t>
            </w:r>
            <w:r>
              <w:rPr>
                <w:rFonts w:hint="eastAsia"/>
                <w:bCs/>
                <w:color w:val="auto"/>
                <w:sz w:val="24"/>
              </w:rPr>
              <w:t>通过处理后回排至池塘内。</w:t>
            </w:r>
          </w:p>
          <w:p w14:paraId="59AC81E6">
            <w:pPr>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③项目</w:t>
            </w:r>
            <w:r>
              <w:rPr>
                <w:rFonts w:hint="eastAsia"/>
                <w:bCs/>
                <w:color w:val="auto"/>
                <w:sz w:val="24"/>
              </w:rPr>
              <w:t>施工期间，要注意对这些裸露边坡的防护。项目在施工时可考虑用无纺布或草栅对开挖和填筑的未采取防护措施的边坡、堆土场等进行覆盖。</w:t>
            </w:r>
          </w:p>
          <w:p w14:paraId="4A003450">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3、噪声污</w:t>
            </w:r>
            <w:r>
              <w:rPr>
                <w:rFonts w:hint="eastAsia"/>
                <w:b/>
                <w:bCs/>
                <w:color w:val="auto"/>
                <w:sz w:val="24"/>
              </w:rPr>
              <w:t>染防治措施</w:t>
            </w:r>
          </w:p>
          <w:p w14:paraId="04E3C027">
            <w:pPr>
              <w:spacing w:line="360" w:lineRule="auto"/>
              <w:ind w:firstLine="480" w:firstLineChars="200"/>
              <w:rPr>
                <w:bCs/>
                <w:color w:val="auto"/>
                <w:sz w:val="24"/>
              </w:rPr>
            </w:pPr>
            <w:r>
              <w:rPr>
                <w:rFonts w:hint="eastAsia"/>
                <w:color w:val="auto"/>
                <w:sz w:val="24"/>
              </w:rPr>
              <w:t>本项目施工期噪声主要为各施工机械设备产生的机械噪声，车辆运输过程产生的交通噪声，通过计算可得不同施工阶段不同类型施工机械在不同距离处的噪声预测值，昼间施工设备产生的噪声主要对周边50m范围内敏感目标噪声干扰。</w:t>
            </w:r>
            <w:r>
              <w:rPr>
                <w:bCs/>
                <w:color w:val="auto"/>
                <w:sz w:val="24"/>
              </w:rPr>
              <w:t>由于项目地周边分布了村庄，且部分村庄距离项目地较近。无论是昼间施工噪声还是夜间施工噪声均会给各敏感点造成一定的影响，特别是夜间施工噪声。因此，建设单位必须采取切实有效的措施以减少噪声污染，杜绝夜间施工。</w:t>
            </w:r>
          </w:p>
          <w:p w14:paraId="304F388A">
            <w:pPr>
              <w:adjustRightInd w:val="0"/>
              <w:snapToGrid w:val="0"/>
              <w:spacing w:line="360" w:lineRule="auto"/>
              <w:ind w:firstLine="480" w:firstLineChars="200"/>
              <w:rPr>
                <w:bCs/>
                <w:color w:val="auto"/>
                <w:sz w:val="24"/>
              </w:rPr>
            </w:pPr>
            <w:r>
              <w:rPr>
                <w:bCs/>
                <w:color w:val="auto"/>
                <w:sz w:val="24"/>
              </w:rPr>
              <w:t>鉴于此要求施工单位在施工过程中采用降噪措施，以减少对项目地附近居民区的主要环境敏感点的影响。主要措施包括：</w:t>
            </w:r>
          </w:p>
          <w:p w14:paraId="6A38CB97">
            <w:pPr>
              <w:adjustRightInd w:val="0"/>
              <w:snapToGrid w:val="0"/>
              <w:spacing w:line="360" w:lineRule="auto"/>
              <w:ind w:firstLine="480" w:firstLineChars="200"/>
              <w:rPr>
                <w:bCs/>
                <w:color w:val="auto"/>
                <w:sz w:val="24"/>
              </w:rPr>
            </w:pPr>
            <w:r>
              <w:rPr>
                <w:bCs/>
                <w:color w:val="auto"/>
                <w:sz w:val="24"/>
              </w:rPr>
              <w:t>①施工单位应首先选用低噪声的施工机械设备，或选用</w:t>
            </w:r>
            <w:r>
              <w:rPr>
                <w:rFonts w:hint="eastAsia"/>
                <w:bCs/>
                <w:color w:val="auto"/>
                <w:sz w:val="24"/>
              </w:rPr>
              <w:t>做</w:t>
            </w:r>
            <w:r>
              <w:rPr>
                <w:bCs/>
                <w:color w:val="auto"/>
                <w:sz w:val="24"/>
              </w:rPr>
              <w:t>过降噪技术处理和改装的设备，尽量以液压工具代替气压工具，并且注意经常维护和保养，使得施工机械设备保持运转正常，同时要定期检验设备的噪声声级，以便有效地缩小施工期的噪声影响范围。</w:t>
            </w:r>
          </w:p>
          <w:p w14:paraId="1FE7484F">
            <w:pPr>
              <w:adjustRightInd w:val="0"/>
              <w:snapToGrid w:val="0"/>
              <w:spacing w:line="360" w:lineRule="auto"/>
              <w:ind w:firstLine="480" w:firstLineChars="200"/>
              <w:rPr>
                <w:bCs/>
                <w:color w:val="auto"/>
                <w:sz w:val="24"/>
              </w:rPr>
            </w:pPr>
            <w:r>
              <w:rPr>
                <w:bCs/>
                <w:color w:val="auto"/>
                <w:sz w:val="24"/>
              </w:rPr>
              <w:t>②施工机械设备的安置应该</w:t>
            </w:r>
            <w:r>
              <w:rPr>
                <w:rFonts w:hint="eastAsia"/>
                <w:bCs/>
                <w:color w:val="auto"/>
                <w:sz w:val="24"/>
              </w:rPr>
              <w:t>尽量设置在南侧，</w:t>
            </w:r>
            <w:r>
              <w:rPr>
                <w:bCs/>
                <w:color w:val="auto"/>
                <w:sz w:val="24"/>
              </w:rPr>
              <w:t>远离</w:t>
            </w:r>
            <w:r>
              <w:rPr>
                <w:rFonts w:hint="eastAsia"/>
                <w:bCs/>
                <w:color w:val="auto"/>
                <w:sz w:val="24"/>
              </w:rPr>
              <w:t>北侧</w:t>
            </w:r>
            <w:r>
              <w:rPr>
                <w:bCs/>
                <w:color w:val="auto"/>
                <w:sz w:val="24"/>
              </w:rPr>
              <w:t>居民住宅和其他环境敏感区域，在高噪声设备周围设置掩蔽物，施工现场设置彩钢板围挡，以增加噪声的衰减量，减少对周边环境的影响。</w:t>
            </w:r>
          </w:p>
          <w:p w14:paraId="06CDBA1F">
            <w:pPr>
              <w:adjustRightInd w:val="0"/>
              <w:snapToGrid w:val="0"/>
              <w:spacing w:line="360" w:lineRule="auto"/>
              <w:ind w:firstLine="480" w:firstLineChars="200"/>
              <w:rPr>
                <w:bCs/>
                <w:color w:val="auto"/>
                <w:sz w:val="24"/>
              </w:rPr>
            </w:pPr>
            <w:r>
              <w:rPr>
                <w:bCs/>
                <w:color w:val="auto"/>
                <w:sz w:val="24"/>
              </w:rPr>
              <w:t>③施工单位应该根据施工作业阶段的具体情况，统筹安排好施工时间和动用设备的数量，尽量安排在周末，同时应避免高噪声机械设备集中使用或者几台声功率相同的设备同时、同点作业，以减少作业的噪声声级，同时施工单位应注意开挖铺设好一段应立即覆土、地面压实、绿化或路面修复工作。</w:t>
            </w:r>
          </w:p>
          <w:p w14:paraId="1D69EC50">
            <w:pPr>
              <w:adjustRightInd w:val="0"/>
              <w:snapToGrid w:val="0"/>
              <w:spacing w:line="360" w:lineRule="auto"/>
              <w:ind w:firstLine="480" w:firstLineChars="200"/>
              <w:rPr>
                <w:bCs/>
                <w:color w:val="auto"/>
                <w:sz w:val="24"/>
              </w:rPr>
            </w:pPr>
            <w:r>
              <w:rPr>
                <w:bCs/>
                <w:color w:val="auto"/>
                <w:sz w:val="24"/>
              </w:rPr>
              <w:t>④施工场地应保持通道和道路畅通，控制运输车辆的车速，限制车辆鸣笛，减少交通噪声对周边环境的影响。</w:t>
            </w:r>
          </w:p>
          <w:p w14:paraId="039B839F">
            <w:pPr>
              <w:adjustRightInd w:val="0"/>
              <w:snapToGrid w:val="0"/>
              <w:spacing w:line="360" w:lineRule="auto"/>
              <w:ind w:firstLine="480" w:firstLineChars="200"/>
              <w:rPr>
                <w:bCs/>
                <w:color w:val="auto"/>
                <w:sz w:val="24"/>
              </w:rPr>
            </w:pPr>
            <w:r>
              <w:rPr>
                <w:bCs/>
                <w:color w:val="auto"/>
                <w:sz w:val="24"/>
              </w:rPr>
              <w:t>⑤加强施工管理，合理安排施工作业时间，禁止夜间进行高噪声施工作业。对于推土机、起重机等高噪声设备应控制施工时间，尽量白天集中使用，使用时要缩短作业周期，从而减少对周围环境的影响。</w:t>
            </w:r>
          </w:p>
          <w:p w14:paraId="001513FA">
            <w:pPr>
              <w:adjustRightInd w:val="0"/>
              <w:snapToGrid w:val="0"/>
              <w:spacing w:line="360" w:lineRule="auto"/>
              <w:ind w:firstLine="480" w:firstLineChars="200"/>
              <w:rPr>
                <w:bCs/>
                <w:color w:val="auto"/>
                <w:sz w:val="24"/>
              </w:rPr>
            </w:pPr>
            <w:r>
              <w:rPr>
                <w:bCs/>
                <w:color w:val="auto"/>
                <w:sz w:val="24"/>
              </w:rPr>
              <w:t>⑥施工单位要安排好施工时间，尽量避免夜间（22点~早6点）施工。夜间要施工时应严格执行申报制度，经过相关主管部门核准后才能施工，并做好有关公示和宣传解释工作。另外，为保障施工人员身心健康，项目应当加强对施工现场的管理，尽量避免大声喧哗，加强对设备的维护，防止设备故障发生刺耳的噪音，同时，高噪声机械操作员应佩戴降噪耳塞 等劳保用品。</w:t>
            </w:r>
          </w:p>
          <w:p w14:paraId="43AC0D8D">
            <w:pPr>
              <w:adjustRightInd w:val="0"/>
              <w:snapToGrid w:val="0"/>
              <w:spacing w:line="360" w:lineRule="auto"/>
              <w:ind w:firstLine="480" w:firstLineChars="200"/>
              <w:rPr>
                <w:bCs/>
                <w:color w:val="auto"/>
                <w:sz w:val="24"/>
              </w:rPr>
            </w:pPr>
            <w:r>
              <w:rPr>
                <w:bCs/>
                <w:color w:val="auto"/>
                <w:sz w:val="24"/>
              </w:rPr>
              <w:t>采取上述措施，项目施工机械的噪声可得到控制。由于施工中各种机械多为移动声源，对某一固定点而言其影响是短暂的，随着设备的移动，其影响程度会迅速下降。总的来说，施工过程中的大噪声作业是短时间的，通过有效的降噪措施和合理的噪声施工时间安排，可尽量降低施工噪声对周围环境的影响，周围环境是可接受的。</w:t>
            </w:r>
          </w:p>
          <w:p w14:paraId="3A90A8C0">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4、固体废物</w:t>
            </w:r>
            <w:r>
              <w:rPr>
                <w:rFonts w:hint="eastAsia"/>
                <w:b/>
                <w:bCs/>
                <w:color w:val="auto"/>
                <w:sz w:val="24"/>
              </w:rPr>
              <w:t>防治措施</w:t>
            </w:r>
          </w:p>
          <w:p w14:paraId="5AA69CA6">
            <w:pPr>
              <w:adjustRightInd w:val="0"/>
              <w:snapToGrid w:val="0"/>
              <w:spacing w:line="360" w:lineRule="auto"/>
              <w:ind w:firstLine="480" w:firstLineChars="200"/>
              <w:rPr>
                <w:bCs/>
                <w:color w:val="auto"/>
                <w:sz w:val="24"/>
              </w:rPr>
            </w:pPr>
            <w:r>
              <w:rPr>
                <w:bCs/>
                <w:color w:val="auto"/>
                <w:sz w:val="24"/>
              </w:rPr>
              <w:t>本项目施工期固废主要为施工人员生活垃圾、</w:t>
            </w:r>
            <w:r>
              <w:rPr>
                <w:rFonts w:hint="eastAsia"/>
                <w:bCs/>
                <w:color w:val="auto"/>
                <w:sz w:val="24"/>
              </w:rPr>
              <w:t>清淤淤泥、施工废弃物</w:t>
            </w:r>
            <w:r>
              <w:rPr>
                <w:bCs/>
                <w:color w:val="auto"/>
                <w:sz w:val="24"/>
              </w:rPr>
              <w:t>。</w:t>
            </w:r>
          </w:p>
          <w:p w14:paraId="44D47069">
            <w:pPr>
              <w:adjustRightInd w:val="0"/>
              <w:snapToGrid w:val="0"/>
              <w:spacing w:line="360" w:lineRule="auto"/>
              <w:ind w:firstLine="480" w:firstLineChars="200"/>
              <w:rPr>
                <w:color w:val="auto"/>
                <w:sz w:val="24"/>
              </w:rPr>
            </w:pPr>
            <w:r>
              <w:rPr>
                <w:rFonts w:hint="eastAsia"/>
                <w:bCs/>
                <w:color w:val="auto"/>
                <w:sz w:val="24"/>
              </w:rPr>
              <w:t>项目</w:t>
            </w:r>
            <w:r>
              <w:rPr>
                <w:rFonts w:hint="eastAsia"/>
                <w:color w:val="auto"/>
                <w:sz w:val="24"/>
              </w:rPr>
              <w:t>清淤淤泥在</w:t>
            </w:r>
            <w:r>
              <w:rPr>
                <w:color w:val="auto"/>
                <w:sz w:val="24"/>
              </w:rPr>
              <w:t>进行翻晒改良后用于</w:t>
            </w:r>
            <w:r>
              <w:rPr>
                <w:rFonts w:hint="eastAsia"/>
                <w:color w:val="auto"/>
                <w:sz w:val="24"/>
              </w:rPr>
              <w:t>池塘</w:t>
            </w:r>
            <w:r>
              <w:rPr>
                <w:color w:val="auto"/>
                <w:sz w:val="24"/>
              </w:rPr>
              <w:t>边坡回填</w:t>
            </w:r>
            <w:r>
              <w:rPr>
                <w:rFonts w:hint="eastAsia"/>
                <w:color w:val="auto"/>
                <w:sz w:val="24"/>
              </w:rPr>
              <w:t>、</w:t>
            </w:r>
            <w:r>
              <w:rPr>
                <w:color w:val="auto"/>
                <w:sz w:val="24"/>
              </w:rPr>
              <w:t>农田道路、田埂加固加高等综合</w:t>
            </w:r>
            <w:r>
              <w:rPr>
                <w:rFonts w:hint="eastAsia"/>
                <w:color w:val="auto"/>
                <w:sz w:val="24"/>
              </w:rPr>
              <w:t>利用。</w:t>
            </w:r>
            <w:r>
              <w:rPr>
                <w:bCs/>
                <w:color w:val="auto"/>
                <w:sz w:val="24"/>
              </w:rPr>
              <w:t>施工废弃物</w:t>
            </w:r>
            <w:r>
              <w:rPr>
                <w:rFonts w:hint="eastAsia"/>
                <w:bCs/>
                <w:color w:val="auto"/>
                <w:sz w:val="24"/>
              </w:rPr>
              <w:t>及生活垃圾</w:t>
            </w:r>
            <w:r>
              <w:rPr>
                <w:bCs/>
                <w:color w:val="auto"/>
                <w:sz w:val="24"/>
              </w:rPr>
              <w:t>经收集后交环卫部门清运</w:t>
            </w:r>
            <w:r>
              <w:rPr>
                <w:rFonts w:hint="eastAsia"/>
                <w:bCs/>
                <w:color w:val="auto"/>
                <w:sz w:val="24"/>
              </w:rPr>
              <w:t>；</w:t>
            </w:r>
          </w:p>
          <w:p w14:paraId="24E93966">
            <w:pPr>
              <w:adjustRightInd w:val="0"/>
              <w:snapToGrid w:val="0"/>
              <w:spacing w:line="360" w:lineRule="auto"/>
              <w:ind w:firstLine="480" w:firstLineChars="200"/>
              <w:rPr>
                <w:bCs/>
                <w:color w:val="auto"/>
                <w:sz w:val="24"/>
              </w:rPr>
            </w:pPr>
            <w:r>
              <w:rPr>
                <w:rFonts w:hint="eastAsia"/>
                <w:bCs/>
                <w:color w:val="auto"/>
                <w:sz w:val="24"/>
              </w:rPr>
              <w:t>为减少弃土堆放和运输过程中对环境的影响，采取如下措施：</w:t>
            </w:r>
          </w:p>
          <w:p w14:paraId="224BBBF3">
            <w:pPr>
              <w:adjustRightInd w:val="0"/>
              <w:snapToGrid w:val="0"/>
              <w:spacing w:line="360" w:lineRule="auto"/>
              <w:ind w:firstLine="480" w:firstLineChars="200"/>
              <w:rPr>
                <w:bCs/>
                <w:color w:val="auto"/>
                <w:sz w:val="24"/>
              </w:rPr>
            </w:pPr>
            <w:r>
              <w:rPr>
                <w:rFonts w:hint="eastAsia"/>
                <w:bCs/>
                <w:color w:val="auto"/>
                <w:sz w:val="24"/>
              </w:rPr>
              <w:t>①</w:t>
            </w:r>
            <w:r>
              <w:rPr>
                <w:rFonts w:hint="eastAsia"/>
                <w:color w:val="auto"/>
                <w:sz w:val="24"/>
              </w:rPr>
              <w:t>施工期</w:t>
            </w:r>
            <w:r>
              <w:rPr>
                <w:rFonts w:hint="eastAsia"/>
                <w:bCs/>
                <w:color w:val="auto"/>
                <w:sz w:val="24"/>
              </w:rPr>
              <w:t>清淤淤泥</w:t>
            </w:r>
            <w:r>
              <w:rPr>
                <w:rFonts w:hint="eastAsia"/>
                <w:color w:val="auto"/>
                <w:sz w:val="24"/>
              </w:rPr>
              <w:t>应压实堆放，规范堆存，并控制堆土边坡，堆存完毕后对临时堆土场进行覆土和种植香樟和迎春花并播撒狗牙根种子进行植被恢复。</w:t>
            </w:r>
          </w:p>
          <w:p w14:paraId="4E760E1A">
            <w:pPr>
              <w:adjustRightInd w:val="0"/>
              <w:snapToGrid w:val="0"/>
              <w:spacing w:line="360" w:lineRule="auto"/>
              <w:ind w:firstLine="480" w:firstLineChars="200"/>
              <w:rPr>
                <w:bCs/>
                <w:color w:val="auto"/>
                <w:sz w:val="24"/>
              </w:rPr>
            </w:pPr>
            <w:r>
              <w:rPr>
                <w:rFonts w:hint="eastAsia"/>
                <w:bCs/>
                <w:color w:val="auto"/>
                <w:sz w:val="24"/>
              </w:rPr>
              <w:t>②车辆运输松散废弃物时，必须密封、包扎、覆盖，不得沿途撒漏。运载土方的车辆必须在规定的时间内，按指定路段行驶。</w:t>
            </w:r>
          </w:p>
          <w:p w14:paraId="2207D776">
            <w:pPr>
              <w:adjustRightInd w:val="0"/>
              <w:snapToGrid w:val="0"/>
              <w:spacing w:line="360" w:lineRule="auto"/>
              <w:ind w:firstLine="480" w:firstLineChars="200"/>
              <w:rPr>
                <w:rFonts w:hint="eastAsia" w:ascii="宋体" w:hAnsi="宋体" w:cs="宋体"/>
                <w:bCs/>
                <w:color w:val="auto"/>
                <w:spacing w:val="10"/>
                <w:szCs w:val="21"/>
              </w:rPr>
            </w:pPr>
            <w:r>
              <w:rPr>
                <w:rFonts w:hint="eastAsia"/>
                <w:bCs/>
                <w:color w:val="auto"/>
                <w:sz w:val="24"/>
              </w:rPr>
              <w:t>③建设过程中应加强管理，文明施工，以减少建设期间施工对周围环境的影响，使建设期间对周围环境的影响减少到较低程度，做到发展与保护环境相协调。在工程竣工以后，施工单位应负责将工地的剩余装修垃圾、工程渣土处理干净，做到“工完、料尽、场地清”，同时应负责督促施工单位的固体废物处置清理工作。</w:t>
            </w:r>
          </w:p>
        </w:tc>
      </w:tr>
      <w:tr w14:paraId="07158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641" w:type="dxa"/>
            <w:tcMar>
              <w:left w:w="28" w:type="dxa"/>
              <w:right w:w="28" w:type="dxa"/>
            </w:tcMar>
            <w:vAlign w:val="center"/>
          </w:tcPr>
          <w:p w14:paraId="62E2E705">
            <w:pPr>
              <w:adjustRightInd w:val="0"/>
              <w:snapToGrid w:val="0"/>
              <w:jc w:val="center"/>
              <w:rPr>
                <w:rFonts w:hint="eastAsia" w:ascii="宋体" w:hAnsi="宋体" w:cs="宋体"/>
                <w:bCs/>
                <w:color w:val="auto"/>
                <w:spacing w:val="10"/>
                <w:szCs w:val="21"/>
              </w:rPr>
            </w:pPr>
            <w:r>
              <w:rPr>
                <w:rFonts w:hint="eastAsia" w:ascii="宋体" w:hAnsi="宋体" w:cs="宋体"/>
                <w:bCs/>
                <w:color w:val="auto"/>
                <w:spacing w:val="10"/>
                <w:sz w:val="24"/>
              </w:rPr>
              <w:t>运营期生态环境保护措施</w:t>
            </w:r>
          </w:p>
        </w:tc>
        <w:tc>
          <w:tcPr>
            <w:tcW w:w="7806" w:type="dxa"/>
          </w:tcPr>
          <w:p w14:paraId="35C583E8">
            <w:pPr>
              <w:adjustRightInd w:val="0"/>
              <w:snapToGrid w:val="0"/>
              <w:spacing w:line="360" w:lineRule="auto"/>
              <w:ind w:firstLine="480" w:firstLineChars="200"/>
              <w:rPr>
                <w:color w:val="auto"/>
                <w:sz w:val="24"/>
                <w:u w:val="single"/>
              </w:rPr>
            </w:pPr>
            <w:r>
              <w:rPr>
                <w:rFonts w:hint="eastAsia"/>
                <w:color w:val="auto"/>
                <w:sz w:val="24"/>
                <w:u w:val="single"/>
              </w:rPr>
              <w:t>项目运营期环境影响包括鱼塘在运营期间造成的生态环境影响和环境污染影响，本环评根据项目建设情况对生态环境影响和环境污染影响提出针对性的保护措施。</w:t>
            </w:r>
          </w:p>
          <w:p w14:paraId="756233FE">
            <w:pPr>
              <w:spacing w:line="360" w:lineRule="auto"/>
              <w:rPr>
                <w:b/>
                <w:bCs/>
                <w:color w:val="auto"/>
                <w:sz w:val="24"/>
                <w:szCs w:val="32"/>
                <w:u w:val="single"/>
              </w:rPr>
            </w:pPr>
            <w:r>
              <w:rPr>
                <w:b/>
                <w:bCs/>
                <w:color w:val="auto"/>
                <w:sz w:val="24"/>
                <w:szCs w:val="32"/>
                <w:u w:val="single"/>
              </w:rPr>
              <w:t>1、生态环境保护措施</w:t>
            </w:r>
          </w:p>
          <w:p w14:paraId="537199DF">
            <w:pPr>
              <w:spacing w:line="360" w:lineRule="auto"/>
              <w:ind w:firstLine="480" w:firstLineChars="200"/>
              <w:rPr>
                <w:color w:val="auto"/>
                <w:sz w:val="24"/>
                <w:szCs w:val="32"/>
                <w:u w:val="single"/>
              </w:rPr>
            </w:pPr>
            <w:r>
              <w:rPr>
                <w:color w:val="auto"/>
                <w:sz w:val="24"/>
                <w:szCs w:val="32"/>
                <w:u w:val="single"/>
              </w:rPr>
              <w:t>为降低项目运营期对生态环境的潜在影响，保障水生生物生存环境稳定与区域生物多样性，针对性制定以下生态环境保护措施：</w:t>
            </w:r>
          </w:p>
          <w:p w14:paraId="4828F0EE">
            <w:pPr>
              <w:spacing w:line="360" w:lineRule="auto"/>
              <w:ind w:firstLine="482" w:firstLineChars="200"/>
              <w:rPr>
                <w:b/>
                <w:bCs/>
                <w:color w:val="auto"/>
                <w:sz w:val="24"/>
                <w:szCs w:val="32"/>
                <w:u w:val="single"/>
              </w:rPr>
            </w:pPr>
            <w:r>
              <w:rPr>
                <w:rFonts w:hint="eastAsia"/>
                <w:b/>
                <w:bCs/>
                <w:color w:val="auto"/>
                <w:sz w:val="24"/>
                <w:szCs w:val="32"/>
                <w:u w:val="single"/>
              </w:rPr>
              <w:t>1.1、</w:t>
            </w:r>
            <w:r>
              <w:rPr>
                <w:b/>
                <w:bCs/>
                <w:color w:val="auto"/>
                <w:sz w:val="24"/>
                <w:szCs w:val="32"/>
                <w:u w:val="single"/>
              </w:rPr>
              <w:t>水生生物保护措施​</w:t>
            </w:r>
          </w:p>
          <w:p w14:paraId="65AFAA08">
            <w:pPr>
              <w:spacing w:line="360" w:lineRule="auto"/>
              <w:ind w:firstLine="480" w:firstLineChars="200"/>
              <w:rPr>
                <w:color w:val="auto"/>
                <w:sz w:val="24"/>
                <w:szCs w:val="32"/>
                <w:u w:val="single"/>
              </w:rPr>
            </w:pPr>
            <w:r>
              <w:rPr>
                <w:rFonts w:hint="eastAsia"/>
                <w:color w:val="auto"/>
                <w:sz w:val="24"/>
                <w:szCs w:val="32"/>
                <w:u w:val="single"/>
              </w:rPr>
              <w:t>（1）</w:t>
            </w:r>
            <w:r>
              <w:rPr>
                <w:color w:val="auto"/>
                <w:sz w:val="24"/>
                <w:szCs w:val="32"/>
                <w:u w:val="single"/>
              </w:rPr>
              <w:t>维持江湖连通性与水流稳定性​</w:t>
            </w:r>
          </w:p>
          <w:p w14:paraId="1F1AF15D">
            <w:pPr>
              <w:spacing w:line="360" w:lineRule="auto"/>
              <w:ind w:firstLine="480" w:firstLineChars="200"/>
              <w:rPr>
                <w:color w:val="auto"/>
                <w:sz w:val="24"/>
                <w:szCs w:val="32"/>
                <w:u w:val="single"/>
              </w:rPr>
            </w:pPr>
            <w:r>
              <w:rPr>
                <w:color w:val="auto"/>
                <w:sz w:val="24"/>
                <w:szCs w:val="32"/>
                <w:u w:val="single"/>
              </w:rPr>
              <w:t>连通性保障：定期检查并维护项目区域内与采桑湖、洞庭湖相连的原有水系通道，确保无堵塞、淤积情况，严禁在连通通道周边设置任何阻碍水流或鱼类迁移的设施，保障江湖水体自然交换功能，维持鱼类等水生生物的迁移路径畅通。</w:t>
            </w:r>
          </w:p>
          <w:p w14:paraId="67AA4B4F">
            <w:pPr>
              <w:spacing w:line="360" w:lineRule="auto"/>
              <w:ind w:firstLine="480" w:firstLineChars="200"/>
              <w:rPr>
                <w:color w:val="auto"/>
                <w:sz w:val="24"/>
                <w:szCs w:val="32"/>
                <w:u w:val="single"/>
              </w:rPr>
            </w:pPr>
            <w:r>
              <w:rPr>
                <w:color w:val="auto"/>
                <w:sz w:val="24"/>
                <w:szCs w:val="32"/>
                <w:u w:val="single"/>
              </w:rPr>
              <w:t>水流调控：严格按照项目设计标准控制养殖水体的循环与排放节奏，避免因水流速度骤变、水量波动对周边水域水文情势造成干扰，确保工程运行不改变现状水塘水流去向，不影响采桑湖与洞庭湖之间的自然水力联系。</w:t>
            </w:r>
          </w:p>
          <w:p w14:paraId="0B17FD54">
            <w:pPr>
              <w:spacing w:line="360" w:lineRule="auto"/>
              <w:ind w:firstLine="480" w:firstLineChars="200"/>
              <w:rPr>
                <w:color w:val="auto"/>
                <w:sz w:val="24"/>
                <w:szCs w:val="32"/>
                <w:u w:val="single"/>
              </w:rPr>
            </w:pPr>
            <w:r>
              <w:rPr>
                <w:rFonts w:hint="eastAsia"/>
                <w:color w:val="auto"/>
                <w:sz w:val="24"/>
                <w:szCs w:val="32"/>
                <w:u w:val="single"/>
              </w:rPr>
              <w:t>（2）</w:t>
            </w:r>
            <w:r>
              <w:rPr>
                <w:color w:val="auto"/>
                <w:sz w:val="24"/>
                <w:szCs w:val="32"/>
                <w:u w:val="single"/>
              </w:rPr>
              <w:t>优化水生环境与种质资源保护​</w:t>
            </w:r>
          </w:p>
          <w:p w14:paraId="325E3B03">
            <w:pPr>
              <w:spacing w:line="360" w:lineRule="auto"/>
              <w:ind w:firstLine="480" w:firstLineChars="200"/>
              <w:rPr>
                <w:color w:val="auto"/>
                <w:sz w:val="24"/>
                <w:szCs w:val="32"/>
                <w:u w:val="single"/>
              </w:rPr>
            </w:pPr>
            <w:r>
              <w:rPr>
                <w:color w:val="auto"/>
                <w:sz w:val="24"/>
                <w:szCs w:val="32"/>
                <w:u w:val="single"/>
              </w:rPr>
              <w:t>水质维护：依托池塘工程化循环水系统，加强养殖水体水质监测与净化处理，定期清除循环系统内的残饵、粪便等污染物，确保养殖尾水</w:t>
            </w:r>
            <w:r>
              <w:rPr>
                <w:rFonts w:hint="eastAsia"/>
                <w:color w:val="auto"/>
                <w:sz w:val="24"/>
                <w:szCs w:val="32"/>
                <w:u w:val="single"/>
              </w:rPr>
              <w:t>处理</w:t>
            </w:r>
            <w:r>
              <w:rPr>
                <w:color w:val="auto"/>
                <w:sz w:val="24"/>
                <w:szCs w:val="32"/>
                <w:u w:val="single"/>
              </w:rPr>
              <w:t>达标，避免对水质造成污染，为鱼类等水生生物提供良好的生存环境。</w:t>
            </w:r>
          </w:p>
          <w:p w14:paraId="640A9E1B">
            <w:pPr>
              <w:spacing w:line="360" w:lineRule="auto"/>
              <w:ind w:firstLine="480" w:firstLineChars="200"/>
              <w:rPr>
                <w:color w:val="auto"/>
                <w:sz w:val="24"/>
                <w:szCs w:val="32"/>
                <w:u w:val="single"/>
              </w:rPr>
            </w:pPr>
            <w:r>
              <w:rPr>
                <w:color w:val="auto"/>
                <w:sz w:val="24"/>
                <w:szCs w:val="32"/>
                <w:u w:val="single"/>
              </w:rPr>
              <w:t>种质资源保护：禁止在项目区域及周边连通水域投放外来物种，防止外来物种入侵破坏本地水生生态系统；若发现水域内存在珍稀、濒危水生生物，应立即停止相关养殖作业，并及时向当地生态环境、渔业主管部门报告，配合采取保护措施，保障区域水生生物种质资源安全。</w:t>
            </w:r>
          </w:p>
          <w:p w14:paraId="06605E9C">
            <w:pPr>
              <w:spacing w:line="360" w:lineRule="auto"/>
              <w:ind w:firstLine="482" w:firstLineChars="200"/>
              <w:rPr>
                <w:b/>
                <w:bCs/>
                <w:color w:val="auto"/>
                <w:sz w:val="24"/>
                <w:szCs w:val="32"/>
                <w:u w:val="single"/>
              </w:rPr>
            </w:pPr>
            <w:r>
              <w:rPr>
                <w:rFonts w:hint="eastAsia"/>
                <w:b/>
                <w:bCs/>
                <w:color w:val="auto"/>
                <w:sz w:val="24"/>
                <w:szCs w:val="32"/>
                <w:u w:val="single"/>
              </w:rPr>
              <w:t>1.2、</w:t>
            </w:r>
            <w:r>
              <w:rPr>
                <w:b/>
                <w:bCs/>
                <w:color w:val="auto"/>
                <w:sz w:val="24"/>
                <w:szCs w:val="32"/>
                <w:u w:val="single"/>
              </w:rPr>
              <w:t>区域生物多样性保护措施​</w:t>
            </w:r>
          </w:p>
          <w:p w14:paraId="3A1A3042">
            <w:pPr>
              <w:spacing w:line="360" w:lineRule="auto"/>
              <w:ind w:firstLine="480" w:firstLineChars="200"/>
              <w:rPr>
                <w:color w:val="auto"/>
                <w:sz w:val="24"/>
                <w:szCs w:val="32"/>
                <w:u w:val="single"/>
              </w:rPr>
            </w:pPr>
            <w:r>
              <w:rPr>
                <w:rFonts w:hint="eastAsia"/>
                <w:color w:val="auto"/>
                <w:sz w:val="24"/>
                <w:szCs w:val="32"/>
                <w:u w:val="single"/>
              </w:rPr>
              <w:t>（1）</w:t>
            </w:r>
            <w:r>
              <w:rPr>
                <w:color w:val="auto"/>
                <w:sz w:val="24"/>
                <w:szCs w:val="32"/>
                <w:u w:val="single"/>
              </w:rPr>
              <w:t>植被恢复与栖息地保护​</w:t>
            </w:r>
          </w:p>
          <w:p w14:paraId="19BA268D">
            <w:pPr>
              <w:spacing w:line="360" w:lineRule="auto"/>
              <w:ind w:firstLine="480" w:firstLineChars="200"/>
              <w:rPr>
                <w:color w:val="auto"/>
                <w:sz w:val="24"/>
                <w:szCs w:val="32"/>
                <w:u w:val="single"/>
              </w:rPr>
            </w:pPr>
            <w:r>
              <w:rPr>
                <w:color w:val="auto"/>
                <w:sz w:val="24"/>
                <w:szCs w:val="32"/>
                <w:u w:val="single"/>
              </w:rPr>
              <w:t>临时施工区植被恢复：对项目建设期间的临时施工区进行全面排查，确保已按要求完成植被恢复，优先选用本地原生、适应性强的植物品种（如区域常见的草本、灌木植物），提升区域植被覆盖度，减少因施工遗留问题对植被的影响。</w:t>
            </w:r>
          </w:p>
          <w:p w14:paraId="1565A925">
            <w:pPr>
              <w:spacing w:line="360" w:lineRule="auto"/>
              <w:ind w:firstLine="480" w:firstLineChars="200"/>
              <w:rPr>
                <w:color w:val="auto"/>
                <w:sz w:val="24"/>
                <w:szCs w:val="32"/>
                <w:u w:val="single"/>
              </w:rPr>
            </w:pPr>
            <w:r>
              <w:rPr>
                <w:color w:val="auto"/>
                <w:sz w:val="24"/>
                <w:szCs w:val="32"/>
                <w:u w:val="single"/>
              </w:rPr>
              <w:t>护坡植被养护：定期对池塘护坡植被进行巡查与养护，及时补种枯萎、死亡的植被，防止护坡水土流失，同时通过植被的自然生长改善区域微环境，为小型哺乳动物、鸟类等提供觅食、栖息场所，缓解工程建设对栖息地的占用影响。</w:t>
            </w:r>
          </w:p>
          <w:p w14:paraId="7816B393">
            <w:pPr>
              <w:spacing w:line="360" w:lineRule="auto"/>
              <w:ind w:firstLine="480" w:firstLineChars="200"/>
              <w:rPr>
                <w:color w:val="auto"/>
                <w:sz w:val="24"/>
                <w:szCs w:val="32"/>
                <w:u w:val="single"/>
              </w:rPr>
            </w:pPr>
            <w:r>
              <w:rPr>
                <w:rFonts w:hint="eastAsia"/>
                <w:color w:val="auto"/>
                <w:sz w:val="24"/>
                <w:szCs w:val="32"/>
                <w:u w:val="single"/>
              </w:rPr>
              <w:t>（2）</w:t>
            </w:r>
            <w:r>
              <w:rPr>
                <w:color w:val="auto"/>
                <w:sz w:val="24"/>
                <w:szCs w:val="32"/>
                <w:u w:val="single"/>
              </w:rPr>
              <w:t>减少人类活动对生物的干扰​</w:t>
            </w:r>
          </w:p>
          <w:p w14:paraId="19F40504">
            <w:pPr>
              <w:spacing w:line="360" w:lineRule="auto"/>
              <w:ind w:firstLine="480" w:firstLineChars="200"/>
              <w:rPr>
                <w:color w:val="auto"/>
                <w:sz w:val="24"/>
                <w:szCs w:val="32"/>
                <w:u w:val="single"/>
              </w:rPr>
            </w:pPr>
            <w:r>
              <w:rPr>
                <w:color w:val="auto"/>
                <w:sz w:val="24"/>
                <w:szCs w:val="32"/>
                <w:u w:val="single"/>
              </w:rPr>
              <w:t>作业活动管控：规范养殖场运营期间的作业行为，限定养殖设备运行时间，避免在清晨、傍晚等生物活动频繁时段进行高噪音作业，减少对周边动物的惊扰，降低动物分布因人为干扰发生异常改变的风险。</w:t>
            </w:r>
          </w:p>
          <w:p w14:paraId="4171329C">
            <w:pPr>
              <w:spacing w:line="360" w:lineRule="auto"/>
              <w:ind w:firstLine="480" w:firstLineChars="200"/>
              <w:rPr>
                <w:color w:val="auto"/>
                <w:sz w:val="24"/>
                <w:szCs w:val="32"/>
                <w:u w:val="single"/>
              </w:rPr>
            </w:pPr>
            <w:r>
              <w:rPr>
                <w:color w:val="auto"/>
                <w:sz w:val="24"/>
                <w:szCs w:val="32"/>
                <w:u w:val="single"/>
              </w:rPr>
              <w:t>人员活动管理：划定养殖场人员活动范围，严禁工作人员进入非作业区域（尤其是植被恢复区、周边自然水域岸边等生物栖息地）随意走动、采摘植物或捕捉动物；在养殖场周边设置警示标识，提醒外来人员不得干扰区域生物生存环境。</w:t>
            </w:r>
          </w:p>
          <w:p w14:paraId="2EAF6171">
            <w:pPr>
              <w:spacing w:line="360" w:lineRule="auto"/>
              <w:ind w:firstLine="482" w:firstLineChars="200"/>
              <w:rPr>
                <w:b/>
                <w:bCs/>
                <w:color w:val="auto"/>
                <w:sz w:val="24"/>
                <w:szCs w:val="32"/>
                <w:u w:val="single"/>
              </w:rPr>
            </w:pPr>
            <w:r>
              <w:rPr>
                <w:rFonts w:hint="eastAsia"/>
                <w:b/>
                <w:bCs/>
                <w:color w:val="auto"/>
                <w:sz w:val="24"/>
                <w:szCs w:val="32"/>
                <w:u w:val="single"/>
              </w:rPr>
              <w:t>1.3、</w:t>
            </w:r>
            <w:r>
              <w:rPr>
                <w:b/>
                <w:bCs/>
                <w:color w:val="auto"/>
                <w:sz w:val="24"/>
                <w:szCs w:val="32"/>
                <w:u w:val="single"/>
              </w:rPr>
              <w:t>强化监管与应急处置​</w:t>
            </w:r>
          </w:p>
          <w:p w14:paraId="1939EC91">
            <w:pPr>
              <w:spacing w:line="360" w:lineRule="auto"/>
              <w:ind w:firstLine="480" w:firstLineChars="200"/>
              <w:rPr>
                <w:color w:val="auto"/>
                <w:sz w:val="24"/>
                <w:szCs w:val="32"/>
                <w:u w:val="single"/>
              </w:rPr>
            </w:pPr>
            <w:r>
              <w:rPr>
                <w:color w:val="auto"/>
                <w:sz w:val="24"/>
                <w:szCs w:val="32"/>
                <w:u w:val="single"/>
              </w:rPr>
              <w:t>日常监管：明确养殖场生态环境保护责任人，制定日常巡查制度，定期检查生态保护措施的落实情况（如植被恢复效果、水质净化系统运行状态、栖息地保护情况等），对发现的问题及时整改，确保保护措施落地见效。​</w:t>
            </w:r>
          </w:p>
          <w:p w14:paraId="5E353936">
            <w:pPr>
              <w:spacing w:line="360" w:lineRule="auto"/>
              <w:ind w:firstLine="480" w:firstLineChars="200"/>
              <w:rPr>
                <w:color w:val="auto"/>
                <w:sz w:val="24"/>
                <w:szCs w:val="32"/>
                <w:u w:val="single"/>
              </w:rPr>
            </w:pPr>
            <w:r>
              <w:rPr>
                <w:color w:val="auto"/>
                <w:sz w:val="24"/>
                <w:szCs w:val="32"/>
                <w:u w:val="single"/>
              </w:rPr>
              <w:t>应急处置：制定生态环境突发事件应急预案，针对可能发生的水质污染、水生生物死亡、外来物种入侵等突发情况，明确应急处置流程、责任分工及应对措施；定期组织应急演练，提升养殖场应对生态风险的能力，最大限度降低突发事件对生态环境的破坏。</w:t>
            </w:r>
          </w:p>
          <w:p w14:paraId="3AE0B1D9">
            <w:pPr>
              <w:spacing w:line="360" w:lineRule="auto"/>
              <w:rPr>
                <w:rFonts w:hint="eastAsia" w:ascii="宋体" w:hAnsi="宋体" w:cs="宋体"/>
                <w:b/>
                <w:color w:val="auto"/>
                <w:spacing w:val="10"/>
                <w:sz w:val="24"/>
              </w:rPr>
            </w:pPr>
            <w:r>
              <w:rPr>
                <w:rFonts w:hint="eastAsia" w:ascii="宋体" w:hAnsi="宋体" w:cs="宋体"/>
                <w:b/>
                <w:color w:val="auto"/>
                <w:spacing w:val="10"/>
                <w:sz w:val="24"/>
              </w:rPr>
              <w:t>二、环境污染影响治理措施</w:t>
            </w:r>
          </w:p>
          <w:p w14:paraId="59139484">
            <w:pPr>
              <w:spacing w:line="360" w:lineRule="auto"/>
              <w:ind w:firstLine="482" w:firstLineChars="200"/>
              <w:rPr>
                <w:b/>
                <w:bCs/>
                <w:color w:val="auto"/>
                <w:sz w:val="24"/>
              </w:rPr>
            </w:pPr>
            <w:r>
              <w:rPr>
                <w:rFonts w:hint="eastAsia"/>
                <w:b/>
                <w:bCs/>
                <w:color w:val="auto"/>
                <w:sz w:val="24"/>
              </w:rPr>
              <w:t>1、大气污染物治理措施</w:t>
            </w:r>
          </w:p>
          <w:p w14:paraId="5F357F1E">
            <w:pPr>
              <w:spacing w:line="360" w:lineRule="auto"/>
              <w:ind w:firstLine="480" w:firstLineChars="200"/>
              <w:jc w:val="left"/>
              <w:rPr>
                <w:color w:val="auto"/>
                <w:kern w:val="0"/>
                <w:sz w:val="24"/>
                <w:lang w:bidi="ar"/>
              </w:rPr>
            </w:pPr>
            <w:r>
              <w:rPr>
                <w:color w:val="auto"/>
                <w:kern w:val="0"/>
                <w:sz w:val="24"/>
                <w:lang w:bidi="ar"/>
              </w:rPr>
              <w:t>本项目大气污染物主要为鱼塘养殖恶臭及柴油发电机尾气。为减少运营过程废气对周边环境的影响，本环评对建设单位提出采取以下措施：</w:t>
            </w:r>
          </w:p>
          <w:p w14:paraId="225A82B5">
            <w:pPr>
              <w:spacing w:line="360" w:lineRule="auto"/>
              <w:ind w:firstLine="480" w:firstLineChars="200"/>
              <w:jc w:val="left"/>
              <w:rPr>
                <w:bCs/>
                <w:color w:val="auto"/>
                <w:spacing w:val="10"/>
                <w:sz w:val="24"/>
              </w:rPr>
            </w:pPr>
            <w:r>
              <w:rPr>
                <w:color w:val="auto"/>
                <w:kern w:val="0"/>
                <w:sz w:val="24"/>
                <w:lang w:bidi="ar"/>
              </w:rPr>
              <w:t>（1）恶臭污染治理措施：本项目养殖期间将产生腥臭味将无组织排放，治理养殖的腥臭味（核心是氨气）需从源头减少产生和末端净化消除结合，具体措施如下：①</w:t>
            </w:r>
            <w:r>
              <w:rPr>
                <w:bCs/>
                <w:color w:val="auto"/>
                <w:spacing w:val="10"/>
                <w:sz w:val="24"/>
              </w:rPr>
              <w:t>控制投喂量，避免过量投喂导致饲料残饵过多，残饵会在水体中分解产生额外氨气；</w:t>
            </w:r>
            <w:r>
              <w:rPr>
                <w:color w:val="auto"/>
                <w:kern w:val="0"/>
                <w:sz w:val="24"/>
                <w:lang w:bidi="ar"/>
              </w:rPr>
              <w:t>②</w:t>
            </w:r>
            <w:r>
              <w:rPr>
                <w:bCs/>
                <w:color w:val="auto"/>
                <w:spacing w:val="10"/>
                <w:sz w:val="24"/>
              </w:rPr>
              <w:t>改善养殖水体环境，定期检测水体pH值，将其控制在7.0-8.0之间；pH值过高（＞8.5）会使铵态氮转化为毒性更强的游离氨，加剧臭味。</w:t>
            </w:r>
            <w:r>
              <w:rPr>
                <w:color w:val="auto"/>
                <w:kern w:val="0"/>
                <w:sz w:val="24"/>
                <w:lang w:bidi="ar"/>
              </w:rPr>
              <w:t>③</w:t>
            </w:r>
            <w:r>
              <w:rPr>
                <w:bCs/>
                <w:color w:val="auto"/>
                <w:spacing w:val="10"/>
                <w:sz w:val="24"/>
              </w:rPr>
              <w:t>净化已产生的氨气，针对已从水体和粪便中释放到空气中的氨气，安装喷雾除臭设备，在喷雾水中添加有机酸（如柠檬酸、醋酸）或生物除臭剂，通过酸碱中和或微生物分解空气中</w:t>
            </w:r>
            <w:r>
              <w:rPr>
                <w:color w:val="auto"/>
                <w:kern w:val="0"/>
                <w:sz w:val="24"/>
                <w:lang w:bidi="ar"/>
              </w:rPr>
              <w:t>的氨气。④在养殖池周</w:t>
            </w:r>
            <w:r>
              <w:rPr>
                <w:bCs/>
                <w:color w:val="auto"/>
                <w:spacing w:val="10"/>
                <w:sz w:val="24"/>
              </w:rPr>
              <w:t>围种植吸附性强的绿植，如樟树、桂花树、侧柏等，形成绿色屏障，吸附部分臭味气体。</w:t>
            </w:r>
          </w:p>
          <w:p w14:paraId="0555274F">
            <w:pPr>
              <w:spacing w:line="360" w:lineRule="auto"/>
              <w:ind w:firstLine="520" w:firstLineChars="200"/>
              <w:jc w:val="left"/>
              <w:rPr>
                <w:bCs/>
                <w:color w:val="auto"/>
                <w:spacing w:val="10"/>
                <w:sz w:val="24"/>
              </w:rPr>
            </w:pPr>
            <w:r>
              <w:rPr>
                <w:bCs/>
                <w:color w:val="auto"/>
                <w:spacing w:val="10"/>
                <w:sz w:val="24"/>
              </w:rPr>
              <w:t>（2）柴油发电机尾气</w:t>
            </w:r>
            <w:r>
              <w:rPr>
                <w:color w:val="auto"/>
                <w:kern w:val="0"/>
                <w:sz w:val="24"/>
                <w:lang w:bidi="ar"/>
              </w:rPr>
              <w:t>治理措施：</w:t>
            </w:r>
            <w:r>
              <w:rPr>
                <w:color w:val="auto"/>
                <w:sz w:val="24"/>
              </w:rPr>
              <w:t>建设单位计划在管理用房配备1台300KW柴油发电机作为备用电源，为减少柴油发电机废气污染，可采取以下措施：</w:t>
            </w:r>
            <w:r>
              <w:rPr>
                <w:color w:val="auto"/>
                <w:kern w:val="0"/>
                <w:sz w:val="24"/>
                <w:lang w:bidi="ar"/>
              </w:rPr>
              <w:t>①选用低排放机型：采购符合国四、国五及以上排放标准的新机组，这类设备出厂已集成EGR、DOC等基础减排装置，从设计上减少污染物生成；②使用清洁燃料：优先选用低硫柴油（硫含量≤10ppm）或生物柴油（如B5、B10），可大幅减少硫化物排放；③</w:t>
            </w:r>
            <w:r>
              <w:rPr>
                <w:rFonts w:eastAsia="Segoe UI"/>
                <w:color w:val="auto"/>
                <w:sz w:val="24"/>
                <w:shd w:val="clear" w:color="auto" w:fill="FFFFFF"/>
              </w:rPr>
              <w:t>定期清理油箱和油路，减少燃油污染。</w:t>
            </w:r>
          </w:p>
          <w:p w14:paraId="2ED1B51A">
            <w:pPr>
              <w:spacing w:line="360" w:lineRule="auto"/>
              <w:ind w:firstLine="480" w:firstLineChars="200"/>
              <w:rPr>
                <w:color w:val="auto"/>
                <w:sz w:val="24"/>
              </w:rPr>
            </w:pPr>
            <w:r>
              <w:rPr>
                <w:color w:val="auto"/>
                <w:sz w:val="24"/>
              </w:rPr>
              <w:t>经采取以上措施后，可减小本项目废气污染</w:t>
            </w:r>
            <w:r>
              <w:rPr>
                <w:rFonts w:hint="eastAsia"/>
                <w:color w:val="auto"/>
                <w:sz w:val="24"/>
              </w:rPr>
              <w:t>物对周边环境的影响</w:t>
            </w:r>
            <w:r>
              <w:rPr>
                <w:color w:val="auto"/>
                <w:sz w:val="24"/>
              </w:rPr>
              <w:t>。</w:t>
            </w:r>
          </w:p>
          <w:p w14:paraId="3E1D7126">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2、废水</w:t>
            </w:r>
            <w:r>
              <w:rPr>
                <w:rFonts w:hint="eastAsia"/>
                <w:b/>
                <w:bCs/>
                <w:color w:val="auto"/>
                <w:sz w:val="24"/>
              </w:rPr>
              <w:t>污染物治理措施</w:t>
            </w:r>
          </w:p>
          <w:p w14:paraId="0A8A9C52">
            <w:pPr>
              <w:spacing w:line="360" w:lineRule="auto"/>
              <w:ind w:firstLine="480" w:firstLineChars="200"/>
              <w:rPr>
                <w:rFonts w:hint="eastAsia" w:hAnsi="宋体"/>
                <w:color w:val="auto"/>
                <w:sz w:val="24"/>
              </w:rPr>
            </w:pPr>
            <w:r>
              <w:rPr>
                <w:rFonts w:hint="eastAsia"/>
                <w:color w:val="auto"/>
                <w:sz w:val="24"/>
                <w:szCs w:val="32"/>
              </w:rPr>
              <w:t>项目运营期产生的废水包括圈养桶排出的养殖黑水、养殖尾水以及员工生活污水，养殖黑水、养殖尾水经处理后全部回用，废水回用有利于节约水资源，减少项目降尘成本，运行费用不高，经济可行。</w:t>
            </w:r>
          </w:p>
          <w:p w14:paraId="029B9D48">
            <w:pPr>
              <w:autoSpaceDE w:val="0"/>
              <w:autoSpaceDN w:val="0"/>
              <w:spacing w:line="360" w:lineRule="auto"/>
              <w:ind w:firstLine="482" w:firstLineChars="200"/>
              <w:rPr>
                <w:b/>
                <w:bCs/>
                <w:color w:val="auto"/>
                <w:kern w:val="0"/>
                <w:sz w:val="24"/>
                <w:lang w:bidi="ar"/>
              </w:rPr>
            </w:pPr>
            <w:r>
              <w:rPr>
                <w:rFonts w:hint="eastAsia"/>
                <w:b/>
                <w:bCs/>
                <w:color w:val="auto"/>
                <w:kern w:val="0"/>
                <w:sz w:val="24"/>
                <w:lang w:bidi="ar"/>
              </w:rPr>
              <w:t>2.1、养殖黑水、养殖尾水处理可行性分析：</w:t>
            </w:r>
          </w:p>
          <w:p w14:paraId="26ED7C12">
            <w:pPr>
              <w:autoSpaceDE w:val="0"/>
              <w:autoSpaceDN w:val="0"/>
              <w:spacing w:line="360" w:lineRule="auto"/>
              <w:ind w:firstLine="480" w:firstLineChars="200"/>
              <w:rPr>
                <w:color w:val="auto"/>
                <w:sz w:val="24"/>
              </w:rPr>
            </w:pPr>
            <w:r>
              <w:rPr>
                <w:rFonts w:hint="eastAsia"/>
                <w:color w:val="auto"/>
                <w:kern w:val="0"/>
                <w:sz w:val="24"/>
                <w:lang w:bidi="ar"/>
              </w:rPr>
              <w:t>依据项目业主提供的数据，圈养桶内养殖水预计需每周抽排1次，马口鱼圈养桶前5分钟抽出的为养殖黑水，产生量约为32614.4m</w:t>
            </w:r>
            <w:r>
              <w:rPr>
                <w:rFonts w:hint="eastAsia"/>
                <w:color w:val="auto"/>
                <w:kern w:val="0"/>
                <w:sz w:val="24"/>
                <w:vertAlign w:val="superscript"/>
                <w:lang w:bidi="ar"/>
              </w:rPr>
              <w:t>3</w:t>
            </w:r>
            <w:r>
              <w:rPr>
                <w:rFonts w:hint="eastAsia"/>
                <w:color w:val="auto"/>
                <w:kern w:val="0"/>
                <w:sz w:val="24"/>
                <w:lang w:bidi="ar"/>
              </w:rPr>
              <w:t>，主要含残饵与鱼类粪便，养殖黑水先</w:t>
            </w:r>
            <w:r>
              <w:rPr>
                <w:color w:val="auto"/>
                <w:sz w:val="24"/>
              </w:rPr>
              <w:t>经</w:t>
            </w:r>
            <w:r>
              <w:rPr>
                <w:rFonts w:hint="eastAsia"/>
                <w:color w:val="auto"/>
                <w:sz w:val="24"/>
              </w:rPr>
              <w:t>吸污泵抽至尾水塔中，去除干粪污后的清废水流入人工湿地净化后回流入养殖区。马口鱼圈养桶</w:t>
            </w:r>
            <w:r>
              <w:rPr>
                <w:rFonts w:hint="eastAsia"/>
                <w:color w:val="auto"/>
                <w:kern w:val="0"/>
                <w:sz w:val="24"/>
                <w:lang w:bidi="ar"/>
              </w:rPr>
              <w:t>后续抽出剩余尾水以及观赏鱼全部养殖尾水</w:t>
            </w:r>
            <w:r>
              <w:rPr>
                <w:color w:val="auto"/>
                <w:kern w:val="0"/>
                <w:sz w:val="24"/>
                <w:lang w:bidi="ar"/>
              </w:rPr>
              <w:t>产生量为</w:t>
            </w:r>
            <w:r>
              <w:rPr>
                <w:rFonts w:hint="eastAsia"/>
                <w:color w:val="auto"/>
                <w:kern w:val="0"/>
                <w:sz w:val="24"/>
                <w:lang w:bidi="ar"/>
              </w:rPr>
              <w:t>302461.22</w:t>
            </w:r>
            <w:r>
              <w:rPr>
                <w:color w:val="auto"/>
                <w:kern w:val="0"/>
                <w:sz w:val="24"/>
                <w:lang w:bidi="ar"/>
              </w:rPr>
              <w:t>m³/a</w:t>
            </w:r>
            <w:r>
              <w:rPr>
                <w:rFonts w:hint="eastAsia"/>
                <w:color w:val="auto"/>
                <w:kern w:val="0"/>
                <w:sz w:val="24"/>
                <w:lang w:bidi="ar"/>
              </w:rPr>
              <w:t>，主要含</w:t>
            </w:r>
            <w:r>
              <w:rPr>
                <w:rFonts w:ascii="Segoe UI" w:hAnsi="Segoe UI" w:eastAsia="Segoe UI" w:cs="Segoe UI"/>
                <w:color w:val="auto"/>
                <w:sz w:val="24"/>
                <w:shd w:val="clear" w:color="auto" w:fill="FFFFFF"/>
              </w:rPr>
              <w:t>饲料残渣分解产生的小分子有机物、鱼类黏液分泌物</w:t>
            </w:r>
            <w:r>
              <w:rPr>
                <w:rFonts w:hint="eastAsia"/>
                <w:color w:val="auto"/>
                <w:kern w:val="0"/>
                <w:sz w:val="24"/>
                <w:lang w:bidi="ar"/>
              </w:rPr>
              <w:t>，</w:t>
            </w:r>
            <w:r>
              <w:rPr>
                <w:rFonts w:hint="eastAsia"/>
                <w:color w:val="auto"/>
                <w:sz w:val="24"/>
              </w:rPr>
              <w:t>尾水直接进入人工湿地净化后回流入养殖区。</w:t>
            </w:r>
          </w:p>
          <w:p w14:paraId="7FBD78C2">
            <w:pPr>
              <w:autoSpaceDE w:val="0"/>
              <w:autoSpaceDN w:val="0"/>
              <w:spacing w:line="360" w:lineRule="auto"/>
              <w:ind w:firstLine="480" w:firstLineChars="200"/>
              <w:rPr>
                <w:color w:val="auto"/>
                <w:kern w:val="0"/>
                <w:sz w:val="24"/>
                <w:lang w:bidi="ar"/>
              </w:rPr>
            </w:pPr>
            <w:r>
              <w:rPr>
                <w:rFonts w:hint="eastAsia"/>
                <w:color w:val="auto"/>
                <w:sz w:val="24"/>
              </w:rPr>
              <w:t>养殖黑水（马口鱼圈养桶前5分钟抽出）、养殖尾水（马口鱼圈养桶5分钟后抽出尾水、观赏鱼养殖桶全部尾水）处理具体流程如下：</w:t>
            </w:r>
          </w:p>
          <w:p w14:paraId="22CEA07E">
            <w:pPr>
              <w:widowControl/>
              <w:autoSpaceDE w:val="0"/>
              <w:autoSpaceDN w:val="0"/>
              <w:adjustRightInd w:val="0"/>
              <w:snapToGrid w:val="0"/>
              <w:jc w:val="center"/>
              <w:rPr>
                <w:color w:val="auto"/>
                <w:kern w:val="0"/>
                <w:sz w:val="24"/>
                <w:lang w:bidi="zh-CN"/>
              </w:rPr>
            </w:pPr>
            <w:r>
              <w:rPr>
                <w:color w:val="auto"/>
                <w:sz w:val="24"/>
              </w:rPr>
              <w:drawing>
                <wp:inline distT="0" distB="0" distL="114300" distR="114300">
                  <wp:extent cx="4510405" cy="3416935"/>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50"/>
                          <a:srcRect l="3000" t="9434" r="3119" b="8949"/>
                          <a:stretch>
                            <a:fillRect/>
                          </a:stretch>
                        </pic:blipFill>
                        <pic:spPr>
                          <a:xfrm>
                            <a:off x="0" y="0"/>
                            <a:ext cx="4510405" cy="3416935"/>
                          </a:xfrm>
                          <a:prstGeom prst="rect">
                            <a:avLst/>
                          </a:prstGeom>
                          <a:noFill/>
                          <a:ln>
                            <a:solidFill>
                              <a:schemeClr val="tx1"/>
                            </a:solidFill>
                          </a:ln>
                        </pic:spPr>
                      </pic:pic>
                    </a:graphicData>
                  </a:graphic>
                </wp:inline>
              </w:drawing>
            </w:r>
          </w:p>
          <w:p w14:paraId="6BEFB88B">
            <w:pPr>
              <w:adjustRightInd w:val="0"/>
              <w:snapToGrid w:val="0"/>
              <w:jc w:val="center"/>
              <w:rPr>
                <w:color w:val="auto"/>
                <w:kern w:val="0"/>
                <w:sz w:val="24"/>
              </w:rPr>
            </w:pPr>
            <w:r>
              <w:rPr>
                <w:b/>
                <w:bCs/>
                <w:color w:val="auto"/>
                <w:kern w:val="0"/>
                <w:szCs w:val="21"/>
              </w:rPr>
              <w:t>图</w:t>
            </w:r>
            <w:r>
              <w:rPr>
                <w:rFonts w:hint="eastAsia"/>
                <w:b/>
                <w:bCs/>
                <w:color w:val="auto"/>
                <w:kern w:val="0"/>
                <w:szCs w:val="21"/>
              </w:rPr>
              <w:t>5-1</w:t>
            </w:r>
            <w:r>
              <w:rPr>
                <w:b/>
                <w:bCs/>
                <w:color w:val="auto"/>
                <w:kern w:val="0"/>
                <w:szCs w:val="21"/>
              </w:rPr>
              <w:t xml:space="preserve">   废水处理流程图</w:t>
            </w:r>
          </w:p>
          <w:p w14:paraId="6687A43B">
            <w:pPr>
              <w:autoSpaceDE w:val="0"/>
              <w:autoSpaceDN w:val="0"/>
              <w:adjustRightInd w:val="0"/>
              <w:snapToGrid w:val="0"/>
              <w:spacing w:line="360" w:lineRule="auto"/>
              <w:ind w:firstLine="480" w:firstLineChars="200"/>
              <w:rPr>
                <w:color w:val="auto"/>
                <w:kern w:val="0"/>
                <w:sz w:val="24"/>
                <w:lang w:bidi="zh-CN"/>
              </w:rPr>
            </w:pPr>
            <w:r>
              <w:rPr>
                <w:rFonts w:hint="eastAsia"/>
                <w:color w:val="auto"/>
                <w:sz w:val="24"/>
              </w:rPr>
              <w:t>处理工艺简述</w:t>
            </w:r>
            <w:r>
              <w:rPr>
                <w:color w:val="auto"/>
                <w:sz w:val="24"/>
              </w:rPr>
              <w:t>：</w:t>
            </w:r>
          </w:p>
          <w:p w14:paraId="7CB44F76">
            <w:pPr>
              <w:autoSpaceDE w:val="0"/>
              <w:autoSpaceDN w:val="0"/>
              <w:adjustRightInd w:val="0"/>
              <w:snapToGrid w:val="0"/>
              <w:spacing w:line="360" w:lineRule="auto"/>
              <w:ind w:firstLine="480" w:firstLineChars="200"/>
              <w:rPr>
                <w:color w:val="auto"/>
                <w:kern w:val="0"/>
                <w:sz w:val="24"/>
                <w:lang w:bidi="zh-CN"/>
              </w:rPr>
            </w:pPr>
            <w:r>
              <w:rPr>
                <w:color w:val="auto"/>
                <w:kern w:val="0"/>
                <w:sz w:val="24"/>
                <w:lang w:bidi="zh-CN"/>
              </w:rPr>
              <w:t>尾水塔</w:t>
            </w:r>
            <w:r>
              <w:rPr>
                <w:rFonts w:hint="eastAsia"/>
                <w:color w:val="auto"/>
                <w:kern w:val="0"/>
                <w:sz w:val="24"/>
                <w:lang w:bidi="zh-CN"/>
              </w:rPr>
              <w:t>：</w:t>
            </w:r>
            <w:r>
              <w:rPr>
                <w:color w:val="auto"/>
                <w:kern w:val="0"/>
                <w:sz w:val="24"/>
                <w:lang w:bidi="zh-CN"/>
              </w:rPr>
              <w:t>包含沉淀塔和净化桶。沉淀塔是应用沉淀作用去除水中悬浮物的一种</w:t>
            </w:r>
            <w:r>
              <w:rPr>
                <w:color w:val="auto"/>
              </w:rPr>
              <w:fldChar w:fldCharType="begin"/>
            </w:r>
            <w:r>
              <w:rPr>
                <w:color w:val="auto"/>
              </w:rPr>
              <w:instrText xml:space="preserve"> HYPERLINK "https://baike.baidu.com/item/%E6%9E%84%E7%AD%91%E7%89%A9/588813?fromModule=lemma_inlink" \t "https://baike.baidu.com/item/%E6%B2%89%E6%B7%80%E6%B1%A0/_blank" </w:instrText>
            </w:r>
            <w:r>
              <w:rPr>
                <w:color w:val="auto"/>
              </w:rPr>
              <w:fldChar w:fldCharType="separate"/>
            </w:r>
            <w:r>
              <w:rPr>
                <w:color w:val="auto"/>
                <w:kern w:val="0"/>
                <w:sz w:val="24"/>
                <w:lang w:bidi="zh-CN"/>
              </w:rPr>
              <w:t>构筑物</w:t>
            </w:r>
            <w:r>
              <w:rPr>
                <w:color w:val="auto"/>
                <w:kern w:val="0"/>
                <w:sz w:val="24"/>
                <w:lang w:bidi="zh-CN"/>
              </w:rPr>
              <w:fldChar w:fldCharType="end"/>
            </w:r>
            <w:r>
              <w:rPr>
                <w:color w:val="auto"/>
                <w:kern w:val="0"/>
                <w:sz w:val="24"/>
                <w:lang w:bidi="zh-CN"/>
              </w:rPr>
              <w:t>，净化水质的设备。利用水的自然沉淀或混凝沉淀的作用来除去水中的悬浮物。沉淀效果决定于沉淀池中水的流速和水在塔中的停留时间。</w:t>
            </w:r>
          </w:p>
          <w:p w14:paraId="2C594E84">
            <w:pPr>
              <w:autoSpaceDE w:val="0"/>
              <w:autoSpaceDN w:val="0"/>
              <w:adjustRightInd w:val="0"/>
              <w:snapToGrid w:val="0"/>
              <w:spacing w:line="360" w:lineRule="auto"/>
              <w:ind w:firstLine="480" w:firstLineChars="200"/>
              <w:rPr>
                <w:color w:val="auto"/>
                <w:kern w:val="0"/>
                <w:sz w:val="24"/>
                <w:u w:val="single"/>
                <w:lang w:bidi="zh-CN"/>
              </w:rPr>
            </w:pPr>
            <w:r>
              <w:rPr>
                <w:color w:val="auto"/>
                <w:kern w:val="0"/>
                <w:sz w:val="24"/>
                <w:u w:val="single"/>
                <w:lang w:bidi="zh-CN"/>
              </w:rPr>
              <w:t>人工湿地：人工湿地作为一种高效、环保且经济的养殖水处理技术，其对于强化养殖水处理后全部回用的可靠性意义非凡。人工湿地通过模拟自然湿地的生态系统，巧妙地利用基质、植物与微生物之间的物理、化学和生物的多重协同作用，</w:t>
            </w:r>
            <w:r>
              <w:rPr>
                <w:rFonts w:hint="eastAsia"/>
                <w:color w:val="auto"/>
                <w:kern w:val="0"/>
                <w:sz w:val="24"/>
                <w:u w:val="single"/>
                <w:lang w:bidi="zh-CN"/>
              </w:rPr>
              <w:t>这些基质不仅为植物和微生物的生长提供了稳定的介质，还能通过沉积、过滤和吸附等作用，直接对污染物进行去除。植物拟挑选根系发达、耐污能力强且具有较强输氧能力的植物，物通过根系将氧气传输至根区，为微生物的生长和代谢创造了有氧环境，增强了湿地的硝化能力。</w:t>
            </w:r>
          </w:p>
          <w:p w14:paraId="7925E01D">
            <w:pPr>
              <w:jc w:val="center"/>
              <w:rPr>
                <w:color w:val="auto"/>
                <w:kern w:val="0"/>
                <w:sz w:val="24"/>
                <w:u w:val="single"/>
              </w:rPr>
            </w:pPr>
            <w:r>
              <w:rPr>
                <w:color w:val="auto"/>
                <w:kern w:val="0"/>
                <w:sz w:val="24"/>
                <w:u w:val="single"/>
              </w:rPr>
              <w:drawing>
                <wp:inline distT="0" distB="0" distL="114300" distR="114300">
                  <wp:extent cx="4751070" cy="2000250"/>
                  <wp:effectExtent l="9525" t="9525" r="20955" b="952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1"/>
                          <a:srcRect l="2720" r="6435"/>
                          <a:stretch>
                            <a:fillRect/>
                          </a:stretch>
                        </pic:blipFill>
                        <pic:spPr>
                          <a:xfrm>
                            <a:off x="0" y="0"/>
                            <a:ext cx="4751070" cy="2000250"/>
                          </a:xfrm>
                          <a:prstGeom prst="rect">
                            <a:avLst/>
                          </a:prstGeom>
                          <a:noFill/>
                          <a:ln>
                            <a:solidFill>
                              <a:schemeClr val="tx1"/>
                            </a:solidFill>
                          </a:ln>
                        </pic:spPr>
                      </pic:pic>
                    </a:graphicData>
                  </a:graphic>
                </wp:inline>
              </w:drawing>
            </w:r>
          </w:p>
          <w:p w14:paraId="3D13A149">
            <w:pPr>
              <w:spacing w:line="360" w:lineRule="auto"/>
              <w:jc w:val="center"/>
              <w:rPr>
                <w:b/>
                <w:color w:val="auto"/>
                <w:spacing w:val="10"/>
                <w:kern w:val="0"/>
                <w:szCs w:val="21"/>
                <w:u w:val="single"/>
              </w:rPr>
            </w:pPr>
            <w:r>
              <w:rPr>
                <w:b/>
                <w:color w:val="auto"/>
                <w:spacing w:val="10"/>
                <w:kern w:val="0"/>
                <w:szCs w:val="21"/>
                <w:u w:val="single"/>
              </w:rPr>
              <w:t>图</w:t>
            </w:r>
            <w:r>
              <w:rPr>
                <w:rFonts w:hint="eastAsia"/>
                <w:b/>
                <w:color w:val="auto"/>
                <w:spacing w:val="10"/>
                <w:kern w:val="0"/>
                <w:szCs w:val="21"/>
                <w:u w:val="single"/>
              </w:rPr>
              <w:t>5-2</w:t>
            </w:r>
            <w:r>
              <w:rPr>
                <w:b/>
                <w:color w:val="auto"/>
                <w:spacing w:val="10"/>
                <w:kern w:val="0"/>
                <w:szCs w:val="21"/>
                <w:u w:val="single"/>
              </w:rPr>
              <w:t xml:space="preserve">   人工湿地工作原理</w:t>
            </w:r>
          </w:p>
          <w:p w14:paraId="351F44F6">
            <w:pPr>
              <w:widowControl/>
              <w:autoSpaceDE w:val="0"/>
              <w:autoSpaceDN w:val="0"/>
              <w:adjustRightInd w:val="0"/>
              <w:snapToGrid w:val="0"/>
              <w:spacing w:line="360" w:lineRule="auto"/>
              <w:ind w:firstLine="480" w:firstLineChars="200"/>
              <w:rPr>
                <w:rFonts w:hint="eastAsia" w:ascii="宋体" w:hAnsi="宋体" w:cs="宋体"/>
                <w:color w:val="auto"/>
                <w:kern w:val="0"/>
                <w:sz w:val="24"/>
                <w:u w:val="single"/>
              </w:rPr>
            </w:pPr>
            <w:r>
              <w:rPr>
                <w:color w:val="auto"/>
                <w:kern w:val="0"/>
                <w:sz w:val="24"/>
                <w:u w:val="single"/>
                <w:lang w:bidi="zh-CN"/>
              </w:rPr>
              <w:t>根据《地方水产养殖业水污染物排放控制标准制订技术导则》（HJ1217-2023）附录B.1“封闭式水产养殖尾水常用处理技术”中</w:t>
            </w:r>
            <w:r>
              <w:rPr>
                <w:color w:val="auto"/>
                <w:kern w:val="0"/>
                <w:sz w:val="24"/>
                <w:u w:val="single"/>
              </w:rPr>
              <w:t>人工湿地是连片淡水池塘养殖常用处理技术，因此本项目处理措施可行。</w:t>
            </w:r>
          </w:p>
          <w:p w14:paraId="0BA56A3C">
            <w:pPr>
              <w:pStyle w:val="60"/>
              <w:autoSpaceDE w:val="0"/>
              <w:autoSpaceDN w:val="0"/>
              <w:adjustRightInd w:val="0"/>
              <w:snapToGrid w:val="0"/>
              <w:spacing w:line="360" w:lineRule="auto"/>
              <w:ind w:firstLine="480" w:firstLineChars="200"/>
              <w:jc w:val="both"/>
              <w:rPr>
                <w:rFonts w:hint="eastAsia"/>
                <w:color w:val="auto"/>
                <w:u w:val="single"/>
                <w:lang w:bidi="zh-CN"/>
              </w:rPr>
            </w:pPr>
            <w:r>
              <w:rPr>
                <w:rFonts w:hint="eastAsia"/>
                <w:color w:val="auto"/>
                <w:u w:val="single"/>
                <w:lang w:bidi="zh-CN"/>
              </w:rPr>
              <w:t>废水处理措施针对污染物去除情况如下：</w:t>
            </w:r>
          </w:p>
          <w:p w14:paraId="63E9439B">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表</w:t>
            </w:r>
            <w:r>
              <w:rPr>
                <w:rFonts w:hint="eastAsia" w:ascii="Times New Roman" w:hAnsi="Times New Roman" w:cs="Times New Roman"/>
                <w:b/>
                <w:bCs/>
                <w:color w:val="auto"/>
                <w:sz w:val="21"/>
                <w:szCs w:val="21"/>
                <w:u w:val="single"/>
                <w:lang w:bidi="zh-CN"/>
              </w:rPr>
              <w:t>5-1</w:t>
            </w:r>
            <w:r>
              <w:rPr>
                <w:rFonts w:ascii="Times New Roman" w:hAnsi="Times New Roman" w:cs="Times New Roman"/>
                <w:b/>
                <w:bCs/>
                <w:color w:val="auto"/>
                <w:sz w:val="21"/>
                <w:szCs w:val="21"/>
                <w:u w:val="single"/>
                <w:lang w:bidi="zh-CN"/>
              </w:rPr>
              <w:t xml:space="preserve">   养殖黑水（</w:t>
            </w:r>
            <w:r>
              <w:rPr>
                <w:rFonts w:hint="eastAsia" w:ascii="Times New Roman" w:hAnsi="Times New Roman" w:cs="Times New Roman"/>
                <w:b/>
                <w:bCs/>
                <w:color w:val="auto"/>
                <w:sz w:val="21"/>
                <w:szCs w:val="21"/>
                <w:u w:val="single"/>
                <w:lang w:bidi="zh-CN"/>
              </w:rPr>
              <w:t>约前5分钟抽出</w:t>
            </w:r>
            <w:r>
              <w:rPr>
                <w:rFonts w:ascii="Times New Roman" w:hAnsi="Times New Roman" w:cs="Times New Roman"/>
                <w:b/>
                <w:bCs/>
                <w:color w:val="auto"/>
                <w:sz w:val="21"/>
                <w:szCs w:val="21"/>
                <w:u w:val="single"/>
                <w:lang w:bidi="zh-CN"/>
              </w:rPr>
              <w:t>）</w:t>
            </w:r>
            <w:r>
              <w:rPr>
                <w:rFonts w:hint="eastAsia" w:ascii="Times New Roman" w:hAnsi="Times New Roman" w:cs="Times New Roman"/>
                <w:b/>
                <w:bCs/>
                <w:color w:val="auto"/>
                <w:sz w:val="21"/>
                <w:szCs w:val="21"/>
                <w:u w:val="single"/>
                <w:lang w:bidi="zh-CN"/>
              </w:rPr>
              <w:t>排放情况</w:t>
            </w:r>
          </w:p>
          <w:tbl>
            <w:tblPr>
              <w:tblStyle w:val="28"/>
              <w:tblW w:w="7565"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12"/>
              <w:gridCol w:w="1340"/>
              <w:gridCol w:w="1285"/>
              <w:gridCol w:w="1332"/>
              <w:gridCol w:w="1696"/>
            </w:tblGrid>
            <w:tr w14:paraId="7ED85F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tcPr>
                <w:p w14:paraId="06D379EA">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设施</w:t>
                  </w:r>
                </w:p>
              </w:tc>
              <w:tc>
                <w:tcPr>
                  <w:tcW w:w="885" w:type="pct"/>
                  <w:tcBorders>
                    <w:tl2br w:val="nil"/>
                    <w:tr2bl w:val="nil"/>
                  </w:tcBorders>
                </w:tcPr>
                <w:p w14:paraId="79F8A8FF">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BOD去除率</w:t>
                  </w:r>
                </w:p>
              </w:tc>
              <w:tc>
                <w:tcPr>
                  <w:tcW w:w="849" w:type="pct"/>
                  <w:tcBorders>
                    <w:tl2br w:val="nil"/>
                    <w:tr2bl w:val="nil"/>
                  </w:tcBorders>
                  <w:vAlign w:val="center"/>
                </w:tcPr>
                <w:p w14:paraId="5378382B">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总氮去除率</w:t>
                  </w:r>
                </w:p>
              </w:tc>
              <w:tc>
                <w:tcPr>
                  <w:tcW w:w="880" w:type="pct"/>
                  <w:tcBorders>
                    <w:tl2br w:val="nil"/>
                    <w:tr2bl w:val="nil"/>
                  </w:tcBorders>
                  <w:vAlign w:val="center"/>
                </w:tcPr>
                <w:p w14:paraId="460FBB70">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总磷去除率</w:t>
                  </w:r>
                </w:p>
              </w:tc>
              <w:tc>
                <w:tcPr>
                  <w:tcW w:w="1120" w:type="pct"/>
                  <w:tcBorders>
                    <w:tl2br w:val="nil"/>
                    <w:tr2bl w:val="nil"/>
                  </w:tcBorders>
                  <w:vAlign w:val="center"/>
                </w:tcPr>
                <w:p w14:paraId="64968E27">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总大肠菌群</w:t>
                  </w:r>
                </w:p>
              </w:tc>
            </w:tr>
            <w:tr w14:paraId="41F160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vAlign w:val="center"/>
                </w:tcPr>
                <w:p w14:paraId="4DD5DDCA">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尾水塔+人工湿地</w:t>
                  </w:r>
                </w:p>
              </w:tc>
              <w:tc>
                <w:tcPr>
                  <w:tcW w:w="885" w:type="pct"/>
                  <w:tcBorders>
                    <w:tl2br w:val="nil"/>
                    <w:tr2bl w:val="nil"/>
                  </w:tcBorders>
                  <w:vAlign w:val="center"/>
                </w:tcPr>
                <w:p w14:paraId="20AA721D">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70%</w:t>
                  </w:r>
                </w:p>
              </w:tc>
              <w:tc>
                <w:tcPr>
                  <w:tcW w:w="849" w:type="pct"/>
                  <w:tcBorders>
                    <w:tl2br w:val="nil"/>
                    <w:tr2bl w:val="nil"/>
                  </w:tcBorders>
                  <w:vAlign w:val="center"/>
                </w:tcPr>
                <w:p w14:paraId="45E8934F">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40%</w:t>
                  </w:r>
                </w:p>
              </w:tc>
              <w:tc>
                <w:tcPr>
                  <w:tcW w:w="880" w:type="pct"/>
                  <w:tcBorders>
                    <w:tl2br w:val="nil"/>
                    <w:tr2bl w:val="nil"/>
                  </w:tcBorders>
                  <w:vAlign w:val="center"/>
                </w:tcPr>
                <w:p w14:paraId="06681033">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60%</w:t>
                  </w:r>
                </w:p>
              </w:tc>
              <w:tc>
                <w:tcPr>
                  <w:tcW w:w="1120" w:type="pct"/>
                  <w:tcBorders>
                    <w:tl2br w:val="nil"/>
                    <w:tr2bl w:val="nil"/>
                  </w:tcBorders>
                  <w:vAlign w:val="center"/>
                </w:tcPr>
                <w:p w14:paraId="6142277A">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80%</w:t>
                  </w:r>
                </w:p>
              </w:tc>
            </w:tr>
            <w:tr w14:paraId="5AC80A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263" w:type="pct"/>
                  <w:tcBorders>
                    <w:tl2br w:val="nil"/>
                    <w:tr2bl w:val="nil"/>
                  </w:tcBorders>
                  <w:vAlign w:val="center"/>
                </w:tcPr>
                <w:p w14:paraId="6420CD6C">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排放量</w:t>
                  </w:r>
                  <w:r>
                    <w:rPr>
                      <w:rFonts w:hint="eastAsia" w:ascii="Times New Roman" w:hAnsi="Times New Roman" w:cs="Times New Roman"/>
                      <w:color w:val="auto"/>
                      <w:sz w:val="21"/>
                      <w:szCs w:val="21"/>
                      <w:u w:val="single"/>
                      <w:lang w:bidi="zh-CN"/>
                    </w:rPr>
                    <w:t>（t/a）</w:t>
                  </w:r>
                </w:p>
              </w:tc>
              <w:tc>
                <w:tcPr>
                  <w:tcW w:w="885" w:type="pct"/>
                  <w:tcBorders>
                    <w:tl2br w:val="nil"/>
                    <w:tr2bl w:val="nil"/>
                  </w:tcBorders>
                  <w:vAlign w:val="center"/>
                </w:tcPr>
                <w:p w14:paraId="59759A33">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0.147</w:t>
                  </w:r>
                </w:p>
              </w:tc>
              <w:tc>
                <w:tcPr>
                  <w:tcW w:w="849" w:type="pct"/>
                  <w:tcBorders>
                    <w:tl2br w:val="nil"/>
                    <w:tr2bl w:val="nil"/>
                  </w:tcBorders>
                  <w:vAlign w:val="center"/>
                </w:tcPr>
                <w:p w14:paraId="0FA97AEF">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0.023</w:t>
                  </w:r>
                </w:p>
              </w:tc>
              <w:tc>
                <w:tcPr>
                  <w:tcW w:w="880" w:type="pct"/>
                  <w:tcBorders>
                    <w:tl2br w:val="nil"/>
                    <w:tr2bl w:val="nil"/>
                  </w:tcBorders>
                  <w:vAlign w:val="center"/>
                </w:tcPr>
                <w:p w14:paraId="73DDE595">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0.0</w:t>
                  </w:r>
                  <w:r>
                    <w:rPr>
                      <w:rFonts w:hint="eastAsia" w:ascii="Times New Roman" w:hAnsi="Times New Roman" w:cs="Times New Roman"/>
                      <w:color w:val="auto"/>
                      <w:sz w:val="21"/>
                      <w:szCs w:val="21"/>
                      <w:u w:val="single"/>
                      <w:lang w:bidi="zh-CN"/>
                    </w:rPr>
                    <w:t>00</w:t>
                  </w:r>
                  <w:r>
                    <w:rPr>
                      <w:rFonts w:ascii="Times New Roman" w:hAnsi="Times New Roman" w:cs="Times New Roman"/>
                      <w:color w:val="auto"/>
                      <w:sz w:val="21"/>
                      <w:szCs w:val="21"/>
                      <w:u w:val="single"/>
                      <w:lang w:bidi="zh-CN"/>
                    </w:rPr>
                    <w:t>4</w:t>
                  </w:r>
                </w:p>
              </w:tc>
              <w:tc>
                <w:tcPr>
                  <w:tcW w:w="1120" w:type="pct"/>
                  <w:tcBorders>
                    <w:tl2br w:val="nil"/>
                    <w:tr2bl w:val="nil"/>
                  </w:tcBorders>
                  <w:vAlign w:val="center"/>
                </w:tcPr>
                <w:p w14:paraId="22BD7F44">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1.17</w:t>
                  </w:r>
                  <w:r>
                    <w:rPr>
                      <w:rFonts w:ascii="Times New Roman" w:hAnsi="Times New Roman" w:cs="Times New Roman"/>
                      <w:color w:val="auto"/>
                      <w:sz w:val="21"/>
                      <w:szCs w:val="21"/>
                      <w:u w:val="single"/>
                    </w:rPr>
                    <w:t>×10</w:t>
                  </w:r>
                  <w:r>
                    <w:rPr>
                      <w:rFonts w:ascii="Times New Roman" w:hAnsi="Times New Roman" w:cs="Times New Roman"/>
                      <w:color w:val="auto"/>
                      <w:sz w:val="21"/>
                      <w:szCs w:val="21"/>
                      <w:u w:val="single"/>
                      <w:vertAlign w:val="superscript"/>
                    </w:rPr>
                    <w:t>1</w:t>
                  </w:r>
                  <w:r>
                    <w:rPr>
                      <w:rFonts w:hint="eastAsia" w:ascii="Times New Roman" w:hAnsi="Times New Roman" w:cs="Times New Roman"/>
                      <w:color w:val="auto"/>
                      <w:sz w:val="21"/>
                      <w:szCs w:val="21"/>
                      <w:u w:val="single"/>
                      <w:vertAlign w:val="superscript"/>
                    </w:rPr>
                    <w:t>1</w:t>
                  </w:r>
                  <w:r>
                    <w:rPr>
                      <w:rFonts w:ascii="Times New Roman" w:hAnsi="Times New Roman" w:cs="Times New Roman"/>
                      <w:color w:val="auto"/>
                      <w:sz w:val="21"/>
                      <w:szCs w:val="21"/>
                      <w:u w:val="single"/>
                    </w:rPr>
                    <w:t>个/a</w:t>
                  </w:r>
                </w:p>
              </w:tc>
            </w:tr>
            <w:tr w14:paraId="2D5801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tcPr>
                <w:p w14:paraId="473B3C36">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出水浓度</w:t>
                  </w:r>
                  <w:r>
                    <w:rPr>
                      <w:rFonts w:hint="eastAsia" w:ascii="Times New Roman" w:hAnsi="Times New Roman" w:cs="Times New Roman"/>
                      <w:color w:val="auto"/>
                      <w:sz w:val="21"/>
                      <w:szCs w:val="21"/>
                      <w:u w:val="single"/>
                      <w:lang w:bidi="zh-CN"/>
                    </w:rPr>
                    <w:t>（mg/L）</w:t>
                  </w:r>
                </w:p>
              </w:tc>
              <w:tc>
                <w:tcPr>
                  <w:tcW w:w="885" w:type="pct"/>
                  <w:tcBorders>
                    <w:tl2br w:val="nil"/>
                    <w:tr2bl w:val="nil"/>
                  </w:tcBorders>
                  <w:vAlign w:val="center"/>
                </w:tcPr>
                <w:p w14:paraId="4681B19E">
                  <w:pPr>
                    <w:widowControl/>
                    <w:jc w:val="center"/>
                    <w:textAlignment w:val="center"/>
                    <w:rPr>
                      <w:color w:val="auto"/>
                      <w:kern w:val="0"/>
                      <w:szCs w:val="21"/>
                      <w:u w:val="single"/>
                      <w:lang w:bidi="zh-CN"/>
                    </w:rPr>
                  </w:pPr>
                  <w:r>
                    <w:rPr>
                      <w:color w:val="auto"/>
                      <w:kern w:val="0"/>
                      <w:szCs w:val="21"/>
                      <w:u w:val="single"/>
                      <w:lang w:bidi="ar"/>
                    </w:rPr>
                    <w:t>4.5</w:t>
                  </w:r>
                </w:p>
              </w:tc>
              <w:tc>
                <w:tcPr>
                  <w:tcW w:w="849" w:type="pct"/>
                  <w:tcBorders>
                    <w:tl2br w:val="nil"/>
                    <w:tr2bl w:val="nil"/>
                  </w:tcBorders>
                  <w:vAlign w:val="center"/>
                </w:tcPr>
                <w:p w14:paraId="7887D79B">
                  <w:pPr>
                    <w:widowControl/>
                    <w:jc w:val="center"/>
                    <w:textAlignment w:val="center"/>
                    <w:rPr>
                      <w:color w:val="auto"/>
                      <w:kern w:val="0"/>
                      <w:szCs w:val="21"/>
                      <w:u w:val="single"/>
                      <w:lang w:bidi="zh-CN"/>
                    </w:rPr>
                  </w:pPr>
                  <w:r>
                    <w:rPr>
                      <w:color w:val="auto"/>
                      <w:kern w:val="0"/>
                      <w:szCs w:val="21"/>
                      <w:u w:val="single"/>
                      <w:lang w:bidi="ar"/>
                    </w:rPr>
                    <w:t>0.72</w:t>
                  </w:r>
                </w:p>
              </w:tc>
              <w:tc>
                <w:tcPr>
                  <w:tcW w:w="880" w:type="pct"/>
                  <w:tcBorders>
                    <w:tl2br w:val="nil"/>
                    <w:tr2bl w:val="nil"/>
                  </w:tcBorders>
                  <w:vAlign w:val="center"/>
                </w:tcPr>
                <w:p w14:paraId="0E675404">
                  <w:pPr>
                    <w:widowControl/>
                    <w:jc w:val="center"/>
                    <w:textAlignment w:val="center"/>
                    <w:rPr>
                      <w:color w:val="auto"/>
                      <w:kern w:val="0"/>
                      <w:szCs w:val="21"/>
                      <w:u w:val="single"/>
                      <w:lang w:bidi="zh-CN"/>
                    </w:rPr>
                  </w:pPr>
                  <w:r>
                    <w:rPr>
                      <w:color w:val="auto"/>
                      <w:kern w:val="0"/>
                      <w:szCs w:val="21"/>
                      <w:u w:val="single"/>
                      <w:lang w:bidi="ar"/>
                    </w:rPr>
                    <w:t>0.16</w:t>
                  </w:r>
                </w:p>
              </w:tc>
              <w:tc>
                <w:tcPr>
                  <w:tcW w:w="1120" w:type="pct"/>
                  <w:tcBorders>
                    <w:tl2br w:val="nil"/>
                    <w:tr2bl w:val="nil"/>
                  </w:tcBorders>
                  <w:vAlign w:val="center"/>
                </w:tcPr>
                <w:p w14:paraId="2D0ED6ED">
                  <w:pPr>
                    <w:widowControl/>
                    <w:jc w:val="center"/>
                    <w:textAlignment w:val="center"/>
                    <w:rPr>
                      <w:color w:val="auto"/>
                      <w:kern w:val="0"/>
                      <w:szCs w:val="21"/>
                      <w:u w:val="single"/>
                      <w:lang w:bidi="ar"/>
                    </w:rPr>
                  </w:pPr>
                  <w:r>
                    <w:rPr>
                      <w:color w:val="auto"/>
                      <w:kern w:val="0"/>
                      <w:szCs w:val="21"/>
                      <w:u w:val="single"/>
                      <w:lang w:bidi="ar"/>
                    </w:rPr>
                    <w:t>3600个/L</w:t>
                  </w:r>
                </w:p>
              </w:tc>
            </w:tr>
            <w:tr w14:paraId="2886CC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tcPr>
                <w:p w14:paraId="244964FF">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标准浓度</w:t>
                  </w:r>
                  <w:r>
                    <w:rPr>
                      <w:rFonts w:hint="eastAsia" w:ascii="Times New Roman" w:hAnsi="Times New Roman" w:cs="Times New Roman"/>
                      <w:color w:val="auto"/>
                      <w:sz w:val="21"/>
                      <w:szCs w:val="21"/>
                      <w:u w:val="single"/>
                      <w:lang w:bidi="zh-CN"/>
                    </w:rPr>
                    <w:t>（mg/L）</w:t>
                  </w:r>
                </w:p>
              </w:tc>
              <w:tc>
                <w:tcPr>
                  <w:tcW w:w="885" w:type="pct"/>
                  <w:tcBorders>
                    <w:tl2br w:val="nil"/>
                    <w:tr2bl w:val="nil"/>
                  </w:tcBorders>
                  <w:vAlign w:val="center"/>
                </w:tcPr>
                <w:p w14:paraId="2EB45079">
                  <w:pPr>
                    <w:widowControl/>
                    <w:jc w:val="center"/>
                    <w:textAlignment w:val="center"/>
                    <w:rPr>
                      <w:color w:val="auto"/>
                      <w:kern w:val="0"/>
                      <w:szCs w:val="21"/>
                      <w:u w:val="single"/>
                      <w:lang w:bidi="ar"/>
                    </w:rPr>
                  </w:pPr>
                  <w:r>
                    <w:rPr>
                      <w:color w:val="auto"/>
                      <w:kern w:val="0"/>
                      <w:szCs w:val="21"/>
                      <w:u w:val="single"/>
                      <w:lang w:bidi="ar"/>
                    </w:rPr>
                    <w:t>5.0</w:t>
                  </w:r>
                </w:p>
              </w:tc>
              <w:tc>
                <w:tcPr>
                  <w:tcW w:w="849" w:type="pct"/>
                  <w:tcBorders>
                    <w:tl2br w:val="nil"/>
                    <w:tr2bl w:val="nil"/>
                  </w:tcBorders>
                  <w:vAlign w:val="center"/>
                </w:tcPr>
                <w:p w14:paraId="567FF085">
                  <w:pPr>
                    <w:widowControl/>
                    <w:jc w:val="center"/>
                    <w:textAlignment w:val="center"/>
                    <w:rPr>
                      <w:color w:val="auto"/>
                      <w:kern w:val="0"/>
                      <w:szCs w:val="21"/>
                      <w:u w:val="single"/>
                      <w:lang w:bidi="ar"/>
                    </w:rPr>
                  </w:pPr>
                  <w:r>
                    <w:rPr>
                      <w:color w:val="auto"/>
                      <w:kern w:val="0"/>
                      <w:szCs w:val="21"/>
                      <w:u w:val="single"/>
                      <w:lang w:bidi="ar"/>
                    </w:rPr>
                    <w:t>/</w:t>
                  </w:r>
                </w:p>
              </w:tc>
              <w:tc>
                <w:tcPr>
                  <w:tcW w:w="880" w:type="pct"/>
                  <w:tcBorders>
                    <w:tl2br w:val="nil"/>
                    <w:tr2bl w:val="nil"/>
                  </w:tcBorders>
                  <w:vAlign w:val="center"/>
                </w:tcPr>
                <w:p w14:paraId="053B11DC">
                  <w:pPr>
                    <w:widowControl/>
                    <w:jc w:val="center"/>
                    <w:textAlignment w:val="center"/>
                    <w:rPr>
                      <w:color w:val="auto"/>
                      <w:kern w:val="0"/>
                      <w:szCs w:val="21"/>
                      <w:u w:val="single"/>
                      <w:lang w:bidi="ar"/>
                    </w:rPr>
                  </w:pPr>
                  <w:r>
                    <w:rPr>
                      <w:color w:val="auto"/>
                      <w:kern w:val="0"/>
                      <w:szCs w:val="21"/>
                      <w:u w:val="single"/>
                      <w:lang w:bidi="ar"/>
                    </w:rPr>
                    <w:t>/</w:t>
                  </w:r>
                </w:p>
              </w:tc>
              <w:tc>
                <w:tcPr>
                  <w:tcW w:w="1120" w:type="pct"/>
                  <w:tcBorders>
                    <w:tl2br w:val="nil"/>
                    <w:tr2bl w:val="nil"/>
                  </w:tcBorders>
                  <w:vAlign w:val="center"/>
                </w:tcPr>
                <w:p w14:paraId="4628DBD8">
                  <w:pPr>
                    <w:widowControl/>
                    <w:jc w:val="center"/>
                    <w:textAlignment w:val="center"/>
                    <w:rPr>
                      <w:color w:val="auto"/>
                      <w:kern w:val="0"/>
                      <w:szCs w:val="21"/>
                      <w:u w:val="single"/>
                      <w:lang w:bidi="ar"/>
                    </w:rPr>
                  </w:pPr>
                  <w:r>
                    <w:rPr>
                      <w:color w:val="auto"/>
                      <w:kern w:val="0"/>
                      <w:szCs w:val="21"/>
                      <w:u w:val="single"/>
                      <w:lang w:bidi="ar"/>
                    </w:rPr>
                    <w:t>5000个/L</w:t>
                  </w:r>
                </w:p>
              </w:tc>
            </w:tr>
          </w:tbl>
          <w:p w14:paraId="566AC9EE">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表</w:t>
            </w:r>
            <w:r>
              <w:rPr>
                <w:rFonts w:hint="eastAsia" w:ascii="Times New Roman" w:hAnsi="Times New Roman" w:cs="Times New Roman"/>
                <w:b/>
                <w:bCs/>
                <w:color w:val="auto"/>
                <w:sz w:val="21"/>
                <w:szCs w:val="21"/>
                <w:u w:val="single"/>
                <w:lang w:bidi="zh-CN"/>
              </w:rPr>
              <w:t>5-2</w:t>
            </w:r>
            <w:r>
              <w:rPr>
                <w:rFonts w:ascii="Times New Roman" w:hAnsi="Times New Roman" w:cs="Times New Roman"/>
                <w:b/>
                <w:bCs/>
                <w:color w:val="auto"/>
                <w:sz w:val="21"/>
                <w:szCs w:val="21"/>
                <w:u w:val="single"/>
                <w:lang w:bidi="zh-CN"/>
              </w:rPr>
              <w:t xml:space="preserve">   </w:t>
            </w:r>
            <w:r>
              <w:rPr>
                <w:rFonts w:hint="eastAsia" w:ascii="Times New Roman" w:hAnsi="Times New Roman" w:cs="Times New Roman"/>
                <w:b/>
                <w:bCs/>
                <w:color w:val="auto"/>
                <w:sz w:val="21"/>
                <w:szCs w:val="21"/>
                <w:u w:val="single"/>
                <w:lang w:bidi="zh-CN"/>
              </w:rPr>
              <w:t>其他</w:t>
            </w:r>
            <w:r>
              <w:rPr>
                <w:rFonts w:ascii="Times New Roman" w:hAnsi="Times New Roman" w:cs="Times New Roman"/>
                <w:b/>
                <w:bCs/>
                <w:color w:val="auto"/>
                <w:sz w:val="21"/>
                <w:szCs w:val="21"/>
                <w:u w:val="single"/>
                <w:lang w:bidi="zh-CN"/>
              </w:rPr>
              <w:t>养殖</w:t>
            </w:r>
            <w:r>
              <w:rPr>
                <w:rFonts w:hint="eastAsia" w:ascii="Times New Roman" w:hAnsi="Times New Roman" w:cs="Times New Roman"/>
                <w:b/>
                <w:bCs/>
                <w:color w:val="auto"/>
                <w:sz w:val="21"/>
                <w:szCs w:val="21"/>
                <w:u w:val="single"/>
                <w:lang w:bidi="zh-CN"/>
              </w:rPr>
              <w:t>尾水排放情况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12"/>
              <w:gridCol w:w="1340"/>
              <w:gridCol w:w="1285"/>
              <w:gridCol w:w="1332"/>
              <w:gridCol w:w="1696"/>
            </w:tblGrid>
            <w:tr w14:paraId="7A7837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tcPr>
                <w:p w14:paraId="59D18EEB">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设施</w:t>
                  </w:r>
                </w:p>
              </w:tc>
              <w:tc>
                <w:tcPr>
                  <w:tcW w:w="885" w:type="pct"/>
                  <w:tcBorders>
                    <w:tl2br w:val="nil"/>
                    <w:tr2bl w:val="nil"/>
                  </w:tcBorders>
                </w:tcPr>
                <w:p w14:paraId="5764B6F2">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BOD去除率</w:t>
                  </w:r>
                </w:p>
              </w:tc>
              <w:tc>
                <w:tcPr>
                  <w:tcW w:w="849" w:type="pct"/>
                  <w:tcBorders>
                    <w:tl2br w:val="nil"/>
                    <w:tr2bl w:val="nil"/>
                  </w:tcBorders>
                  <w:vAlign w:val="center"/>
                </w:tcPr>
                <w:p w14:paraId="4DCB3921">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总氮去除率</w:t>
                  </w:r>
                </w:p>
              </w:tc>
              <w:tc>
                <w:tcPr>
                  <w:tcW w:w="880" w:type="pct"/>
                  <w:tcBorders>
                    <w:tl2br w:val="nil"/>
                    <w:tr2bl w:val="nil"/>
                  </w:tcBorders>
                  <w:vAlign w:val="center"/>
                </w:tcPr>
                <w:p w14:paraId="085B9151">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总磷去除率</w:t>
                  </w:r>
                </w:p>
              </w:tc>
              <w:tc>
                <w:tcPr>
                  <w:tcW w:w="1120" w:type="pct"/>
                  <w:tcBorders>
                    <w:tl2br w:val="nil"/>
                    <w:tr2bl w:val="nil"/>
                  </w:tcBorders>
                  <w:vAlign w:val="center"/>
                </w:tcPr>
                <w:p w14:paraId="3BE27A3D">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b/>
                      <w:bCs/>
                      <w:color w:val="auto"/>
                      <w:sz w:val="21"/>
                      <w:szCs w:val="21"/>
                      <w:u w:val="single"/>
                      <w:lang w:bidi="zh-CN"/>
                    </w:rPr>
                    <w:t>总大肠菌群</w:t>
                  </w:r>
                </w:p>
              </w:tc>
            </w:tr>
            <w:tr w14:paraId="4D1F7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vAlign w:val="center"/>
                </w:tcPr>
                <w:p w14:paraId="70ED4C59">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尾水塔+人工湿地</w:t>
                  </w:r>
                </w:p>
              </w:tc>
              <w:tc>
                <w:tcPr>
                  <w:tcW w:w="885" w:type="pct"/>
                  <w:tcBorders>
                    <w:tl2br w:val="nil"/>
                    <w:tr2bl w:val="nil"/>
                  </w:tcBorders>
                </w:tcPr>
                <w:p w14:paraId="5A96DCF4">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hint="eastAsia" w:ascii="Times New Roman" w:hAnsi="Times New Roman" w:cs="Times New Roman"/>
                      <w:color w:val="auto"/>
                      <w:sz w:val="21"/>
                      <w:szCs w:val="21"/>
                      <w:u w:val="single"/>
                      <w:lang w:bidi="zh-CN"/>
                    </w:rPr>
                    <w:t>70</w:t>
                  </w:r>
                  <w:r>
                    <w:rPr>
                      <w:rFonts w:ascii="Times New Roman" w:hAnsi="Times New Roman" w:cs="Times New Roman"/>
                      <w:color w:val="auto"/>
                      <w:sz w:val="21"/>
                      <w:szCs w:val="21"/>
                      <w:u w:val="single"/>
                      <w:lang w:bidi="zh-CN"/>
                    </w:rPr>
                    <w:t>%</w:t>
                  </w:r>
                </w:p>
              </w:tc>
              <w:tc>
                <w:tcPr>
                  <w:tcW w:w="849" w:type="pct"/>
                  <w:tcBorders>
                    <w:tl2br w:val="nil"/>
                    <w:tr2bl w:val="nil"/>
                  </w:tcBorders>
                </w:tcPr>
                <w:p w14:paraId="68A768C3">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color w:val="auto"/>
                      <w:sz w:val="21"/>
                      <w:szCs w:val="21"/>
                      <w:u w:val="single"/>
                      <w:lang w:bidi="zh-CN"/>
                    </w:rPr>
                    <w:t>40%</w:t>
                  </w:r>
                </w:p>
              </w:tc>
              <w:tc>
                <w:tcPr>
                  <w:tcW w:w="880" w:type="pct"/>
                  <w:tcBorders>
                    <w:tl2br w:val="nil"/>
                    <w:tr2bl w:val="nil"/>
                  </w:tcBorders>
                </w:tcPr>
                <w:p w14:paraId="796ADECC">
                  <w:pPr>
                    <w:pStyle w:val="60"/>
                    <w:autoSpaceDE w:val="0"/>
                    <w:autoSpaceDN w:val="0"/>
                    <w:adjustRightInd w:val="0"/>
                    <w:snapToGrid w:val="0"/>
                    <w:jc w:val="center"/>
                    <w:rPr>
                      <w:rFonts w:ascii="Times New Roman" w:hAnsi="Times New Roman" w:cs="Times New Roman"/>
                      <w:b/>
                      <w:bCs/>
                      <w:color w:val="auto"/>
                      <w:sz w:val="21"/>
                      <w:szCs w:val="21"/>
                      <w:u w:val="single"/>
                      <w:lang w:bidi="zh-CN"/>
                    </w:rPr>
                  </w:pPr>
                  <w:r>
                    <w:rPr>
                      <w:rFonts w:ascii="Times New Roman" w:hAnsi="Times New Roman" w:cs="Times New Roman"/>
                      <w:color w:val="auto"/>
                      <w:sz w:val="21"/>
                      <w:szCs w:val="21"/>
                      <w:u w:val="single"/>
                      <w:lang w:bidi="zh-CN"/>
                    </w:rPr>
                    <w:t>60%</w:t>
                  </w:r>
                </w:p>
              </w:tc>
              <w:tc>
                <w:tcPr>
                  <w:tcW w:w="1120" w:type="pct"/>
                  <w:tcBorders>
                    <w:tl2br w:val="nil"/>
                    <w:tr2bl w:val="nil"/>
                  </w:tcBorders>
                </w:tcPr>
                <w:p w14:paraId="13F22FC6">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50%</w:t>
                  </w:r>
                </w:p>
              </w:tc>
            </w:tr>
            <w:tr w14:paraId="42493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263" w:type="pct"/>
                  <w:tcBorders>
                    <w:tl2br w:val="nil"/>
                    <w:tr2bl w:val="nil"/>
                  </w:tcBorders>
                  <w:vAlign w:val="center"/>
                </w:tcPr>
                <w:p w14:paraId="4AED8C05">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排放量</w:t>
                  </w:r>
                  <w:r>
                    <w:rPr>
                      <w:rFonts w:hint="eastAsia" w:ascii="Times New Roman" w:hAnsi="Times New Roman" w:cs="Times New Roman"/>
                      <w:color w:val="auto"/>
                      <w:sz w:val="21"/>
                      <w:szCs w:val="21"/>
                      <w:u w:val="single"/>
                      <w:lang w:bidi="zh-CN"/>
                    </w:rPr>
                    <w:t>（t/a）</w:t>
                  </w:r>
                </w:p>
              </w:tc>
              <w:tc>
                <w:tcPr>
                  <w:tcW w:w="885" w:type="pct"/>
                  <w:tcBorders>
                    <w:tl2br w:val="nil"/>
                    <w:tr2bl w:val="nil"/>
                  </w:tcBorders>
                </w:tcPr>
                <w:p w14:paraId="162187F1">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0.906</w:t>
                  </w:r>
                </w:p>
              </w:tc>
              <w:tc>
                <w:tcPr>
                  <w:tcW w:w="849" w:type="pct"/>
                  <w:tcBorders>
                    <w:tl2br w:val="nil"/>
                    <w:tr2bl w:val="nil"/>
                  </w:tcBorders>
                </w:tcPr>
                <w:p w14:paraId="1F68E026">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0.180</w:t>
                  </w:r>
                </w:p>
              </w:tc>
              <w:tc>
                <w:tcPr>
                  <w:tcW w:w="880" w:type="pct"/>
                  <w:tcBorders>
                    <w:tl2br w:val="nil"/>
                    <w:tr2bl w:val="nil"/>
                  </w:tcBorders>
                </w:tcPr>
                <w:p w14:paraId="156BE31B">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0.036</w:t>
                  </w:r>
                </w:p>
              </w:tc>
              <w:tc>
                <w:tcPr>
                  <w:tcW w:w="1120" w:type="pct"/>
                  <w:tcBorders>
                    <w:tl2br w:val="nil"/>
                    <w:tr2bl w:val="nil"/>
                  </w:tcBorders>
                </w:tcPr>
                <w:p w14:paraId="66F4395B">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hint="eastAsia" w:ascii="Times New Roman" w:hAnsi="Times New Roman" w:cs="Times New Roman"/>
                      <w:color w:val="auto"/>
                      <w:sz w:val="21"/>
                      <w:szCs w:val="21"/>
                      <w:u w:val="single"/>
                      <w:lang w:bidi="zh-CN"/>
                    </w:rPr>
                    <w:t>1.36</w:t>
                  </w:r>
                  <w:r>
                    <w:rPr>
                      <w:rFonts w:ascii="Times New Roman" w:hAnsi="Times New Roman" w:cs="Times New Roman"/>
                      <w:color w:val="auto"/>
                      <w:sz w:val="21"/>
                      <w:szCs w:val="21"/>
                      <w:u w:val="single"/>
                      <w:lang w:bidi="zh-CN"/>
                    </w:rPr>
                    <w:t>×10</w:t>
                  </w:r>
                  <w:r>
                    <w:rPr>
                      <w:rFonts w:ascii="Times New Roman" w:hAnsi="Times New Roman" w:cs="Times New Roman"/>
                      <w:color w:val="auto"/>
                      <w:sz w:val="21"/>
                      <w:szCs w:val="21"/>
                      <w:u w:val="single"/>
                      <w:vertAlign w:val="superscript"/>
                      <w:lang w:bidi="zh-CN"/>
                    </w:rPr>
                    <w:t>12</w:t>
                  </w:r>
                  <w:r>
                    <w:rPr>
                      <w:rFonts w:ascii="Times New Roman" w:hAnsi="Times New Roman" w:cs="Times New Roman"/>
                      <w:color w:val="auto"/>
                      <w:sz w:val="21"/>
                      <w:szCs w:val="21"/>
                      <w:u w:val="single"/>
                      <w:lang w:bidi="zh-CN"/>
                    </w:rPr>
                    <w:t>个/a</w:t>
                  </w:r>
                </w:p>
              </w:tc>
            </w:tr>
            <w:tr w14:paraId="03BBDA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263" w:type="pct"/>
                  <w:tcBorders>
                    <w:tl2br w:val="nil"/>
                    <w:tr2bl w:val="nil"/>
                  </w:tcBorders>
                </w:tcPr>
                <w:p w14:paraId="0E6506B6">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出水浓度</w:t>
                  </w:r>
                  <w:r>
                    <w:rPr>
                      <w:rFonts w:hint="eastAsia" w:ascii="Times New Roman" w:hAnsi="Times New Roman" w:cs="Times New Roman"/>
                      <w:color w:val="auto"/>
                      <w:sz w:val="21"/>
                      <w:szCs w:val="21"/>
                      <w:u w:val="single"/>
                      <w:lang w:bidi="zh-CN"/>
                    </w:rPr>
                    <w:t>（mg/L）</w:t>
                  </w:r>
                </w:p>
              </w:tc>
              <w:tc>
                <w:tcPr>
                  <w:tcW w:w="885" w:type="pct"/>
                  <w:tcBorders>
                    <w:tl2br w:val="nil"/>
                    <w:tr2bl w:val="nil"/>
                  </w:tcBorders>
                  <w:vAlign w:val="center"/>
                </w:tcPr>
                <w:p w14:paraId="54BF2B57">
                  <w:pPr>
                    <w:widowControl/>
                    <w:jc w:val="center"/>
                    <w:textAlignment w:val="center"/>
                    <w:rPr>
                      <w:b/>
                      <w:bCs/>
                      <w:color w:val="auto"/>
                      <w:kern w:val="0"/>
                      <w:szCs w:val="21"/>
                      <w:u w:val="single"/>
                      <w:lang w:bidi="zh-CN"/>
                    </w:rPr>
                  </w:pPr>
                  <w:r>
                    <w:rPr>
                      <w:rFonts w:hint="eastAsia"/>
                      <w:color w:val="auto"/>
                      <w:kern w:val="0"/>
                      <w:szCs w:val="21"/>
                      <w:u w:val="single"/>
                      <w:lang w:bidi="ar"/>
                    </w:rPr>
                    <w:t>3.0</w:t>
                  </w:r>
                </w:p>
              </w:tc>
              <w:tc>
                <w:tcPr>
                  <w:tcW w:w="849" w:type="pct"/>
                  <w:tcBorders>
                    <w:tl2br w:val="nil"/>
                    <w:tr2bl w:val="nil"/>
                  </w:tcBorders>
                  <w:vAlign w:val="center"/>
                </w:tcPr>
                <w:p w14:paraId="44EE7D6D">
                  <w:pPr>
                    <w:widowControl/>
                    <w:jc w:val="center"/>
                    <w:textAlignment w:val="center"/>
                    <w:rPr>
                      <w:b/>
                      <w:bCs/>
                      <w:color w:val="auto"/>
                      <w:kern w:val="0"/>
                      <w:szCs w:val="21"/>
                      <w:u w:val="single"/>
                      <w:lang w:bidi="zh-CN"/>
                    </w:rPr>
                  </w:pPr>
                  <w:r>
                    <w:rPr>
                      <w:rFonts w:hint="eastAsia"/>
                      <w:color w:val="auto"/>
                      <w:kern w:val="0"/>
                      <w:szCs w:val="21"/>
                      <w:u w:val="single"/>
                      <w:lang w:bidi="ar"/>
                    </w:rPr>
                    <w:t>0.6</w:t>
                  </w:r>
                </w:p>
              </w:tc>
              <w:tc>
                <w:tcPr>
                  <w:tcW w:w="880" w:type="pct"/>
                  <w:tcBorders>
                    <w:tl2br w:val="nil"/>
                    <w:tr2bl w:val="nil"/>
                  </w:tcBorders>
                  <w:vAlign w:val="center"/>
                </w:tcPr>
                <w:p w14:paraId="0C4E89C1">
                  <w:pPr>
                    <w:widowControl/>
                    <w:jc w:val="center"/>
                    <w:textAlignment w:val="center"/>
                    <w:rPr>
                      <w:b/>
                      <w:bCs/>
                      <w:color w:val="auto"/>
                      <w:kern w:val="0"/>
                      <w:szCs w:val="21"/>
                      <w:u w:val="single"/>
                      <w:lang w:bidi="zh-CN"/>
                    </w:rPr>
                  </w:pPr>
                  <w:r>
                    <w:rPr>
                      <w:color w:val="auto"/>
                      <w:kern w:val="0"/>
                      <w:szCs w:val="21"/>
                      <w:u w:val="single"/>
                      <w:lang w:bidi="ar"/>
                    </w:rPr>
                    <w:t>0.</w:t>
                  </w:r>
                  <w:r>
                    <w:rPr>
                      <w:rFonts w:hint="eastAsia"/>
                      <w:color w:val="auto"/>
                      <w:kern w:val="0"/>
                      <w:szCs w:val="21"/>
                      <w:u w:val="single"/>
                      <w:lang w:bidi="ar"/>
                    </w:rPr>
                    <w:t>12</w:t>
                  </w:r>
                </w:p>
              </w:tc>
              <w:tc>
                <w:tcPr>
                  <w:tcW w:w="1120" w:type="pct"/>
                  <w:tcBorders>
                    <w:tl2br w:val="nil"/>
                    <w:tr2bl w:val="nil"/>
                  </w:tcBorders>
                  <w:vAlign w:val="center"/>
                </w:tcPr>
                <w:p w14:paraId="3C076BB5">
                  <w:pPr>
                    <w:widowControl/>
                    <w:jc w:val="center"/>
                    <w:textAlignment w:val="center"/>
                    <w:rPr>
                      <w:color w:val="auto"/>
                      <w:kern w:val="0"/>
                      <w:szCs w:val="21"/>
                      <w:u w:val="single"/>
                      <w:lang w:bidi="ar"/>
                    </w:rPr>
                  </w:pPr>
                  <w:r>
                    <w:rPr>
                      <w:rFonts w:hint="eastAsia"/>
                      <w:color w:val="auto"/>
                      <w:kern w:val="0"/>
                      <w:szCs w:val="21"/>
                      <w:u w:val="single"/>
                      <w:lang w:bidi="ar"/>
                    </w:rPr>
                    <w:t>1800</w:t>
                  </w:r>
                  <w:r>
                    <w:rPr>
                      <w:color w:val="auto"/>
                      <w:kern w:val="0"/>
                      <w:szCs w:val="21"/>
                      <w:u w:val="single"/>
                      <w:lang w:bidi="ar"/>
                    </w:rPr>
                    <w:t>个/L</w:t>
                  </w:r>
                </w:p>
              </w:tc>
            </w:tr>
            <w:tr w14:paraId="407406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263" w:type="pct"/>
                  <w:tcBorders>
                    <w:tl2br w:val="nil"/>
                    <w:tr2bl w:val="nil"/>
                  </w:tcBorders>
                </w:tcPr>
                <w:p w14:paraId="58B04E0B">
                  <w:pPr>
                    <w:pStyle w:val="60"/>
                    <w:autoSpaceDE w:val="0"/>
                    <w:autoSpaceDN w:val="0"/>
                    <w:adjustRightInd w:val="0"/>
                    <w:snapToGrid w:val="0"/>
                    <w:jc w:val="center"/>
                    <w:rPr>
                      <w:rFonts w:ascii="Times New Roman" w:hAnsi="Times New Roman" w:cs="Times New Roman"/>
                      <w:color w:val="auto"/>
                      <w:sz w:val="21"/>
                      <w:szCs w:val="21"/>
                      <w:u w:val="single"/>
                      <w:lang w:bidi="zh-CN"/>
                    </w:rPr>
                  </w:pPr>
                  <w:r>
                    <w:rPr>
                      <w:rFonts w:ascii="Times New Roman" w:hAnsi="Times New Roman" w:cs="Times New Roman"/>
                      <w:color w:val="auto"/>
                      <w:sz w:val="21"/>
                      <w:szCs w:val="21"/>
                      <w:u w:val="single"/>
                      <w:lang w:bidi="zh-CN"/>
                    </w:rPr>
                    <w:t>标准浓度</w:t>
                  </w:r>
                  <w:r>
                    <w:rPr>
                      <w:rFonts w:hint="eastAsia" w:ascii="Times New Roman" w:hAnsi="Times New Roman" w:cs="Times New Roman"/>
                      <w:color w:val="auto"/>
                      <w:sz w:val="21"/>
                      <w:szCs w:val="21"/>
                      <w:u w:val="single"/>
                      <w:lang w:bidi="zh-CN"/>
                    </w:rPr>
                    <w:t>（mg/L）</w:t>
                  </w:r>
                </w:p>
              </w:tc>
              <w:tc>
                <w:tcPr>
                  <w:tcW w:w="885" w:type="pct"/>
                  <w:tcBorders>
                    <w:tl2br w:val="nil"/>
                    <w:tr2bl w:val="nil"/>
                  </w:tcBorders>
                  <w:vAlign w:val="center"/>
                </w:tcPr>
                <w:p w14:paraId="7EAEEDCF">
                  <w:pPr>
                    <w:widowControl/>
                    <w:jc w:val="center"/>
                    <w:textAlignment w:val="center"/>
                    <w:rPr>
                      <w:color w:val="auto"/>
                      <w:kern w:val="0"/>
                      <w:szCs w:val="21"/>
                      <w:u w:val="single"/>
                      <w:lang w:bidi="ar"/>
                    </w:rPr>
                  </w:pPr>
                  <w:r>
                    <w:rPr>
                      <w:rFonts w:hint="eastAsia"/>
                      <w:color w:val="auto"/>
                      <w:kern w:val="0"/>
                      <w:szCs w:val="21"/>
                      <w:u w:val="single"/>
                      <w:lang w:bidi="ar"/>
                    </w:rPr>
                    <w:t>5.0</w:t>
                  </w:r>
                </w:p>
              </w:tc>
              <w:tc>
                <w:tcPr>
                  <w:tcW w:w="849" w:type="pct"/>
                  <w:tcBorders>
                    <w:tl2br w:val="nil"/>
                    <w:tr2bl w:val="nil"/>
                  </w:tcBorders>
                  <w:vAlign w:val="center"/>
                </w:tcPr>
                <w:p w14:paraId="17E61B08">
                  <w:pPr>
                    <w:widowControl/>
                    <w:jc w:val="center"/>
                    <w:textAlignment w:val="center"/>
                    <w:rPr>
                      <w:color w:val="auto"/>
                      <w:kern w:val="0"/>
                      <w:szCs w:val="21"/>
                      <w:u w:val="single"/>
                      <w:lang w:bidi="ar"/>
                    </w:rPr>
                  </w:pPr>
                  <w:r>
                    <w:rPr>
                      <w:rFonts w:hint="eastAsia"/>
                      <w:color w:val="auto"/>
                      <w:kern w:val="0"/>
                      <w:szCs w:val="21"/>
                      <w:u w:val="single"/>
                      <w:lang w:bidi="ar"/>
                    </w:rPr>
                    <w:t>/</w:t>
                  </w:r>
                </w:p>
              </w:tc>
              <w:tc>
                <w:tcPr>
                  <w:tcW w:w="880" w:type="pct"/>
                  <w:tcBorders>
                    <w:tl2br w:val="nil"/>
                    <w:tr2bl w:val="nil"/>
                  </w:tcBorders>
                  <w:vAlign w:val="center"/>
                </w:tcPr>
                <w:p w14:paraId="71A7CD0E">
                  <w:pPr>
                    <w:widowControl/>
                    <w:jc w:val="center"/>
                    <w:textAlignment w:val="center"/>
                    <w:rPr>
                      <w:color w:val="auto"/>
                      <w:kern w:val="0"/>
                      <w:szCs w:val="21"/>
                      <w:u w:val="single"/>
                      <w:lang w:bidi="ar"/>
                    </w:rPr>
                  </w:pPr>
                  <w:r>
                    <w:rPr>
                      <w:rFonts w:hint="eastAsia"/>
                      <w:color w:val="auto"/>
                      <w:kern w:val="0"/>
                      <w:szCs w:val="21"/>
                      <w:u w:val="single"/>
                      <w:lang w:bidi="ar"/>
                    </w:rPr>
                    <w:t>/</w:t>
                  </w:r>
                </w:p>
              </w:tc>
              <w:tc>
                <w:tcPr>
                  <w:tcW w:w="1120" w:type="pct"/>
                  <w:tcBorders>
                    <w:tl2br w:val="nil"/>
                    <w:tr2bl w:val="nil"/>
                  </w:tcBorders>
                  <w:vAlign w:val="center"/>
                </w:tcPr>
                <w:p w14:paraId="4D729968">
                  <w:pPr>
                    <w:widowControl/>
                    <w:jc w:val="center"/>
                    <w:textAlignment w:val="center"/>
                    <w:rPr>
                      <w:color w:val="auto"/>
                      <w:kern w:val="0"/>
                      <w:szCs w:val="21"/>
                      <w:u w:val="single"/>
                      <w:lang w:bidi="ar"/>
                    </w:rPr>
                  </w:pPr>
                  <w:r>
                    <w:rPr>
                      <w:rFonts w:hint="eastAsia"/>
                      <w:color w:val="auto"/>
                      <w:kern w:val="0"/>
                      <w:szCs w:val="21"/>
                      <w:u w:val="single"/>
                      <w:lang w:bidi="ar"/>
                    </w:rPr>
                    <w:t>5000个/L</w:t>
                  </w:r>
                </w:p>
              </w:tc>
            </w:tr>
          </w:tbl>
          <w:p w14:paraId="3E271655">
            <w:pPr>
              <w:pStyle w:val="60"/>
              <w:autoSpaceDE w:val="0"/>
              <w:autoSpaceDN w:val="0"/>
              <w:adjustRightInd w:val="0"/>
              <w:snapToGrid w:val="0"/>
              <w:spacing w:line="360" w:lineRule="auto"/>
              <w:ind w:firstLine="480" w:firstLineChars="200"/>
              <w:jc w:val="both"/>
              <w:rPr>
                <w:rFonts w:ascii="Times New Roman" w:hAnsi="Times New Roman" w:cs="Times New Roman"/>
                <w:color w:val="auto"/>
                <w:u w:val="single"/>
                <w:lang w:bidi="zh-CN"/>
              </w:rPr>
            </w:pPr>
            <w:r>
              <w:rPr>
                <w:rFonts w:ascii="Times New Roman" w:hAnsi="Times New Roman" w:cs="Times New Roman"/>
                <w:color w:val="auto"/>
                <w:u w:val="single"/>
                <w:lang w:bidi="zh-CN"/>
              </w:rPr>
              <w:t>由</w:t>
            </w:r>
            <w:r>
              <w:rPr>
                <w:rFonts w:hint="eastAsia" w:ascii="Times New Roman" w:hAnsi="Times New Roman" w:cs="Times New Roman"/>
                <w:color w:val="auto"/>
                <w:u w:val="single"/>
                <w:lang w:bidi="zh-CN"/>
              </w:rPr>
              <w:t>上述两个表格内容</w:t>
            </w:r>
            <w:r>
              <w:rPr>
                <w:rFonts w:ascii="Times New Roman" w:hAnsi="Times New Roman" w:cs="Times New Roman"/>
                <w:color w:val="auto"/>
                <w:u w:val="single"/>
                <w:lang w:bidi="zh-CN"/>
              </w:rPr>
              <w:t>可知，项目养殖黑水经“尾水塔+人工湿地”处理后</w:t>
            </w:r>
            <w:r>
              <w:rPr>
                <w:rFonts w:hint="eastAsia" w:ascii="Times New Roman" w:hAnsi="Times New Roman" w:cs="Times New Roman"/>
                <w:color w:val="auto"/>
                <w:u w:val="single"/>
                <w:lang w:bidi="zh-CN"/>
              </w:rPr>
              <w:t>、</w:t>
            </w:r>
            <w:r>
              <w:rPr>
                <w:rFonts w:ascii="Times New Roman" w:hAnsi="Times New Roman" w:cs="Times New Roman"/>
                <w:color w:val="auto"/>
                <w:u w:val="single"/>
                <w:lang w:bidi="zh-CN"/>
              </w:rPr>
              <w:t>养殖尾水经人工湿地处理后</w:t>
            </w:r>
            <w:r>
              <w:rPr>
                <w:rFonts w:hint="eastAsia" w:ascii="Times New Roman" w:hAnsi="Times New Roman" w:cs="Times New Roman"/>
                <w:color w:val="auto"/>
                <w:u w:val="single"/>
                <w:lang w:val="en-US" w:bidi="zh-CN"/>
              </w:rPr>
              <w:t>均</w:t>
            </w:r>
            <w:r>
              <w:rPr>
                <w:rFonts w:ascii="Times New Roman" w:hAnsi="Times New Roman" w:cs="Times New Roman"/>
                <w:color w:val="auto"/>
                <w:u w:val="single"/>
                <w:lang w:bidi="zh-CN"/>
              </w:rPr>
              <w:t>能达到《渔业用水标准》（GB11607-89）标准限值</w:t>
            </w:r>
            <w:r>
              <w:rPr>
                <w:rFonts w:hint="eastAsia" w:eastAsia="宋体"/>
                <w:color w:val="0000FF"/>
                <w:szCs w:val="21"/>
                <w:u w:val="single"/>
                <w:lang w:eastAsia="zh-CN"/>
              </w:rPr>
              <w:t>（</w:t>
            </w:r>
            <w:r>
              <w:rPr>
                <w:rFonts w:hint="eastAsia" w:ascii="Times New Roman" w:eastAsia="宋体"/>
                <w:color w:val="0000FF"/>
                <w:szCs w:val="21"/>
                <w:u w:val="single"/>
                <w:lang w:val="en-US" w:eastAsia="zh-CN"/>
              </w:rPr>
              <w:t>BOD：5.0</w:t>
            </w:r>
            <w:r>
              <w:rPr>
                <w:rFonts w:hint="eastAsia" w:ascii="Times New Roman" w:hAnsi="Times New Roman" w:cs="Times New Roman"/>
                <w:color w:val="0000FF"/>
                <w:sz w:val="21"/>
                <w:szCs w:val="21"/>
                <w:u w:val="single"/>
                <w:lang w:bidi="zh-CN"/>
              </w:rPr>
              <w:t>mg/L</w:t>
            </w:r>
            <w:r>
              <w:rPr>
                <w:rFonts w:hint="eastAsia" w:cs="Times New Roman"/>
                <w:color w:val="0000FF"/>
                <w:sz w:val="21"/>
                <w:szCs w:val="21"/>
                <w:u w:val="single"/>
                <w:lang w:bidi="zh-CN"/>
              </w:rPr>
              <w:t>，</w:t>
            </w:r>
            <w:r>
              <w:rPr>
                <w:rFonts w:hint="eastAsia" w:ascii="Times New Roman" w:eastAsia="宋体"/>
                <w:color w:val="0000FF"/>
                <w:szCs w:val="21"/>
                <w:u w:val="single"/>
                <w:lang w:val="en-US" w:eastAsia="zh-CN"/>
              </w:rPr>
              <w:t>总大肠菌群：</w:t>
            </w:r>
            <w:r>
              <w:rPr>
                <w:rFonts w:hint="eastAsia"/>
                <w:color w:val="0000FF"/>
                <w:kern w:val="0"/>
                <w:szCs w:val="21"/>
                <w:u w:val="single"/>
                <w:lang w:bidi="ar"/>
              </w:rPr>
              <w:t>5000个/L</w:t>
            </w:r>
            <w:r>
              <w:rPr>
                <w:rFonts w:hint="eastAsia" w:eastAsia="宋体"/>
                <w:color w:val="0000FF"/>
                <w:szCs w:val="21"/>
                <w:u w:val="single"/>
                <w:lang w:eastAsia="zh-CN"/>
              </w:rPr>
              <w:t>）</w:t>
            </w:r>
            <w:r>
              <w:rPr>
                <w:rFonts w:ascii="Times New Roman" w:hAnsi="Times New Roman" w:cs="Times New Roman"/>
                <w:color w:val="auto"/>
                <w:u w:val="single"/>
                <w:lang w:bidi="zh-CN"/>
              </w:rPr>
              <w:t>。</w:t>
            </w:r>
          </w:p>
          <w:p w14:paraId="7C907E16">
            <w:pPr>
              <w:autoSpaceDE w:val="0"/>
              <w:autoSpaceDN w:val="0"/>
              <w:spacing w:line="360" w:lineRule="auto"/>
              <w:ind w:firstLine="482" w:firstLineChars="200"/>
              <w:rPr>
                <w:b/>
                <w:bCs/>
                <w:color w:val="auto"/>
                <w:kern w:val="0"/>
                <w:sz w:val="24"/>
                <w:lang w:bidi="ar"/>
              </w:rPr>
            </w:pPr>
            <w:r>
              <w:rPr>
                <w:rFonts w:hint="eastAsia"/>
                <w:b/>
                <w:bCs/>
                <w:color w:val="auto"/>
                <w:kern w:val="0"/>
                <w:sz w:val="24"/>
                <w:lang w:bidi="ar"/>
              </w:rPr>
              <w:t>2.2、生活污水处理可行性分析：</w:t>
            </w:r>
          </w:p>
          <w:p w14:paraId="4E420F92">
            <w:pPr>
              <w:pStyle w:val="101"/>
              <w:ind w:firstLine="480"/>
              <w:rPr>
                <w:rFonts w:hint="default" w:eastAsia="宋体"/>
                <w:color w:val="auto"/>
                <w:kern w:val="2"/>
                <w:szCs w:val="32"/>
              </w:rPr>
            </w:pPr>
            <w:r>
              <w:rPr>
                <w:rFonts w:eastAsia="宋体"/>
                <w:color w:val="auto"/>
                <w:szCs w:val="32"/>
              </w:rPr>
              <w:t>项目生活污水利用管理用房现有的化粪池处理后清掏出作农肥，化粪池是一种利用沉淀和厌氧发酵原理去除生活污水中悬浮性有机物的处理设施，属于初级的过渡性生活处理构筑物，对COD、BOD</w:t>
            </w:r>
            <w:r>
              <w:rPr>
                <w:rFonts w:eastAsia="宋体"/>
                <w:color w:val="auto"/>
                <w:szCs w:val="32"/>
                <w:vertAlign w:val="subscript"/>
              </w:rPr>
              <w:t>5</w:t>
            </w:r>
            <w:r>
              <w:rPr>
                <w:rFonts w:eastAsia="宋体"/>
                <w:color w:val="auto"/>
                <w:szCs w:val="32"/>
              </w:rPr>
              <w:t>、SS、NH</w:t>
            </w:r>
            <w:r>
              <w:rPr>
                <w:rFonts w:eastAsia="宋体"/>
                <w:color w:val="auto"/>
                <w:szCs w:val="32"/>
                <w:vertAlign w:val="subscript"/>
              </w:rPr>
              <w:t>3</w:t>
            </w:r>
            <w:r>
              <w:rPr>
                <w:rFonts w:eastAsia="宋体"/>
                <w:color w:val="auto"/>
                <w:szCs w:val="32"/>
              </w:rPr>
              <w:t>-N具有一定的处理效率，现有</w:t>
            </w:r>
            <w:r>
              <w:rPr>
                <w:color w:val="auto"/>
              </w:rPr>
              <w:t>化粪池</w:t>
            </w:r>
            <w:r>
              <w:rPr>
                <w:rFonts w:ascii="Calibri" w:eastAsia="宋体"/>
                <w:color w:val="auto"/>
              </w:rPr>
              <w:t>容积</w:t>
            </w:r>
            <w:r>
              <w:rPr>
                <w:rFonts w:eastAsia="宋体"/>
                <w:color w:val="auto"/>
              </w:rPr>
              <w:t>2.0</w:t>
            </w:r>
            <w:r>
              <w:rPr>
                <w:color w:val="auto"/>
              </w:rPr>
              <w:t>m³，</w:t>
            </w:r>
            <w:r>
              <w:rPr>
                <w:rFonts w:ascii="Calibri" w:eastAsia="宋体"/>
                <w:color w:val="auto"/>
              </w:rPr>
              <w:t>本项目</w:t>
            </w:r>
            <w:r>
              <w:rPr>
                <w:color w:val="auto"/>
                <w:szCs w:val="24"/>
              </w:rPr>
              <w:t>生活污水</w:t>
            </w:r>
            <w:r>
              <w:rPr>
                <w:rFonts w:hAnsi="宋体"/>
                <w:color w:val="auto"/>
              </w:rPr>
              <w:t>0.253m</w:t>
            </w:r>
            <w:r>
              <w:rPr>
                <w:rFonts w:hAnsi="宋体"/>
                <w:color w:val="auto"/>
                <w:vertAlign w:val="superscript"/>
              </w:rPr>
              <w:t>3</w:t>
            </w:r>
            <w:r>
              <w:rPr>
                <w:rFonts w:hAnsi="宋体"/>
                <w:color w:val="auto"/>
              </w:rPr>
              <w:t>/d，</w:t>
            </w:r>
            <w:r>
              <w:rPr>
                <w:color w:val="auto"/>
              </w:rPr>
              <w:t>能满足</w:t>
            </w:r>
            <w:r>
              <w:rPr>
                <w:rFonts w:ascii="Calibri" w:eastAsia="宋体"/>
                <w:color w:val="auto"/>
              </w:rPr>
              <w:t>使用要求</w:t>
            </w:r>
            <w:r>
              <w:rPr>
                <w:rFonts w:eastAsia="宋体"/>
                <w:color w:val="auto"/>
              </w:rPr>
              <w:t>，</w:t>
            </w:r>
            <w:r>
              <w:rPr>
                <w:rFonts w:eastAsia="宋体"/>
                <w:color w:val="auto"/>
                <w:szCs w:val="32"/>
              </w:rPr>
              <w:t>措施可行。</w:t>
            </w:r>
          </w:p>
          <w:p w14:paraId="575C3E5C">
            <w:pPr>
              <w:pStyle w:val="101"/>
              <w:ind w:firstLine="480"/>
              <w:rPr>
                <w:rFonts w:hint="default" w:eastAsia="宋体"/>
                <w:color w:val="auto"/>
                <w:kern w:val="2"/>
                <w:szCs w:val="32"/>
              </w:rPr>
            </w:pPr>
            <w:r>
              <w:rPr>
                <w:rFonts w:hint="default" w:eastAsia="宋体"/>
                <w:color w:val="auto"/>
                <w:kern w:val="2"/>
                <w:szCs w:val="32"/>
              </w:rPr>
              <w:t>本项目废水类别、污染物及污染治理措施见下表。</w:t>
            </w:r>
          </w:p>
          <w:p w14:paraId="08D145F6">
            <w:pPr>
              <w:pStyle w:val="102"/>
              <w:rPr>
                <w:color w:val="auto"/>
                <w:szCs w:val="21"/>
              </w:rPr>
            </w:pPr>
            <w:r>
              <w:rPr>
                <w:color w:val="auto"/>
                <w:szCs w:val="21"/>
              </w:rPr>
              <w:t>表</w:t>
            </w:r>
            <w:r>
              <w:rPr>
                <w:rFonts w:hint="eastAsia"/>
                <w:color w:val="auto"/>
                <w:szCs w:val="21"/>
              </w:rPr>
              <w:t>5</w:t>
            </w:r>
            <w:r>
              <w:rPr>
                <w:color w:val="auto"/>
                <w:szCs w:val="21"/>
              </w:rPr>
              <w:t>-</w:t>
            </w:r>
            <w:r>
              <w:rPr>
                <w:rFonts w:hint="eastAsia"/>
                <w:color w:val="auto"/>
                <w:szCs w:val="21"/>
              </w:rPr>
              <w:t>3</w:t>
            </w:r>
            <w:r>
              <w:rPr>
                <w:color w:val="auto"/>
                <w:szCs w:val="21"/>
              </w:rPr>
              <w:t xml:space="preserve"> 本项目废水类别、污染物及污染治理措施信息表</w:t>
            </w:r>
          </w:p>
          <w:tbl>
            <w:tblPr>
              <w:tblStyle w:val="27"/>
              <w:tblW w:w="75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66"/>
              <w:gridCol w:w="1038"/>
              <w:gridCol w:w="659"/>
              <w:gridCol w:w="517"/>
              <w:gridCol w:w="811"/>
              <w:gridCol w:w="864"/>
              <w:gridCol w:w="799"/>
              <w:gridCol w:w="426"/>
              <w:gridCol w:w="753"/>
              <w:gridCol w:w="606"/>
            </w:tblGrid>
            <w:tr w14:paraId="7CFB0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426" w:type="dxa"/>
                  <w:vMerge w:val="restart"/>
                  <w:vAlign w:val="center"/>
                </w:tcPr>
                <w:p w14:paraId="5F75AF7A">
                  <w:pPr>
                    <w:adjustRightInd w:val="0"/>
                    <w:snapToGrid w:val="0"/>
                    <w:spacing w:before="24" w:beforeLines="10" w:after="24" w:afterLines="10" w:line="259" w:lineRule="auto"/>
                    <w:jc w:val="center"/>
                    <w:rPr>
                      <w:color w:val="auto"/>
                      <w:kern w:val="0"/>
                      <w:szCs w:val="21"/>
                    </w:rPr>
                  </w:pPr>
                  <w:r>
                    <w:rPr>
                      <w:color w:val="auto"/>
                      <w:kern w:val="0"/>
                      <w:szCs w:val="21"/>
                    </w:rPr>
                    <w:t>序号</w:t>
                  </w:r>
                </w:p>
              </w:tc>
              <w:tc>
                <w:tcPr>
                  <w:tcW w:w="668" w:type="dxa"/>
                  <w:vMerge w:val="restart"/>
                  <w:vAlign w:val="center"/>
                </w:tcPr>
                <w:p w14:paraId="40D9D59B">
                  <w:pPr>
                    <w:adjustRightInd w:val="0"/>
                    <w:snapToGrid w:val="0"/>
                    <w:spacing w:before="24" w:beforeLines="10" w:after="24" w:afterLines="10" w:line="259" w:lineRule="auto"/>
                    <w:jc w:val="center"/>
                    <w:rPr>
                      <w:color w:val="auto"/>
                      <w:kern w:val="0"/>
                      <w:szCs w:val="21"/>
                    </w:rPr>
                  </w:pPr>
                  <w:r>
                    <w:rPr>
                      <w:color w:val="auto"/>
                      <w:kern w:val="0"/>
                      <w:szCs w:val="21"/>
                    </w:rPr>
                    <w:t>废水类别</w:t>
                  </w:r>
                </w:p>
              </w:tc>
              <w:tc>
                <w:tcPr>
                  <w:tcW w:w="1039" w:type="dxa"/>
                  <w:vMerge w:val="restart"/>
                  <w:vAlign w:val="center"/>
                </w:tcPr>
                <w:p w14:paraId="7FE45F91">
                  <w:pPr>
                    <w:adjustRightInd w:val="0"/>
                    <w:snapToGrid w:val="0"/>
                    <w:spacing w:before="24" w:beforeLines="10" w:after="24" w:afterLines="10" w:line="259" w:lineRule="auto"/>
                    <w:jc w:val="center"/>
                    <w:rPr>
                      <w:color w:val="auto"/>
                      <w:kern w:val="0"/>
                      <w:szCs w:val="21"/>
                    </w:rPr>
                  </w:pPr>
                  <w:r>
                    <w:rPr>
                      <w:color w:val="auto"/>
                      <w:kern w:val="0"/>
                      <w:szCs w:val="21"/>
                    </w:rPr>
                    <w:t>污染物种类</w:t>
                  </w:r>
                </w:p>
              </w:tc>
              <w:tc>
                <w:tcPr>
                  <w:tcW w:w="661" w:type="dxa"/>
                  <w:vMerge w:val="restart"/>
                  <w:vAlign w:val="center"/>
                </w:tcPr>
                <w:p w14:paraId="773329B8">
                  <w:pPr>
                    <w:adjustRightInd w:val="0"/>
                    <w:snapToGrid w:val="0"/>
                    <w:spacing w:before="24" w:beforeLines="10" w:after="24" w:afterLines="10" w:line="259" w:lineRule="auto"/>
                    <w:jc w:val="center"/>
                    <w:rPr>
                      <w:color w:val="auto"/>
                      <w:kern w:val="0"/>
                      <w:szCs w:val="21"/>
                    </w:rPr>
                  </w:pPr>
                  <w:r>
                    <w:rPr>
                      <w:color w:val="auto"/>
                      <w:kern w:val="0"/>
                      <w:szCs w:val="21"/>
                    </w:rPr>
                    <w:t>排放去向</w:t>
                  </w:r>
                </w:p>
              </w:tc>
              <w:tc>
                <w:tcPr>
                  <w:tcW w:w="518" w:type="dxa"/>
                  <w:vMerge w:val="restart"/>
                  <w:vAlign w:val="center"/>
                </w:tcPr>
                <w:p w14:paraId="00D4755A">
                  <w:pPr>
                    <w:adjustRightInd w:val="0"/>
                    <w:snapToGrid w:val="0"/>
                    <w:spacing w:before="24" w:beforeLines="10" w:after="24" w:afterLines="10" w:line="259" w:lineRule="auto"/>
                    <w:jc w:val="center"/>
                    <w:rPr>
                      <w:color w:val="auto"/>
                      <w:kern w:val="0"/>
                      <w:szCs w:val="21"/>
                    </w:rPr>
                  </w:pPr>
                  <w:r>
                    <w:rPr>
                      <w:color w:val="auto"/>
                      <w:kern w:val="0"/>
                      <w:szCs w:val="21"/>
                    </w:rPr>
                    <w:t>排放规律</w:t>
                  </w:r>
                </w:p>
              </w:tc>
              <w:tc>
                <w:tcPr>
                  <w:tcW w:w="2480" w:type="dxa"/>
                  <w:gridSpan w:val="3"/>
                  <w:vAlign w:val="center"/>
                </w:tcPr>
                <w:p w14:paraId="71A6BAC2">
                  <w:pPr>
                    <w:adjustRightInd w:val="0"/>
                    <w:snapToGrid w:val="0"/>
                    <w:spacing w:before="24" w:beforeLines="10" w:after="24" w:afterLines="10" w:line="259" w:lineRule="auto"/>
                    <w:jc w:val="center"/>
                    <w:rPr>
                      <w:color w:val="auto"/>
                      <w:kern w:val="0"/>
                      <w:szCs w:val="21"/>
                    </w:rPr>
                  </w:pPr>
                  <w:r>
                    <w:rPr>
                      <w:color w:val="auto"/>
                      <w:kern w:val="0"/>
                      <w:szCs w:val="21"/>
                    </w:rPr>
                    <w:t>污染治理设施</w:t>
                  </w:r>
                </w:p>
              </w:tc>
              <w:tc>
                <w:tcPr>
                  <w:tcW w:w="412" w:type="dxa"/>
                  <w:vMerge w:val="restart"/>
                  <w:vAlign w:val="center"/>
                </w:tcPr>
                <w:p w14:paraId="2457A61B">
                  <w:pPr>
                    <w:adjustRightInd w:val="0"/>
                    <w:snapToGrid w:val="0"/>
                    <w:spacing w:before="24" w:beforeLines="10" w:after="24" w:afterLines="10" w:line="259" w:lineRule="auto"/>
                    <w:jc w:val="center"/>
                    <w:rPr>
                      <w:color w:val="auto"/>
                      <w:kern w:val="0"/>
                      <w:szCs w:val="21"/>
                    </w:rPr>
                  </w:pPr>
                  <w:r>
                    <w:rPr>
                      <w:color w:val="auto"/>
                      <w:kern w:val="0"/>
                      <w:szCs w:val="21"/>
                    </w:rPr>
                    <w:t>排放口编号</w:t>
                  </w:r>
                </w:p>
              </w:tc>
              <w:tc>
                <w:tcPr>
                  <w:tcW w:w="755" w:type="dxa"/>
                  <w:vMerge w:val="restart"/>
                  <w:vAlign w:val="center"/>
                </w:tcPr>
                <w:p w14:paraId="518C21F7">
                  <w:pPr>
                    <w:adjustRightInd w:val="0"/>
                    <w:snapToGrid w:val="0"/>
                    <w:spacing w:before="24" w:beforeLines="10" w:after="24" w:afterLines="10" w:line="259" w:lineRule="auto"/>
                    <w:jc w:val="center"/>
                    <w:rPr>
                      <w:color w:val="auto"/>
                      <w:kern w:val="0"/>
                      <w:szCs w:val="21"/>
                    </w:rPr>
                  </w:pPr>
                  <w:r>
                    <w:rPr>
                      <w:color w:val="auto"/>
                      <w:kern w:val="0"/>
                      <w:szCs w:val="21"/>
                    </w:rPr>
                    <w:t>排放口设置是否符合要求</w:t>
                  </w:r>
                </w:p>
              </w:tc>
              <w:tc>
                <w:tcPr>
                  <w:tcW w:w="606" w:type="dxa"/>
                  <w:vMerge w:val="restart"/>
                  <w:vAlign w:val="center"/>
                </w:tcPr>
                <w:p w14:paraId="07FFD780">
                  <w:pPr>
                    <w:adjustRightInd w:val="0"/>
                    <w:snapToGrid w:val="0"/>
                    <w:spacing w:before="24" w:beforeLines="10" w:after="24" w:afterLines="10" w:line="259" w:lineRule="auto"/>
                    <w:jc w:val="center"/>
                    <w:rPr>
                      <w:color w:val="auto"/>
                      <w:kern w:val="0"/>
                      <w:szCs w:val="21"/>
                    </w:rPr>
                  </w:pPr>
                  <w:r>
                    <w:rPr>
                      <w:color w:val="auto"/>
                      <w:kern w:val="0"/>
                      <w:szCs w:val="21"/>
                    </w:rPr>
                    <w:t>排放口类型</w:t>
                  </w:r>
                </w:p>
              </w:tc>
            </w:tr>
            <w:tr w14:paraId="26E43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426" w:type="dxa"/>
                  <w:vMerge w:val="continue"/>
                  <w:vAlign w:val="center"/>
                </w:tcPr>
                <w:p w14:paraId="45BBFDFD">
                  <w:pPr>
                    <w:adjustRightInd w:val="0"/>
                    <w:snapToGrid w:val="0"/>
                    <w:spacing w:before="24" w:beforeLines="10" w:after="24" w:afterLines="10" w:line="259" w:lineRule="auto"/>
                    <w:jc w:val="center"/>
                    <w:rPr>
                      <w:color w:val="auto"/>
                      <w:kern w:val="0"/>
                      <w:szCs w:val="21"/>
                    </w:rPr>
                  </w:pPr>
                </w:p>
              </w:tc>
              <w:tc>
                <w:tcPr>
                  <w:tcW w:w="668" w:type="dxa"/>
                  <w:vMerge w:val="continue"/>
                  <w:vAlign w:val="center"/>
                </w:tcPr>
                <w:p w14:paraId="580BB823">
                  <w:pPr>
                    <w:adjustRightInd w:val="0"/>
                    <w:snapToGrid w:val="0"/>
                    <w:spacing w:before="24" w:beforeLines="10" w:after="24" w:afterLines="10" w:line="259" w:lineRule="auto"/>
                    <w:jc w:val="center"/>
                    <w:rPr>
                      <w:color w:val="auto"/>
                      <w:kern w:val="0"/>
                      <w:szCs w:val="21"/>
                    </w:rPr>
                  </w:pPr>
                </w:p>
              </w:tc>
              <w:tc>
                <w:tcPr>
                  <w:tcW w:w="1039" w:type="dxa"/>
                  <w:vMerge w:val="continue"/>
                  <w:vAlign w:val="center"/>
                </w:tcPr>
                <w:p w14:paraId="54A3FFC3">
                  <w:pPr>
                    <w:adjustRightInd w:val="0"/>
                    <w:snapToGrid w:val="0"/>
                    <w:spacing w:before="24" w:beforeLines="10" w:after="24" w:afterLines="10" w:line="259" w:lineRule="auto"/>
                    <w:jc w:val="center"/>
                    <w:rPr>
                      <w:color w:val="auto"/>
                      <w:kern w:val="0"/>
                      <w:szCs w:val="21"/>
                    </w:rPr>
                  </w:pPr>
                </w:p>
              </w:tc>
              <w:tc>
                <w:tcPr>
                  <w:tcW w:w="661" w:type="dxa"/>
                  <w:vMerge w:val="continue"/>
                  <w:vAlign w:val="center"/>
                </w:tcPr>
                <w:p w14:paraId="3297CF01">
                  <w:pPr>
                    <w:adjustRightInd w:val="0"/>
                    <w:snapToGrid w:val="0"/>
                    <w:spacing w:before="24" w:beforeLines="10" w:after="24" w:afterLines="10" w:line="259" w:lineRule="auto"/>
                    <w:jc w:val="center"/>
                    <w:rPr>
                      <w:color w:val="auto"/>
                      <w:kern w:val="0"/>
                      <w:szCs w:val="21"/>
                    </w:rPr>
                  </w:pPr>
                </w:p>
              </w:tc>
              <w:tc>
                <w:tcPr>
                  <w:tcW w:w="518" w:type="dxa"/>
                  <w:vMerge w:val="continue"/>
                  <w:vAlign w:val="center"/>
                </w:tcPr>
                <w:p w14:paraId="04ED3A2D">
                  <w:pPr>
                    <w:adjustRightInd w:val="0"/>
                    <w:snapToGrid w:val="0"/>
                    <w:spacing w:before="24" w:beforeLines="10" w:after="24" w:afterLines="10" w:line="259" w:lineRule="auto"/>
                    <w:jc w:val="center"/>
                    <w:rPr>
                      <w:color w:val="auto"/>
                      <w:kern w:val="0"/>
                      <w:szCs w:val="21"/>
                    </w:rPr>
                  </w:pPr>
                </w:p>
              </w:tc>
              <w:tc>
                <w:tcPr>
                  <w:tcW w:w="811" w:type="dxa"/>
                  <w:vAlign w:val="center"/>
                </w:tcPr>
                <w:p w14:paraId="1BDD778A">
                  <w:pPr>
                    <w:adjustRightInd w:val="0"/>
                    <w:snapToGrid w:val="0"/>
                    <w:spacing w:before="24" w:beforeLines="10" w:after="24" w:afterLines="10" w:line="259" w:lineRule="auto"/>
                    <w:jc w:val="center"/>
                    <w:rPr>
                      <w:color w:val="auto"/>
                      <w:kern w:val="0"/>
                      <w:szCs w:val="21"/>
                    </w:rPr>
                  </w:pPr>
                  <w:r>
                    <w:rPr>
                      <w:color w:val="auto"/>
                      <w:kern w:val="0"/>
                      <w:szCs w:val="21"/>
                    </w:rPr>
                    <w:t>污染治理设施编号</w:t>
                  </w:r>
                </w:p>
              </w:tc>
              <w:tc>
                <w:tcPr>
                  <w:tcW w:w="867" w:type="dxa"/>
                  <w:vAlign w:val="center"/>
                </w:tcPr>
                <w:p w14:paraId="1A3F9C89">
                  <w:pPr>
                    <w:adjustRightInd w:val="0"/>
                    <w:snapToGrid w:val="0"/>
                    <w:spacing w:before="24" w:beforeLines="10" w:after="24" w:afterLines="10" w:line="259" w:lineRule="auto"/>
                    <w:jc w:val="center"/>
                    <w:rPr>
                      <w:color w:val="auto"/>
                      <w:kern w:val="0"/>
                      <w:szCs w:val="21"/>
                    </w:rPr>
                  </w:pPr>
                  <w:r>
                    <w:rPr>
                      <w:color w:val="auto"/>
                      <w:kern w:val="0"/>
                      <w:szCs w:val="21"/>
                    </w:rPr>
                    <w:t>污染治理设施名称</w:t>
                  </w:r>
                </w:p>
              </w:tc>
              <w:tc>
                <w:tcPr>
                  <w:tcW w:w="802" w:type="dxa"/>
                  <w:vAlign w:val="center"/>
                </w:tcPr>
                <w:p w14:paraId="1564FE7A">
                  <w:pPr>
                    <w:adjustRightInd w:val="0"/>
                    <w:snapToGrid w:val="0"/>
                    <w:spacing w:before="24" w:beforeLines="10" w:after="24" w:afterLines="10" w:line="259" w:lineRule="auto"/>
                    <w:jc w:val="center"/>
                    <w:rPr>
                      <w:color w:val="auto"/>
                      <w:kern w:val="0"/>
                      <w:szCs w:val="21"/>
                    </w:rPr>
                  </w:pPr>
                  <w:r>
                    <w:rPr>
                      <w:color w:val="auto"/>
                      <w:kern w:val="0"/>
                      <w:szCs w:val="21"/>
                    </w:rPr>
                    <w:t>污染治理设施工艺</w:t>
                  </w:r>
                </w:p>
              </w:tc>
              <w:tc>
                <w:tcPr>
                  <w:tcW w:w="412" w:type="dxa"/>
                  <w:vMerge w:val="continue"/>
                  <w:vAlign w:val="center"/>
                </w:tcPr>
                <w:p w14:paraId="5E834577">
                  <w:pPr>
                    <w:adjustRightInd w:val="0"/>
                    <w:snapToGrid w:val="0"/>
                    <w:spacing w:before="24" w:beforeLines="10" w:after="24" w:afterLines="10" w:line="259" w:lineRule="auto"/>
                    <w:jc w:val="center"/>
                    <w:rPr>
                      <w:color w:val="auto"/>
                      <w:kern w:val="0"/>
                      <w:szCs w:val="21"/>
                    </w:rPr>
                  </w:pPr>
                </w:p>
              </w:tc>
              <w:tc>
                <w:tcPr>
                  <w:tcW w:w="755" w:type="dxa"/>
                  <w:vMerge w:val="continue"/>
                  <w:vAlign w:val="center"/>
                </w:tcPr>
                <w:p w14:paraId="6D0CDA71">
                  <w:pPr>
                    <w:adjustRightInd w:val="0"/>
                    <w:snapToGrid w:val="0"/>
                    <w:spacing w:before="24" w:beforeLines="10" w:after="24" w:afterLines="10" w:line="259" w:lineRule="auto"/>
                    <w:jc w:val="center"/>
                    <w:rPr>
                      <w:color w:val="auto"/>
                      <w:kern w:val="0"/>
                      <w:szCs w:val="21"/>
                    </w:rPr>
                  </w:pPr>
                </w:p>
              </w:tc>
              <w:tc>
                <w:tcPr>
                  <w:tcW w:w="606" w:type="dxa"/>
                  <w:vMerge w:val="continue"/>
                  <w:vAlign w:val="center"/>
                </w:tcPr>
                <w:p w14:paraId="212516B1">
                  <w:pPr>
                    <w:adjustRightInd w:val="0"/>
                    <w:snapToGrid w:val="0"/>
                    <w:spacing w:before="24" w:beforeLines="10" w:after="24" w:afterLines="10" w:line="259" w:lineRule="auto"/>
                    <w:jc w:val="center"/>
                    <w:rPr>
                      <w:color w:val="auto"/>
                      <w:kern w:val="0"/>
                      <w:szCs w:val="21"/>
                    </w:rPr>
                  </w:pPr>
                </w:p>
              </w:tc>
            </w:tr>
            <w:tr w14:paraId="4F99B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426" w:type="dxa"/>
                  <w:vAlign w:val="center"/>
                </w:tcPr>
                <w:p w14:paraId="1D451312">
                  <w:pPr>
                    <w:adjustRightInd w:val="0"/>
                    <w:snapToGrid w:val="0"/>
                    <w:spacing w:before="24" w:beforeLines="10" w:after="24" w:afterLines="10" w:line="259" w:lineRule="auto"/>
                    <w:jc w:val="center"/>
                    <w:rPr>
                      <w:color w:val="auto"/>
                      <w:kern w:val="0"/>
                      <w:szCs w:val="21"/>
                    </w:rPr>
                  </w:pPr>
                  <w:r>
                    <w:rPr>
                      <w:color w:val="auto"/>
                      <w:kern w:val="0"/>
                      <w:szCs w:val="21"/>
                    </w:rPr>
                    <w:t>1</w:t>
                  </w:r>
                </w:p>
              </w:tc>
              <w:tc>
                <w:tcPr>
                  <w:tcW w:w="668" w:type="dxa"/>
                  <w:vAlign w:val="center"/>
                </w:tcPr>
                <w:p w14:paraId="7DF9510F">
                  <w:pPr>
                    <w:adjustRightInd w:val="0"/>
                    <w:snapToGrid w:val="0"/>
                    <w:spacing w:before="24" w:beforeLines="10" w:after="24" w:afterLines="10" w:line="259" w:lineRule="auto"/>
                    <w:jc w:val="center"/>
                    <w:rPr>
                      <w:color w:val="auto"/>
                      <w:kern w:val="0"/>
                      <w:szCs w:val="21"/>
                    </w:rPr>
                  </w:pPr>
                  <w:r>
                    <w:rPr>
                      <w:rFonts w:hint="eastAsia"/>
                      <w:color w:val="auto"/>
                      <w:kern w:val="0"/>
                      <w:szCs w:val="21"/>
                    </w:rPr>
                    <w:t>养殖黑水</w:t>
                  </w:r>
                </w:p>
              </w:tc>
              <w:tc>
                <w:tcPr>
                  <w:tcW w:w="1039" w:type="dxa"/>
                  <w:vAlign w:val="center"/>
                </w:tcPr>
                <w:p w14:paraId="60A79D24">
                  <w:pPr>
                    <w:adjustRightInd w:val="0"/>
                    <w:snapToGrid w:val="0"/>
                    <w:spacing w:before="24" w:beforeLines="10" w:after="24" w:afterLines="10" w:line="259" w:lineRule="auto"/>
                    <w:jc w:val="center"/>
                    <w:rPr>
                      <w:color w:val="auto"/>
                      <w:kern w:val="0"/>
                      <w:szCs w:val="21"/>
                    </w:rPr>
                  </w:pPr>
                  <w:r>
                    <w:rPr>
                      <w:color w:val="auto"/>
                      <w:kern w:val="0"/>
                      <w:szCs w:val="21"/>
                    </w:rPr>
                    <w:t>BOD</w:t>
                  </w:r>
                  <w:r>
                    <w:rPr>
                      <w:color w:val="auto"/>
                      <w:kern w:val="0"/>
                      <w:szCs w:val="21"/>
                      <w:vertAlign w:val="subscript"/>
                    </w:rPr>
                    <w:t>5</w:t>
                  </w:r>
                  <w:r>
                    <w:rPr>
                      <w:color w:val="auto"/>
                      <w:kern w:val="0"/>
                      <w:szCs w:val="21"/>
                    </w:rPr>
                    <w:t>、</w:t>
                  </w:r>
                  <w:r>
                    <w:rPr>
                      <w:rFonts w:hint="eastAsia"/>
                      <w:color w:val="auto"/>
                      <w:kern w:val="0"/>
                      <w:szCs w:val="21"/>
                    </w:rPr>
                    <w:t>总磷、总氮</w:t>
                  </w:r>
                </w:p>
              </w:tc>
              <w:tc>
                <w:tcPr>
                  <w:tcW w:w="661" w:type="dxa"/>
                  <w:vAlign w:val="center"/>
                </w:tcPr>
                <w:p w14:paraId="19444F1D">
                  <w:pPr>
                    <w:adjustRightInd w:val="0"/>
                    <w:snapToGrid w:val="0"/>
                    <w:spacing w:before="24" w:beforeLines="10" w:after="24" w:afterLines="10" w:line="259" w:lineRule="auto"/>
                    <w:jc w:val="center"/>
                    <w:rPr>
                      <w:color w:val="auto"/>
                      <w:kern w:val="0"/>
                      <w:szCs w:val="21"/>
                    </w:rPr>
                  </w:pPr>
                  <w:r>
                    <w:rPr>
                      <w:color w:val="auto"/>
                      <w:kern w:val="0"/>
                      <w:szCs w:val="21"/>
                    </w:rPr>
                    <w:t>不外排</w:t>
                  </w:r>
                </w:p>
              </w:tc>
              <w:tc>
                <w:tcPr>
                  <w:tcW w:w="518" w:type="dxa"/>
                  <w:vAlign w:val="center"/>
                </w:tcPr>
                <w:p w14:paraId="6C9BC7A0">
                  <w:pPr>
                    <w:adjustRightInd w:val="0"/>
                    <w:snapToGrid w:val="0"/>
                    <w:spacing w:before="24" w:beforeLines="10" w:after="24" w:afterLines="10" w:line="259" w:lineRule="auto"/>
                    <w:jc w:val="center"/>
                    <w:rPr>
                      <w:color w:val="auto"/>
                      <w:kern w:val="0"/>
                      <w:szCs w:val="21"/>
                    </w:rPr>
                  </w:pPr>
                  <w:r>
                    <w:rPr>
                      <w:rFonts w:hint="eastAsia"/>
                      <w:color w:val="auto"/>
                      <w:kern w:val="0"/>
                      <w:szCs w:val="21"/>
                    </w:rPr>
                    <w:t>/</w:t>
                  </w:r>
                </w:p>
              </w:tc>
              <w:tc>
                <w:tcPr>
                  <w:tcW w:w="811" w:type="dxa"/>
                  <w:vAlign w:val="center"/>
                </w:tcPr>
                <w:p w14:paraId="2F4638E4">
                  <w:pPr>
                    <w:adjustRightInd w:val="0"/>
                    <w:snapToGrid w:val="0"/>
                    <w:spacing w:before="24" w:beforeLines="10" w:after="24" w:afterLines="10" w:line="259" w:lineRule="auto"/>
                    <w:jc w:val="center"/>
                    <w:rPr>
                      <w:color w:val="auto"/>
                      <w:kern w:val="0"/>
                      <w:szCs w:val="21"/>
                    </w:rPr>
                  </w:pPr>
                  <w:r>
                    <w:rPr>
                      <w:rFonts w:hint="eastAsia"/>
                      <w:color w:val="auto"/>
                      <w:kern w:val="0"/>
                      <w:szCs w:val="21"/>
                    </w:rPr>
                    <w:t>TA0</w:t>
                  </w:r>
                  <w:r>
                    <w:rPr>
                      <w:color w:val="auto"/>
                      <w:kern w:val="0"/>
                      <w:szCs w:val="21"/>
                    </w:rPr>
                    <w:t>01</w:t>
                  </w:r>
                </w:p>
              </w:tc>
              <w:tc>
                <w:tcPr>
                  <w:tcW w:w="867" w:type="dxa"/>
                  <w:vAlign w:val="center"/>
                </w:tcPr>
                <w:p w14:paraId="34014EBB">
                  <w:pPr>
                    <w:adjustRightInd w:val="0"/>
                    <w:snapToGrid w:val="0"/>
                    <w:spacing w:before="24" w:beforeLines="10" w:after="24" w:afterLines="10" w:line="259" w:lineRule="auto"/>
                    <w:jc w:val="center"/>
                    <w:rPr>
                      <w:color w:val="auto"/>
                      <w:kern w:val="0"/>
                      <w:szCs w:val="21"/>
                    </w:rPr>
                  </w:pPr>
                  <w:r>
                    <w:rPr>
                      <w:rFonts w:hint="eastAsia"/>
                      <w:color w:val="auto"/>
                      <w:kern w:val="0"/>
                      <w:szCs w:val="21"/>
                    </w:rPr>
                    <w:t>尾水罐+人工湿地</w:t>
                  </w:r>
                </w:p>
              </w:tc>
              <w:tc>
                <w:tcPr>
                  <w:tcW w:w="802" w:type="dxa"/>
                  <w:vAlign w:val="center"/>
                </w:tcPr>
                <w:p w14:paraId="313635D9">
                  <w:pPr>
                    <w:adjustRightInd w:val="0"/>
                    <w:snapToGrid w:val="0"/>
                    <w:spacing w:before="24" w:beforeLines="10" w:after="24" w:afterLines="10" w:line="259" w:lineRule="auto"/>
                    <w:jc w:val="center"/>
                    <w:rPr>
                      <w:color w:val="auto"/>
                      <w:kern w:val="0"/>
                      <w:szCs w:val="21"/>
                    </w:rPr>
                  </w:pPr>
                  <w:r>
                    <w:rPr>
                      <w:rFonts w:hint="eastAsia"/>
                      <w:color w:val="auto"/>
                      <w:kern w:val="0"/>
                      <w:szCs w:val="21"/>
                    </w:rPr>
                    <w:t>生态净化</w:t>
                  </w:r>
                </w:p>
              </w:tc>
              <w:tc>
                <w:tcPr>
                  <w:tcW w:w="412" w:type="dxa"/>
                  <w:vAlign w:val="center"/>
                </w:tcPr>
                <w:p w14:paraId="07BC9E7A">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755" w:type="dxa"/>
                  <w:vAlign w:val="center"/>
                </w:tcPr>
                <w:p w14:paraId="6A185D39">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606" w:type="dxa"/>
                  <w:vAlign w:val="center"/>
                </w:tcPr>
                <w:p w14:paraId="43BD48AC">
                  <w:pPr>
                    <w:adjustRightInd w:val="0"/>
                    <w:snapToGrid w:val="0"/>
                    <w:spacing w:before="24" w:beforeLines="10" w:after="24" w:afterLines="10" w:line="259" w:lineRule="auto"/>
                    <w:jc w:val="center"/>
                    <w:rPr>
                      <w:color w:val="auto"/>
                      <w:kern w:val="0"/>
                      <w:szCs w:val="21"/>
                    </w:rPr>
                  </w:pPr>
                  <w:r>
                    <w:rPr>
                      <w:color w:val="auto"/>
                      <w:kern w:val="0"/>
                      <w:szCs w:val="21"/>
                    </w:rPr>
                    <w:t>/</w:t>
                  </w:r>
                </w:p>
              </w:tc>
            </w:tr>
            <w:tr w14:paraId="010D3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426" w:type="dxa"/>
                  <w:vAlign w:val="center"/>
                </w:tcPr>
                <w:p w14:paraId="57036837">
                  <w:pPr>
                    <w:adjustRightInd w:val="0"/>
                    <w:snapToGrid w:val="0"/>
                    <w:spacing w:before="24" w:beforeLines="10" w:after="24" w:afterLines="10" w:line="259" w:lineRule="auto"/>
                    <w:jc w:val="center"/>
                    <w:rPr>
                      <w:color w:val="auto"/>
                      <w:kern w:val="0"/>
                      <w:szCs w:val="21"/>
                    </w:rPr>
                  </w:pPr>
                  <w:r>
                    <w:rPr>
                      <w:color w:val="auto"/>
                      <w:kern w:val="0"/>
                      <w:szCs w:val="21"/>
                    </w:rPr>
                    <w:t>2</w:t>
                  </w:r>
                </w:p>
              </w:tc>
              <w:tc>
                <w:tcPr>
                  <w:tcW w:w="668" w:type="dxa"/>
                  <w:vAlign w:val="center"/>
                </w:tcPr>
                <w:p w14:paraId="38C1E8BD">
                  <w:pPr>
                    <w:adjustRightInd w:val="0"/>
                    <w:snapToGrid w:val="0"/>
                    <w:spacing w:before="24" w:beforeLines="10" w:after="24" w:afterLines="10" w:line="259" w:lineRule="auto"/>
                    <w:jc w:val="center"/>
                    <w:rPr>
                      <w:color w:val="auto"/>
                      <w:kern w:val="0"/>
                      <w:szCs w:val="21"/>
                    </w:rPr>
                  </w:pPr>
                  <w:r>
                    <w:rPr>
                      <w:rFonts w:hint="eastAsia"/>
                      <w:color w:val="auto"/>
                      <w:kern w:val="0"/>
                      <w:szCs w:val="21"/>
                    </w:rPr>
                    <w:t>养殖尾水</w:t>
                  </w:r>
                </w:p>
              </w:tc>
              <w:tc>
                <w:tcPr>
                  <w:tcW w:w="1039" w:type="dxa"/>
                  <w:vAlign w:val="center"/>
                </w:tcPr>
                <w:p w14:paraId="020A5D93">
                  <w:pPr>
                    <w:adjustRightInd w:val="0"/>
                    <w:snapToGrid w:val="0"/>
                    <w:spacing w:before="24" w:beforeLines="10" w:after="24" w:afterLines="10" w:line="259" w:lineRule="auto"/>
                    <w:jc w:val="center"/>
                    <w:rPr>
                      <w:color w:val="auto"/>
                      <w:kern w:val="0"/>
                      <w:szCs w:val="21"/>
                    </w:rPr>
                  </w:pPr>
                  <w:r>
                    <w:rPr>
                      <w:color w:val="auto"/>
                      <w:kern w:val="0"/>
                      <w:szCs w:val="21"/>
                    </w:rPr>
                    <w:t>BOD</w:t>
                  </w:r>
                  <w:r>
                    <w:rPr>
                      <w:color w:val="auto"/>
                      <w:kern w:val="0"/>
                      <w:szCs w:val="21"/>
                      <w:vertAlign w:val="subscript"/>
                    </w:rPr>
                    <w:t>5</w:t>
                  </w:r>
                  <w:r>
                    <w:rPr>
                      <w:color w:val="auto"/>
                      <w:kern w:val="0"/>
                      <w:szCs w:val="21"/>
                    </w:rPr>
                    <w:t>、</w:t>
                  </w:r>
                  <w:r>
                    <w:rPr>
                      <w:rFonts w:hint="eastAsia"/>
                      <w:color w:val="auto"/>
                      <w:kern w:val="0"/>
                      <w:szCs w:val="21"/>
                    </w:rPr>
                    <w:t>总磷、总氮</w:t>
                  </w:r>
                </w:p>
              </w:tc>
              <w:tc>
                <w:tcPr>
                  <w:tcW w:w="661" w:type="dxa"/>
                  <w:vAlign w:val="center"/>
                </w:tcPr>
                <w:p w14:paraId="62B48BBE">
                  <w:pPr>
                    <w:adjustRightInd w:val="0"/>
                    <w:snapToGrid w:val="0"/>
                    <w:spacing w:before="24" w:beforeLines="10" w:after="24" w:afterLines="10" w:line="259" w:lineRule="auto"/>
                    <w:jc w:val="center"/>
                    <w:rPr>
                      <w:color w:val="auto"/>
                      <w:kern w:val="0"/>
                      <w:szCs w:val="21"/>
                    </w:rPr>
                  </w:pPr>
                  <w:r>
                    <w:rPr>
                      <w:color w:val="auto"/>
                      <w:kern w:val="0"/>
                      <w:szCs w:val="21"/>
                    </w:rPr>
                    <w:t>不外排</w:t>
                  </w:r>
                </w:p>
              </w:tc>
              <w:tc>
                <w:tcPr>
                  <w:tcW w:w="518" w:type="dxa"/>
                  <w:vAlign w:val="center"/>
                </w:tcPr>
                <w:p w14:paraId="4361F2D5">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811" w:type="dxa"/>
                  <w:vAlign w:val="center"/>
                </w:tcPr>
                <w:p w14:paraId="1FADBB0F">
                  <w:pPr>
                    <w:adjustRightInd w:val="0"/>
                    <w:snapToGrid w:val="0"/>
                    <w:spacing w:before="24" w:beforeLines="10" w:after="24" w:afterLines="10" w:line="259" w:lineRule="auto"/>
                    <w:jc w:val="center"/>
                    <w:rPr>
                      <w:color w:val="auto"/>
                      <w:kern w:val="0"/>
                      <w:szCs w:val="21"/>
                    </w:rPr>
                  </w:pPr>
                  <w:r>
                    <w:rPr>
                      <w:rFonts w:hint="eastAsia"/>
                      <w:color w:val="auto"/>
                      <w:kern w:val="0"/>
                      <w:szCs w:val="21"/>
                    </w:rPr>
                    <w:t>TA</w:t>
                  </w:r>
                  <w:r>
                    <w:rPr>
                      <w:color w:val="auto"/>
                      <w:kern w:val="0"/>
                      <w:szCs w:val="21"/>
                    </w:rPr>
                    <w:t>0</w:t>
                  </w:r>
                  <w:r>
                    <w:rPr>
                      <w:rFonts w:hint="eastAsia"/>
                      <w:color w:val="auto"/>
                      <w:kern w:val="0"/>
                      <w:szCs w:val="21"/>
                    </w:rPr>
                    <w:t>01</w:t>
                  </w:r>
                </w:p>
              </w:tc>
              <w:tc>
                <w:tcPr>
                  <w:tcW w:w="867" w:type="dxa"/>
                  <w:vAlign w:val="center"/>
                </w:tcPr>
                <w:p w14:paraId="66EDF494">
                  <w:pPr>
                    <w:adjustRightInd w:val="0"/>
                    <w:snapToGrid w:val="0"/>
                    <w:spacing w:before="24" w:beforeLines="10" w:after="24" w:afterLines="10" w:line="259" w:lineRule="auto"/>
                    <w:jc w:val="center"/>
                    <w:rPr>
                      <w:color w:val="auto"/>
                      <w:kern w:val="0"/>
                      <w:szCs w:val="21"/>
                    </w:rPr>
                  </w:pPr>
                  <w:r>
                    <w:rPr>
                      <w:rFonts w:hint="eastAsia"/>
                      <w:color w:val="auto"/>
                      <w:kern w:val="0"/>
                      <w:szCs w:val="21"/>
                    </w:rPr>
                    <w:t>人工湿地</w:t>
                  </w:r>
                </w:p>
              </w:tc>
              <w:tc>
                <w:tcPr>
                  <w:tcW w:w="802" w:type="dxa"/>
                  <w:vAlign w:val="center"/>
                </w:tcPr>
                <w:p w14:paraId="51CCD291">
                  <w:pPr>
                    <w:adjustRightInd w:val="0"/>
                    <w:snapToGrid w:val="0"/>
                    <w:spacing w:before="24" w:beforeLines="10" w:after="24" w:afterLines="10" w:line="259" w:lineRule="auto"/>
                    <w:jc w:val="center"/>
                    <w:rPr>
                      <w:color w:val="auto"/>
                      <w:kern w:val="0"/>
                      <w:szCs w:val="21"/>
                    </w:rPr>
                  </w:pPr>
                  <w:r>
                    <w:rPr>
                      <w:rFonts w:hint="eastAsia"/>
                      <w:color w:val="auto"/>
                      <w:kern w:val="0"/>
                      <w:szCs w:val="21"/>
                    </w:rPr>
                    <w:t>生态净化</w:t>
                  </w:r>
                </w:p>
              </w:tc>
              <w:tc>
                <w:tcPr>
                  <w:tcW w:w="412" w:type="dxa"/>
                  <w:vAlign w:val="center"/>
                </w:tcPr>
                <w:p w14:paraId="39B6E7BB">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755" w:type="dxa"/>
                  <w:vAlign w:val="center"/>
                </w:tcPr>
                <w:p w14:paraId="38E4CFB8">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606" w:type="dxa"/>
                  <w:vAlign w:val="center"/>
                </w:tcPr>
                <w:p w14:paraId="3D019711">
                  <w:pPr>
                    <w:adjustRightInd w:val="0"/>
                    <w:snapToGrid w:val="0"/>
                    <w:spacing w:before="24" w:beforeLines="10" w:after="24" w:afterLines="10" w:line="259" w:lineRule="auto"/>
                    <w:jc w:val="center"/>
                    <w:rPr>
                      <w:color w:val="auto"/>
                      <w:kern w:val="0"/>
                      <w:szCs w:val="21"/>
                    </w:rPr>
                  </w:pPr>
                  <w:r>
                    <w:rPr>
                      <w:color w:val="auto"/>
                      <w:kern w:val="0"/>
                      <w:szCs w:val="21"/>
                    </w:rPr>
                    <w:t>/</w:t>
                  </w:r>
                </w:p>
              </w:tc>
            </w:tr>
            <w:tr w14:paraId="3BB73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426" w:type="dxa"/>
                  <w:vAlign w:val="center"/>
                </w:tcPr>
                <w:p w14:paraId="73EE8ED9">
                  <w:pPr>
                    <w:adjustRightInd w:val="0"/>
                    <w:snapToGrid w:val="0"/>
                    <w:spacing w:before="24" w:beforeLines="10" w:after="24" w:afterLines="10" w:line="259" w:lineRule="auto"/>
                    <w:jc w:val="center"/>
                    <w:rPr>
                      <w:color w:val="auto"/>
                      <w:kern w:val="0"/>
                      <w:szCs w:val="21"/>
                    </w:rPr>
                  </w:pPr>
                  <w:r>
                    <w:rPr>
                      <w:rFonts w:hint="eastAsia"/>
                      <w:color w:val="auto"/>
                      <w:kern w:val="0"/>
                      <w:szCs w:val="21"/>
                    </w:rPr>
                    <w:t>3</w:t>
                  </w:r>
                </w:p>
              </w:tc>
              <w:tc>
                <w:tcPr>
                  <w:tcW w:w="668" w:type="dxa"/>
                  <w:vAlign w:val="center"/>
                </w:tcPr>
                <w:p w14:paraId="21EB0AB4">
                  <w:pPr>
                    <w:adjustRightInd w:val="0"/>
                    <w:snapToGrid w:val="0"/>
                    <w:spacing w:before="24" w:beforeLines="10" w:after="24" w:afterLines="10" w:line="259" w:lineRule="auto"/>
                    <w:jc w:val="center"/>
                    <w:rPr>
                      <w:color w:val="auto"/>
                      <w:kern w:val="0"/>
                      <w:szCs w:val="21"/>
                    </w:rPr>
                  </w:pPr>
                  <w:r>
                    <w:rPr>
                      <w:rFonts w:hint="eastAsia"/>
                      <w:color w:val="auto"/>
                      <w:kern w:val="0"/>
                      <w:szCs w:val="21"/>
                    </w:rPr>
                    <w:t>生活污水</w:t>
                  </w:r>
                </w:p>
              </w:tc>
              <w:tc>
                <w:tcPr>
                  <w:tcW w:w="1039" w:type="dxa"/>
                  <w:vAlign w:val="center"/>
                </w:tcPr>
                <w:p w14:paraId="510661BF">
                  <w:pPr>
                    <w:adjustRightInd w:val="0"/>
                    <w:snapToGrid w:val="0"/>
                    <w:spacing w:before="24" w:beforeLines="10" w:after="24" w:afterLines="10" w:line="259" w:lineRule="auto"/>
                    <w:jc w:val="center"/>
                    <w:rPr>
                      <w:color w:val="auto"/>
                      <w:kern w:val="0"/>
                      <w:szCs w:val="21"/>
                    </w:rPr>
                  </w:pPr>
                  <w:r>
                    <w:rPr>
                      <w:rFonts w:hint="eastAsia"/>
                      <w:color w:val="auto"/>
                      <w:kern w:val="0"/>
                      <w:szCs w:val="21"/>
                    </w:rPr>
                    <w:t>COD、BOD、氨氮</w:t>
                  </w:r>
                </w:p>
              </w:tc>
              <w:tc>
                <w:tcPr>
                  <w:tcW w:w="661" w:type="dxa"/>
                  <w:vAlign w:val="center"/>
                </w:tcPr>
                <w:p w14:paraId="7CE0CBBA">
                  <w:pPr>
                    <w:adjustRightInd w:val="0"/>
                    <w:snapToGrid w:val="0"/>
                    <w:spacing w:before="24" w:beforeLines="10" w:after="24" w:afterLines="10" w:line="259" w:lineRule="auto"/>
                    <w:jc w:val="center"/>
                    <w:rPr>
                      <w:color w:val="auto"/>
                      <w:kern w:val="0"/>
                      <w:szCs w:val="21"/>
                    </w:rPr>
                  </w:pPr>
                  <w:r>
                    <w:rPr>
                      <w:rFonts w:hint="eastAsia"/>
                      <w:color w:val="auto"/>
                      <w:kern w:val="0"/>
                      <w:szCs w:val="21"/>
                    </w:rPr>
                    <w:t>农田菜地施肥</w:t>
                  </w:r>
                </w:p>
              </w:tc>
              <w:tc>
                <w:tcPr>
                  <w:tcW w:w="518" w:type="dxa"/>
                  <w:vAlign w:val="center"/>
                </w:tcPr>
                <w:p w14:paraId="56F49BA0">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811" w:type="dxa"/>
                  <w:vAlign w:val="center"/>
                </w:tcPr>
                <w:p w14:paraId="0103291D">
                  <w:pPr>
                    <w:adjustRightInd w:val="0"/>
                    <w:snapToGrid w:val="0"/>
                    <w:spacing w:before="24" w:beforeLines="10" w:after="24" w:afterLines="10" w:line="259" w:lineRule="auto"/>
                    <w:jc w:val="center"/>
                    <w:rPr>
                      <w:color w:val="auto"/>
                      <w:kern w:val="0"/>
                      <w:szCs w:val="21"/>
                    </w:rPr>
                  </w:pPr>
                  <w:r>
                    <w:rPr>
                      <w:rFonts w:hint="eastAsia"/>
                      <w:color w:val="auto"/>
                      <w:kern w:val="0"/>
                      <w:szCs w:val="21"/>
                    </w:rPr>
                    <w:t>TA</w:t>
                  </w:r>
                  <w:r>
                    <w:rPr>
                      <w:color w:val="auto"/>
                      <w:kern w:val="0"/>
                      <w:szCs w:val="21"/>
                    </w:rPr>
                    <w:t>0</w:t>
                  </w:r>
                  <w:r>
                    <w:rPr>
                      <w:rFonts w:hint="eastAsia"/>
                      <w:color w:val="auto"/>
                      <w:kern w:val="0"/>
                      <w:szCs w:val="21"/>
                    </w:rPr>
                    <w:t>03</w:t>
                  </w:r>
                </w:p>
              </w:tc>
              <w:tc>
                <w:tcPr>
                  <w:tcW w:w="867" w:type="dxa"/>
                  <w:vAlign w:val="center"/>
                </w:tcPr>
                <w:p w14:paraId="714CE4CB">
                  <w:pPr>
                    <w:adjustRightInd w:val="0"/>
                    <w:snapToGrid w:val="0"/>
                    <w:spacing w:before="24" w:beforeLines="10" w:after="24" w:afterLines="10" w:line="259" w:lineRule="auto"/>
                    <w:jc w:val="center"/>
                    <w:rPr>
                      <w:color w:val="auto"/>
                      <w:kern w:val="0"/>
                      <w:szCs w:val="21"/>
                    </w:rPr>
                  </w:pPr>
                  <w:r>
                    <w:rPr>
                      <w:rFonts w:hint="eastAsia"/>
                      <w:color w:val="auto"/>
                      <w:kern w:val="0"/>
                      <w:szCs w:val="21"/>
                    </w:rPr>
                    <w:t>化粪池</w:t>
                  </w:r>
                </w:p>
              </w:tc>
              <w:tc>
                <w:tcPr>
                  <w:tcW w:w="802" w:type="dxa"/>
                  <w:vAlign w:val="center"/>
                </w:tcPr>
                <w:p w14:paraId="2DF246D8">
                  <w:pPr>
                    <w:adjustRightInd w:val="0"/>
                    <w:snapToGrid w:val="0"/>
                    <w:spacing w:before="24" w:beforeLines="10" w:after="24" w:afterLines="10" w:line="259" w:lineRule="auto"/>
                    <w:jc w:val="center"/>
                    <w:rPr>
                      <w:color w:val="auto"/>
                      <w:kern w:val="0"/>
                      <w:szCs w:val="21"/>
                    </w:rPr>
                  </w:pPr>
                  <w:r>
                    <w:rPr>
                      <w:rFonts w:hint="eastAsia"/>
                      <w:color w:val="auto"/>
                      <w:kern w:val="0"/>
                      <w:szCs w:val="21"/>
                    </w:rPr>
                    <w:t>厌氧</w:t>
                  </w:r>
                </w:p>
              </w:tc>
              <w:tc>
                <w:tcPr>
                  <w:tcW w:w="412" w:type="dxa"/>
                  <w:vAlign w:val="center"/>
                </w:tcPr>
                <w:p w14:paraId="42949EAA">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755" w:type="dxa"/>
                  <w:vAlign w:val="center"/>
                </w:tcPr>
                <w:p w14:paraId="5A97C390">
                  <w:pPr>
                    <w:adjustRightInd w:val="0"/>
                    <w:snapToGrid w:val="0"/>
                    <w:spacing w:before="24" w:beforeLines="10" w:after="24" w:afterLines="10" w:line="259" w:lineRule="auto"/>
                    <w:jc w:val="center"/>
                    <w:rPr>
                      <w:color w:val="auto"/>
                      <w:kern w:val="0"/>
                      <w:szCs w:val="21"/>
                    </w:rPr>
                  </w:pPr>
                  <w:r>
                    <w:rPr>
                      <w:color w:val="auto"/>
                      <w:kern w:val="0"/>
                      <w:szCs w:val="21"/>
                    </w:rPr>
                    <w:t>/</w:t>
                  </w:r>
                </w:p>
              </w:tc>
              <w:tc>
                <w:tcPr>
                  <w:tcW w:w="606" w:type="dxa"/>
                  <w:vAlign w:val="center"/>
                </w:tcPr>
                <w:p w14:paraId="0B36430F">
                  <w:pPr>
                    <w:adjustRightInd w:val="0"/>
                    <w:snapToGrid w:val="0"/>
                    <w:spacing w:before="24" w:beforeLines="10" w:after="24" w:afterLines="10" w:line="259" w:lineRule="auto"/>
                    <w:jc w:val="center"/>
                    <w:rPr>
                      <w:color w:val="auto"/>
                      <w:kern w:val="0"/>
                      <w:szCs w:val="21"/>
                    </w:rPr>
                  </w:pPr>
                  <w:r>
                    <w:rPr>
                      <w:color w:val="auto"/>
                      <w:kern w:val="0"/>
                      <w:szCs w:val="21"/>
                    </w:rPr>
                    <w:t>/</w:t>
                  </w:r>
                </w:p>
              </w:tc>
            </w:tr>
          </w:tbl>
          <w:p w14:paraId="7FE40E8E">
            <w:pPr>
              <w:tabs>
                <w:tab w:val="left" w:pos="0"/>
              </w:tabs>
              <w:spacing w:line="360" w:lineRule="auto"/>
              <w:ind w:firstLine="482" w:firstLineChars="200"/>
              <w:rPr>
                <w:b/>
                <w:bCs/>
                <w:color w:val="auto"/>
                <w:sz w:val="24"/>
                <w:szCs w:val="20"/>
                <w:u w:val="single"/>
              </w:rPr>
            </w:pPr>
            <w:r>
              <w:rPr>
                <w:rFonts w:hint="eastAsia"/>
                <w:b/>
                <w:bCs/>
                <w:color w:val="auto"/>
                <w:sz w:val="24"/>
                <w:szCs w:val="20"/>
                <w:u w:val="single"/>
              </w:rPr>
              <w:t>2</w:t>
            </w:r>
            <w:r>
              <w:rPr>
                <w:b/>
                <w:bCs/>
                <w:color w:val="auto"/>
                <w:sz w:val="24"/>
                <w:szCs w:val="20"/>
                <w:u w:val="single"/>
              </w:rPr>
              <w:t>.3、人工湿地植被收割管理和运维要求</w:t>
            </w:r>
          </w:p>
          <w:p w14:paraId="6B0F47AF">
            <w:pPr>
              <w:spacing w:line="360" w:lineRule="auto"/>
              <w:ind w:firstLine="480" w:firstLineChars="200"/>
              <w:jc w:val="left"/>
              <w:rPr>
                <w:bCs/>
                <w:color w:val="auto"/>
                <w:sz w:val="24"/>
                <w:szCs w:val="20"/>
                <w:u w:val="single"/>
              </w:rPr>
            </w:pPr>
            <w:r>
              <w:rPr>
                <w:rFonts w:hint="eastAsia"/>
                <w:bCs/>
                <w:color w:val="auto"/>
                <w:sz w:val="24"/>
                <w:szCs w:val="20"/>
                <w:u w:val="single"/>
              </w:rPr>
              <w:t>植被收割管理：人工湿地植被收割宜选在秋冬植株枯萎期，每年开展1-2次，收割时优先处理完全枯萎、倒伏的植株，保留10-15cm茎秆以减少对湿地土壤和根系的破坏，同时避免过度收割导致植被覆盖率不足；收割后的植株需及时清运出场，防止在湿地内腐烂变质，产生二次污染或堵塞水流通道。运维过程中，需定期清理进水口、出水口及植被间隙的枯枝、落叶、垃圾等杂物，保障水流顺畅.</w:t>
            </w:r>
          </w:p>
          <w:p w14:paraId="443DE635">
            <w:pPr>
              <w:spacing w:line="360" w:lineRule="auto"/>
              <w:ind w:firstLine="480" w:firstLineChars="200"/>
              <w:jc w:val="left"/>
              <w:rPr>
                <w:bCs/>
                <w:color w:val="auto"/>
                <w:sz w:val="24"/>
                <w:szCs w:val="20"/>
                <w:u w:val="single"/>
              </w:rPr>
            </w:pPr>
            <w:r>
              <w:rPr>
                <w:rFonts w:hint="eastAsia"/>
                <w:bCs/>
                <w:color w:val="auto"/>
                <w:sz w:val="24"/>
                <w:szCs w:val="20"/>
                <w:u w:val="single"/>
              </w:rPr>
              <w:t>运维要求：每季度检查植被生长状态，对枯萎、死亡或长势稀疏的区域及时补植适配的本土湿地植物，维持植被群落稳定性；每月监测湿地进出水水质，重点关注 COD、氨氮、总磷等指标，若污染物浓度升高，可适当增加收割频率或调整植被补植密度；此外，还需定期巡查湿地堤坝、防渗层，及时修补破损处，避免出现漏水、渗水问题，确保湿地净化功能持续稳定发挥。</w:t>
            </w:r>
          </w:p>
          <w:p w14:paraId="15B54CCF">
            <w:pPr>
              <w:tabs>
                <w:tab w:val="left" w:pos="0"/>
              </w:tabs>
              <w:spacing w:line="360" w:lineRule="auto"/>
              <w:ind w:firstLine="482" w:firstLineChars="200"/>
              <w:rPr>
                <w:b/>
                <w:bCs/>
                <w:color w:val="auto"/>
                <w:sz w:val="24"/>
                <w:szCs w:val="20"/>
              </w:rPr>
            </w:pPr>
            <w:r>
              <w:rPr>
                <w:rFonts w:hint="eastAsia"/>
                <w:b/>
                <w:bCs/>
                <w:color w:val="auto"/>
                <w:sz w:val="24"/>
                <w:szCs w:val="20"/>
              </w:rPr>
              <w:t>2.4、</w:t>
            </w:r>
            <w:r>
              <w:rPr>
                <w:b/>
                <w:bCs/>
                <w:color w:val="auto"/>
                <w:sz w:val="24"/>
                <w:szCs w:val="20"/>
              </w:rPr>
              <w:t>其他管理措施：</w:t>
            </w:r>
          </w:p>
          <w:p w14:paraId="67505499">
            <w:pPr>
              <w:spacing w:line="360" w:lineRule="auto"/>
              <w:ind w:firstLine="480" w:firstLineChars="200"/>
              <w:jc w:val="left"/>
              <w:rPr>
                <w:rFonts w:ascii="宋体" w:hAnsi="Courier New"/>
                <w:color w:val="auto"/>
                <w:sz w:val="28"/>
                <w:szCs w:val="20"/>
              </w:rPr>
            </w:pPr>
            <w:r>
              <w:rPr>
                <w:bCs/>
                <w:color w:val="auto"/>
                <w:sz w:val="24"/>
                <w:szCs w:val="20"/>
              </w:rPr>
              <w:t>若因运营期因管理不当，</w:t>
            </w:r>
            <w:r>
              <w:rPr>
                <w:rFonts w:hint="eastAsia"/>
                <w:bCs/>
                <w:color w:val="auto"/>
                <w:sz w:val="24"/>
                <w:szCs w:val="20"/>
              </w:rPr>
              <w:t>可能会发生</w:t>
            </w:r>
            <w:r>
              <w:rPr>
                <w:bCs/>
                <w:color w:val="auto"/>
                <w:sz w:val="24"/>
                <w:szCs w:val="20"/>
              </w:rPr>
              <w:t>水质污染</w:t>
            </w:r>
            <w:r>
              <w:rPr>
                <w:rFonts w:hint="eastAsia"/>
                <w:bCs/>
                <w:color w:val="auto"/>
                <w:sz w:val="24"/>
                <w:szCs w:val="20"/>
              </w:rPr>
              <w:t>的情况，</w:t>
            </w:r>
            <w:r>
              <w:rPr>
                <w:bCs/>
                <w:color w:val="auto"/>
                <w:sz w:val="24"/>
                <w:szCs w:val="20"/>
              </w:rPr>
              <w:t>为将废水对周围水域的影响</w:t>
            </w:r>
            <w:r>
              <w:rPr>
                <w:rFonts w:hint="eastAsia"/>
                <w:bCs/>
                <w:color w:val="auto"/>
                <w:sz w:val="24"/>
                <w:szCs w:val="20"/>
              </w:rPr>
              <w:t>降</w:t>
            </w:r>
            <w:r>
              <w:rPr>
                <w:bCs/>
                <w:color w:val="auto"/>
                <w:sz w:val="24"/>
                <w:szCs w:val="20"/>
              </w:rPr>
              <w:t>至最低，本环评建议项目应同时采取以下措施：①</w:t>
            </w:r>
            <w:r>
              <w:rPr>
                <w:rFonts w:hint="eastAsia"/>
                <w:bCs/>
                <w:color w:val="auto"/>
                <w:sz w:val="24"/>
                <w:szCs w:val="20"/>
              </w:rPr>
              <w:t>尾水罐定期清淤：每2个月清理一次水罐底部的沉积物（如淤泥、残饵），避免沉积物厌氧发酵产生黑水，同时保证尾水罐的有效容积，确保水量缓冲和沉淀效果</w:t>
            </w:r>
            <w:r>
              <w:rPr>
                <w:bCs/>
                <w:color w:val="auto"/>
                <w:sz w:val="24"/>
                <w:szCs w:val="20"/>
              </w:rPr>
              <w:t>；②</w:t>
            </w:r>
            <w:r>
              <w:rPr>
                <w:rFonts w:hint="eastAsia"/>
                <w:bCs/>
                <w:color w:val="auto"/>
                <w:sz w:val="24"/>
                <w:szCs w:val="20"/>
              </w:rPr>
              <w:t>定期收割人工湿地植物：当芦苇、菖蒲等植物生长过密或枯萎时及时收割，避免腐烂污染水体，同时促进植物新叶生长，增强污染物吸收能力</w:t>
            </w:r>
            <w:r>
              <w:rPr>
                <w:bCs/>
                <w:color w:val="auto"/>
                <w:sz w:val="24"/>
                <w:szCs w:val="20"/>
              </w:rPr>
              <w:t>；③</w:t>
            </w:r>
            <w:r>
              <w:rPr>
                <w:rFonts w:hint="eastAsia"/>
                <w:bCs/>
                <w:color w:val="auto"/>
                <w:sz w:val="24"/>
                <w:szCs w:val="20"/>
              </w:rPr>
              <w:t>补充湿地填料：若发现湿地填料（如碎石、砂）出现堵塞或流失，及时清理堵塞物或补充填料，维持湿地的渗透和过滤功能；</w:t>
            </w:r>
            <w:r>
              <w:rPr>
                <w:bCs/>
                <w:color w:val="auto"/>
                <w:sz w:val="24"/>
                <w:szCs w:val="20"/>
              </w:rPr>
              <w:t>④加强宣传教育，提高企业员工对地表水保护重要性的认识，增强爱护水资源的环保意识。</w:t>
            </w:r>
          </w:p>
          <w:p w14:paraId="0FCA62A7">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3、噪声防治措施</w:t>
            </w:r>
          </w:p>
          <w:p w14:paraId="623757D0">
            <w:pPr>
              <w:spacing w:line="360" w:lineRule="auto"/>
              <w:ind w:firstLine="480" w:firstLineChars="200"/>
              <w:jc w:val="left"/>
              <w:rPr>
                <w:color w:val="auto"/>
                <w:sz w:val="24"/>
              </w:rPr>
            </w:pPr>
            <w:r>
              <w:rPr>
                <w:color w:val="auto"/>
                <w:sz w:val="24"/>
              </w:rPr>
              <w:t>本项目办公</w:t>
            </w:r>
            <w:r>
              <w:rPr>
                <w:rFonts w:hint="eastAsia"/>
                <w:color w:val="auto"/>
                <w:sz w:val="24"/>
              </w:rPr>
              <w:t>区</w:t>
            </w:r>
            <w:r>
              <w:rPr>
                <w:color w:val="auto"/>
                <w:sz w:val="24"/>
              </w:rPr>
              <w:t>与仓储区的噪声类型为生活噪声</w:t>
            </w:r>
            <w:r>
              <w:rPr>
                <w:rFonts w:hint="eastAsia"/>
                <w:color w:val="auto"/>
                <w:sz w:val="24"/>
              </w:rPr>
              <w:t>，</w:t>
            </w:r>
            <w:r>
              <w:rPr>
                <w:color w:val="auto"/>
                <w:sz w:val="24"/>
              </w:rPr>
              <w:t>养殖区域为</w:t>
            </w:r>
            <w:r>
              <w:rPr>
                <w:rFonts w:hint="eastAsia"/>
                <w:color w:val="auto"/>
                <w:sz w:val="24"/>
              </w:rPr>
              <w:t>运营期</w:t>
            </w:r>
            <w:r>
              <w:rPr>
                <w:color w:val="auto"/>
                <w:sz w:val="24"/>
              </w:rPr>
              <w:t>核心噪声源，该区域噪声主要来源于两方面：一是设备运行过程中产生的噪声</w:t>
            </w:r>
            <w:r>
              <w:rPr>
                <w:rFonts w:hint="eastAsia"/>
                <w:color w:val="auto"/>
                <w:sz w:val="24"/>
              </w:rPr>
              <w:t>（风机、轨道运输车、吸污泵、柴油发电机等）</w:t>
            </w:r>
            <w:r>
              <w:rPr>
                <w:color w:val="auto"/>
                <w:sz w:val="24"/>
              </w:rPr>
              <w:t>，二是运输车辆流动过程中产生的噪声</w:t>
            </w:r>
            <w:r>
              <w:rPr>
                <w:rFonts w:hint="eastAsia"/>
                <w:color w:val="auto"/>
                <w:sz w:val="24"/>
              </w:rPr>
              <w:t>，</w:t>
            </w:r>
            <w:r>
              <w:rPr>
                <w:color w:val="auto"/>
                <w:sz w:val="24"/>
              </w:rPr>
              <w:t>其噪声级范围约为</w:t>
            </w:r>
            <w:r>
              <w:rPr>
                <w:rFonts w:hint="eastAsia"/>
                <w:color w:val="auto"/>
                <w:sz w:val="24"/>
              </w:rPr>
              <w:t>65</w:t>
            </w:r>
            <w:r>
              <w:rPr>
                <w:color w:val="auto"/>
                <w:sz w:val="24"/>
              </w:rPr>
              <w:t>~</w:t>
            </w:r>
            <w:r>
              <w:rPr>
                <w:rFonts w:hint="eastAsia"/>
                <w:color w:val="auto"/>
                <w:sz w:val="24"/>
              </w:rPr>
              <w:t>85</w:t>
            </w:r>
            <w:r>
              <w:rPr>
                <w:color w:val="auto"/>
                <w:sz w:val="24"/>
              </w:rPr>
              <w:t>dB（A）。</w:t>
            </w:r>
          </w:p>
          <w:p w14:paraId="0030BAC8">
            <w:pPr>
              <w:spacing w:line="360" w:lineRule="auto"/>
              <w:ind w:firstLine="480" w:firstLineChars="200"/>
              <w:rPr>
                <w:color w:val="auto"/>
                <w:sz w:val="24"/>
              </w:rPr>
            </w:pPr>
            <w:r>
              <w:rPr>
                <w:color w:val="auto"/>
                <w:sz w:val="24"/>
              </w:rPr>
              <w:t>为确保项目</w:t>
            </w:r>
            <w:r>
              <w:rPr>
                <w:rFonts w:hint="eastAsia"/>
                <w:color w:val="auto"/>
                <w:sz w:val="24"/>
              </w:rPr>
              <w:t>运营</w:t>
            </w:r>
            <w:r>
              <w:rPr>
                <w:color w:val="auto"/>
                <w:sz w:val="24"/>
              </w:rPr>
              <w:t>过程中厂界噪声达标排放，并进一步减轻噪声对周边环境的影响，环评根据现场踏勘建议建设单位采取以下措施：</w:t>
            </w:r>
          </w:p>
          <w:p w14:paraId="687A3391">
            <w:pPr>
              <w:spacing w:line="360" w:lineRule="auto"/>
              <w:ind w:firstLine="480" w:firstLineChars="200"/>
              <w:rPr>
                <w:color w:val="auto"/>
                <w:sz w:val="24"/>
              </w:rPr>
            </w:pPr>
            <w:r>
              <w:rPr>
                <w:color w:val="auto"/>
                <w:sz w:val="24"/>
              </w:rPr>
              <w:t>①在声源处降低噪声：罗茨风机替换为三叶低噪型（比传统二叶型噪声低5~8dB(A)），送料风机选用带消声结构的离心式风机，减少气流扰动噪声。在风机进、出风口安装阻抗复合式消声器，可降低气流噪声10~15dB(A)；消声器需定期清理，避免堵塞影响效果。风机底部垫弹簧减震器+橡胶减震垫，切断振动通过地面传播的路径，减少结构噪声。在发电机原有消声器基础上，额外安装抗性消声器；</w:t>
            </w:r>
            <w:r>
              <w:rPr>
                <w:rFonts w:hint="eastAsia"/>
                <w:color w:val="auto"/>
                <w:sz w:val="24"/>
              </w:rPr>
              <w:t>同时建议</w:t>
            </w:r>
            <w:r>
              <w:rPr>
                <w:rFonts w:ascii="Segoe UI" w:hAnsi="Segoe UI" w:eastAsia="Segoe UI" w:cs="Segoe UI"/>
                <w:color w:val="auto"/>
                <w:sz w:val="24"/>
                <w:shd w:val="clear" w:color="auto" w:fill="FFFFFF"/>
              </w:rPr>
              <w:t>将罗茨风机、主送料风机集中布置在养殖区边缘的</w:t>
            </w:r>
            <w:r>
              <w:rPr>
                <w:rFonts w:hint="eastAsia" w:ascii="Segoe UI" w:hAnsi="Segoe UI" w:cs="Segoe UI"/>
                <w:color w:val="auto"/>
                <w:sz w:val="24"/>
                <w:shd w:val="clear" w:color="auto" w:fill="FFFFFF"/>
              </w:rPr>
              <w:t>管理用房</w:t>
            </w:r>
            <w:r>
              <w:rPr>
                <w:rFonts w:ascii="Segoe UI" w:hAnsi="Segoe UI" w:eastAsia="Segoe UI" w:cs="Segoe UI"/>
                <w:color w:val="auto"/>
                <w:sz w:val="24"/>
                <w:shd w:val="clear" w:color="auto" w:fill="FFFFFF"/>
              </w:rPr>
              <w:t>内</w:t>
            </w:r>
            <w:r>
              <w:rPr>
                <w:rFonts w:hint="eastAsia" w:ascii="Segoe UI" w:hAnsi="Segoe UI" w:cs="Segoe UI"/>
                <w:color w:val="auto"/>
                <w:sz w:val="24"/>
                <w:shd w:val="clear" w:color="auto" w:fill="FFFFFF"/>
              </w:rPr>
              <w:t>。</w:t>
            </w:r>
          </w:p>
          <w:p w14:paraId="33192243">
            <w:pPr>
              <w:spacing w:line="360" w:lineRule="auto"/>
              <w:ind w:firstLine="480" w:firstLineChars="200"/>
              <w:rPr>
                <w:color w:val="auto"/>
                <w:sz w:val="24"/>
              </w:rPr>
            </w:pPr>
            <w:r>
              <w:rPr>
                <w:color w:val="auto"/>
                <w:sz w:val="24"/>
              </w:rPr>
              <w:t>②加强管理</w:t>
            </w:r>
            <w:r>
              <w:rPr>
                <w:rFonts w:hint="eastAsia"/>
                <w:color w:val="auto"/>
                <w:sz w:val="24"/>
              </w:rPr>
              <w:t>：</w:t>
            </w:r>
            <w:r>
              <w:rPr>
                <w:color w:val="auto"/>
                <w:sz w:val="24"/>
              </w:rPr>
              <w:t>建立设备定期维护，保养的管理制度，以防止设备故障形成的非正常生产噪声，每月对轨道运输车车轮轴承、驱动电机加润滑油，每季度检查车轮磨损情况，及时更换磨损车轮，减少摩擦噪声；电机外壳包裹薄型阻尼隔音毡，降低电磁噪声。吸污泵集中在9:00~11:00、14:00~16:00运行，避免在早晨、夜间启动，减少对</w:t>
            </w:r>
            <w:r>
              <w:rPr>
                <w:rFonts w:hint="eastAsia"/>
                <w:color w:val="auto"/>
                <w:sz w:val="24"/>
              </w:rPr>
              <w:t>周边</w:t>
            </w:r>
            <w:r>
              <w:rPr>
                <w:color w:val="auto"/>
                <w:sz w:val="24"/>
              </w:rPr>
              <w:t>人员的干扰。</w:t>
            </w:r>
          </w:p>
          <w:p w14:paraId="66442B5F">
            <w:pPr>
              <w:spacing w:line="360" w:lineRule="auto"/>
              <w:ind w:firstLine="480" w:firstLineChars="200"/>
              <w:rPr>
                <w:color w:val="auto"/>
                <w:sz w:val="24"/>
              </w:rPr>
            </w:pPr>
            <w:r>
              <w:rPr>
                <w:color w:val="auto"/>
                <w:sz w:val="24"/>
              </w:rPr>
              <w:t>③加强职工环保意识教育，提倡文明生产，防止人为噪声；建立设备定期维护，保养的管理制度，以防止设备故障形成的非正常生产噪声，同时确保环保措施发挥最佳有效的功能；</w:t>
            </w:r>
          </w:p>
          <w:p w14:paraId="6040BCD8">
            <w:pPr>
              <w:spacing w:line="360" w:lineRule="auto"/>
              <w:ind w:firstLine="480" w:firstLineChars="200"/>
              <w:rPr>
                <w:color w:val="auto"/>
                <w:sz w:val="24"/>
              </w:rPr>
            </w:pPr>
            <w:r>
              <w:rPr>
                <w:rFonts w:hint="eastAsia"/>
                <w:color w:val="auto"/>
                <w:sz w:val="24"/>
              </w:rPr>
              <w:t>在实行噪声控制措施后，可以大大减轻生产噪声对周围环境的影响，预计项目运营期区域声环境质量可维持在现有水平上。</w:t>
            </w:r>
          </w:p>
          <w:p w14:paraId="2E998270">
            <w:pPr>
              <w:spacing w:line="360" w:lineRule="auto"/>
              <w:ind w:firstLine="522" w:firstLineChars="200"/>
              <w:jc w:val="left"/>
              <w:rPr>
                <w:rFonts w:hint="eastAsia" w:ascii="宋体" w:hAnsi="宋体" w:cs="宋体"/>
                <w:b/>
                <w:color w:val="auto"/>
                <w:spacing w:val="10"/>
                <w:sz w:val="24"/>
              </w:rPr>
            </w:pPr>
            <w:r>
              <w:rPr>
                <w:rFonts w:hint="eastAsia" w:ascii="宋体" w:hAnsi="宋体" w:cs="宋体"/>
                <w:b/>
                <w:color w:val="auto"/>
                <w:spacing w:val="10"/>
                <w:sz w:val="24"/>
              </w:rPr>
              <w:t>4、固体废物污染防治措施</w:t>
            </w:r>
          </w:p>
          <w:p w14:paraId="522DBF9A">
            <w:pPr>
              <w:spacing w:line="360" w:lineRule="auto"/>
              <w:ind w:firstLine="480" w:firstLineChars="200"/>
              <w:rPr>
                <w:color w:val="auto"/>
                <w:kern w:val="0"/>
                <w:sz w:val="24"/>
                <w:lang w:bidi="ar"/>
              </w:rPr>
            </w:pPr>
            <w:r>
              <w:rPr>
                <w:rFonts w:hint="eastAsia" w:ascii="宋体" w:hAnsi="宋体" w:cs="宋体"/>
                <w:color w:val="auto"/>
                <w:kern w:val="0"/>
                <w:sz w:val="24"/>
                <w:lang w:bidi="ar"/>
              </w:rPr>
              <w:t>本项目一般废物主要为尾水塔固液分离过程产生的污泥、圈养桶养殖过程病死鱼以及员工生活垃圾等。</w:t>
            </w:r>
            <w:r>
              <w:rPr>
                <w:rFonts w:ascii="Segoe UI" w:hAnsi="Segoe UI" w:eastAsia="Segoe UI" w:cs="Segoe UI"/>
                <w:color w:val="auto"/>
                <w:sz w:val="24"/>
                <w:shd w:val="clear" w:color="auto" w:fill="FFFFFF"/>
              </w:rPr>
              <w:t>鱼塘污泥中含有大量鱼类排泄物、残饵分解物，以及水体中的浮游生物残骸，天然富含氮、磷、钾等基础养分，能满足蔬菜、果树、粮食作物等不同生长阶段的营养需求，减少化学肥料的使用量</w:t>
            </w:r>
            <w:r>
              <w:rPr>
                <w:rFonts w:hint="eastAsia" w:ascii="Segoe UI" w:hAnsi="Segoe UI" w:cs="Segoe UI"/>
                <w:color w:val="auto"/>
                <w:sz w:val="24"/>
                <w:shd w:val="clear" w:color="auto" w:fill="FFFFFF"/>
              </w:rPr>
              <w:t>，因此</w:t>
            </w:r>
            <w:r>
              <w:rPr>
                <w:rFonts w:hint="eastAsia" w:ascii="宋体" w:hAnsi="宋体" w:cs="宋体"/>
                <w:color w:val="auto"/>
                <w:kern w:val="0"/>
                <w:sz w:val="24"/>
                <w:lang w:bidi="ar"/>
              </w:rPr>
              <w:t>该污泥将直接运送给附近村民用作农肥；</w:t>
            </w:r>
            <w:r>
              <w:rPr>
                <w:color w:val="auto"/>
                <w:kern w:val="0"/>
                <w:sz w:val="24"/>
                <w:lang w:bidi="ar"/>
              </w:rPr>
              <w:t>病死鱼</w:t>
            </w:r>
            <w:r>
              <w:rPr>
                <w:rFonts w:hint="eastAsia"/>
                <w:color w:val="auto"/>
                <w:kern w:val="0"/>
                <w:sz w:val="24"/>
                <w:lang w:bidi="ar"/>
              </w:rPr>
              <w:t>将</w:t>
            </w:r>
            <w:r>
              <w:rPr>
                <w:color w:val="auto"/>
                <w:kern w:val="0"/>
                <w:sz w:val="24"/>
                <w:lang w:bidi="ar"/>
              </w:rPr>
              <w:t>第一时间进行捞出作业并开展消毒处理，随后委托具备相应资质的第三方公司实施无害化处理</w:t>
            </w:r>
            <w:r>
              <w:rPr>
                <w:rFonts w:hint="eastAsia"/>
                <w:color w:val="auto"/>
                <w:kern w:val="0"/>
                <w:sz w:val="24"/>
                <w:lang w:bidi="ar"/>
              </w:rPr>
              <w:t>；生活垃圾</w:t>
            </w:r>
            <w:r>
              <w:rPr>
                <w:color w:val="auto"/>
                <w:kern w:val="0"/>
                <w:sz w:val="24"/>
                <w:lang w:bidi="ar"/>
              </w:rPr>
              <w:t>交由环卫部门清运。</w:t>
            </w:r>
          </w:p>
          <w:p w14:paraId="401C6AA3">
            <w:pPr>
              <w:spacing w:line="360" w:lineRule="auto"/>
              <w:ind w:firstLine="480" w:firstLineChars="200"/>
              <w:rPr>
                <w:color w:val="auto"/>
                <w:kern w:val="0"/>
                <w:sz w:val="24"/>
                <w:lang w:bidi="ar"/>
              </w:rPr>
            </w:pPr>
            <w:r>
              <w:rPr>
                <w:rFonts w:hint="eastAsia"/>
                <w:color w:val="auto"/>
                <w:kern w:val="0"/>
                <w:sz w:val="24"/>
                <w:lang w:bidi="ar"/>
              </w:rPr>
              <w:t>本项目污泥、病死鱼将直接外运，不在区域内储存，因此区域内不设置一般固废暂存间及污泥暂存间。为减少固废对周边环境的影响，建议日常固废污染治理措施如下：</w:t>
            </w:r>
          </w:p>
          <w:p w14:paraId="1D33B414">
            <w:pPr>
              <w:spacing w:line="360" w:lineRule="auto"/>
              <w:ind w:firstLine="480" w:firstLineChars="200"/>
              <w:rPr>
                <w:color w:val="auto"/>
                <w:sz w:val="24"/>
              </w:rPr>
            </w:pPr>
            <w:r>
              <w:rPr>
                <w:color w:val="auto"/>
                <w:sz w:val="24"/>
              </w:rPr>
              <w:t>①建立污泥清运台账，详细记录污泥产生量、清运时间、接收村民信息等。定期与附近村民沟通，根据农作物种植需求，按照约定时间将污泥运送给村民用作农肥</w:t>
            </w:r>
            <w:r>
              <w:rPr>
                <w:rFonts w:hint="eastAsia"/>
                <w:color w:val="auto"/>
                <w:sz w:val="24"/>
              </w:rPr>
              <w:t>，或由村民自行拖运</w:t>
            </w:r>
            <w:r>
              <w:rPr>
                <w:color w:val="auto"/>
                <w:sz w:val="24"/>
              </w:rPr>
              <w:t>。</w:t>
            </w:r>
          </w:p>
          <w:p w14:paraId="639013F8">
            <w:pPr>
              <w:spacing w:line="360" w:lineRule="auto"/>
              <w:ind w:firstLine="480" w:firstLineChars="200"/>
              <w:rPr>
                <w:color w:val="auto"/>
                <w:sz w:val="24"/>
              </w:rPr>
            </w:pPr>
            <w:r>
              <w:rPr>
                <w:color w:val="auto"/>
                <w:sz w:val="24"/>
              </w:rPr>
              <w:t>②安排专人每日定时巡查圈养桶，一旦发现病死鱼，立即使用专用工具（如捞网、密封桶）进行打捞，避免病死鱼在水中腐烂污染水体。打捞后的病死鱼迅速放入密封的专用容器中，做好标记，与其他物资隔离存放，防止交叉污染。</w:t>
            </w:r>
            <w:r>
              <w:rPr>
                <w:rFonts w:hint="eastAsia"/>
                <w:color w:val="auto"/>
                <w:sz w:val="24"/>
              </w:rPr>
              <w:t>同时</w:t>
            </w:r>
            <w:r>
              <w:rPr>
                <w:color w:val="auto"/>
                <w:sz w:val="24"/>
              </w:rPr>
              <w:t>对打捞病死鱼的工具、容器以及病死鱼打捞区域的水体和岸边进行消毒处理。</w:t>
            </w:r>
          </w:p>
          <w:p w14:paraId="295AED7B">
            <w:pPr>
              <w:spacing w:line="360" w:lineRule="auto"/>
              <w:ind w:firstLine="480" w:firstLineChars="200"/>
              <w:rPr>
                <w:color w:val="auto"/>
                <w:sz w:val="24"/>
              </w:rPr>
            </w:pPr>
            <w:r>
              <w:rPr>
                <w:color w:val="auto"/>
                <w:sz w:val="24"/>
              </w:rPr>
              <w:t>③在鱼塘员工生活区、工作区等人员集中区域合理设置分类垃圾桶，定期组织员工开展生活垃圾分类和环保知识培训，通过讲座、宣传海报、微信群分享等多种形式，向员工普及生活垃圾污染危害、分类方法和环保政策法规，提高员工的环保意识和分类投放的自觉性，从源头减少生活垃圾的乱投乱放现象。</w:t>
            </w:r>
          </w:p>
          <w:p w14:paraId="2055601A">
            <w:pPr>
              <w:spacing w:line="360" w:lineRule="auto"/>
              <w:ind w:firstLine="480" w:firstLineChars="200"/>
              <w:rPr>
                <w:color w:val="auto"/>
                <w:sz w:val="24"/>
              </w:rPr>
            </w:pPr>
            <w:r>
              <w:rPr>
                <w:color w:val="auto"/>
                <w:sz w:val="24"/>
              </w:rPr>
              <w:t>采取上述措施后，本工程固体废物可得到妥善的处理，对周围环境造成的影响很小。</w:t>
            </w:r>
          </w:p>
          <w:p w14:paraId="065485D0">
            <w:pPr>
              <w:spacing w:line="360" w:lineRule="auto"/>
              <w:rPr>
                <w:b/>
                <w:bCs/>
                <w:color w:val="auto"/>
                <w:sz w:val="24"/>
              </w:rPr>
            </w:pPr>
            <w:r>
              <w:rPr>
                <w:rFonts w:hint="eastAsia"/>
                <w:b/>
                <w:bCs/>
                <w:color w:val="auto"/>
                <w:sz w:val="24"/>
              </w:rPr>
              <w:t>三</w:t>
            </w:r>
            <w:r>
              <w:rPr>
                <w:b/>
                <w:bCs/>
                <w:color w:val="auto"/>
                <w:sz w:val="24"/>
              </w:rPr>
              <w:t>、环境风险分析</w:t>
            </w:r>
          </w:p>
          <w:p w14:paraId="739E3129">
            <w:pPr>
              <w:spacing w:line="360" w:lineRule="auto"/>
              <w:ind w:firstLine="482" w:firstLineChars="200"/>
              <w:rPr>
                <w:b/>
                <w:bCs/>
                <w:color w:val="auto"/>
                <w:sz w:val="24"/>
              </w:rPr>
            </w:pPr>
            <w:bookmarkStart w:id="35" w:name="_Toc339981794"/>
            <w:bookmarkStart w:id="36" w:name="_Toc246399303"/>
            <w:bookmarkStart w:id="37" w:name="_Toc3886021"/>
            <w:r>
              <w:rPr>
                <w:rFonts w:hint="eastAsia"/>
                <w:b/>
                <w:bCs/>
                <w:color w:val="auto"/>
                <w:sz w:val="24"/>
              </w:rPr>
              <w:t>1、</w:t>
            </w:r>
            <w:r>
              <w:rPr>
                <w:b/>
                <w:bCs/>
                <w:color w:val="auto"/>
                <w:sz w:val="24"/>
              </w:rPr>
              <w:t>评价目的与重点</w:t>
            </w:r>
            <w:bookmarkEnd w:id="35"/>
            <w:bookmarkEnd w:id="36"/>
          </w:p>
          <w:p w14:paraId="16D0DF5E">
            <w:pPr>
              <w:spacing w:line="360" w:lineRule="auto"/>
              <w:ind w:firstLine="480" w:firstLineChars="200"/>
              <w:jc w:val="left"/>
              <w:rPr>
                <w:color w:val="auto"/>
                <w:sz w:val="24"/>
              </w:rPr>
            </w:pPr>
            <w:bookmarkStart w:id="38" w:name="_Toc246399304"/>
            <w:bookmarkStart w:id="39" w:name="_Toc352329352"/>
            <w:bookmarkStart w:id="40" w:name="_Toc230587575"/>
            <w:bookmarkStart w:id="41" w:name="_Toc339981795"/>
            <w:r>
              <w:rPr>
                <w:color w:val="auto"/>
                <w:sz w:val="24"/>
              </w:rPr>
              <w:t>环境风险评价是分析和预测建设项目存在的潜在风险，提出防范、应急与减缓措施的工作，环境风险评价能使项目事故率、损失和环境影响降低到可接受水平。为全面落实《关于进一步加强环境影响评价管理防范环境风险的通知》（环发[2012]77号）的要求，实行环境风险分析，查找建设项目存在的环境隐患，确保职工及周边影响区内人群生物的健康和安全。</w:t>
            </w:r>
          </w:p>
          <w:p w14:paraId="6615DB29">
            <w:pPr>
              <w:spacing w:line="360" w:lineRule="auto"/>
              <w:ind w:firstLine="482" w:firstLineChars="200"/>
              <w:rPr>
                <w:b/>
                <w:bCs/>
                <w:color w:val="auto"/>
                <w:sz w:val="24"/>
              </w:rPr>
            </w:pPr>
            <w:bookmarkStart w:id="42" w:name="_Toc24153"/>
            <w:r>
              <w:rPr>
                <w:b/>
                <w:bCs/>
                <w:color w:val="auto"/>
                <w:sz w:val="24"/>
              </w:rPr>
              <w:t>2</w:t>
            </w:r>
            <w:bookmarkEnd w:id="42"/>
            <w:r>
              <w:rPr>
                <w:b/>
                <w:bCs/>
                <w:color w:val="auto"/>
                <w:sz w:val="24"/>
              </w:rPr>
              <w:t>、风险评价等级判定</w:t>
            </w:r>
          </w:p>
          <w:p w14:paraId="6F858EB4">
            <w:pPr>
              <w:spacing w:line="360" w:lineRule="auto"/>
              <w:ind w:firstLine="480" w:firstLineChars="200"/>
              <w:rPr>
                <w:color w:val="auto"/>
                <w:sz w:val="24"/>
                <w:szCs w:val="20"/>
              </w:rPr>
            </w:pPr>
            <w:r>
              <w:rPr>
                <w:rFonts w:hint="eastAsia"/>
                <w:color w:val="auto"/>
                <w:sz w:val="24"/>
                <w:szCs w:val="20"/>
              </w:rPr>
              <w:t>项目柴油发电机设备使用柴油，设备需要加柴油时，通过油桶装油的方式给设备加油，柴油桶存放在管理用房内。</w:t>
            </w:r>
          </w:p>
          <w:p w14:paraId="71C09549">
            <w:pPr>
              <w:spacing w:line="360" w:lineRule="auto"/>
              <w:ind w:firstLine="480" w:firstLineChars="200"/>
              <w:rPr>
                <w:color w:val="auto"/>
                <w:sz w:val="24"/>
              </w:rPr>
            </w:pPr>
            <w:r>
              <w:rPr>
                <w:color w:val="auto"/>
                <w:sz w:val="24"/>
              </w:rPr>
              <w:t>（1）危险物质数量与临界量比值（Q）</w:t>
            </w:r>
          </w:p>
          <w:p w14:paraId="042C0224">
            <w:pPr>
              <w:spacing w:line="360" w:lineRule="auto"/>
              <w:ind w:firstLine="480" w:firstLineChars="200"/>
              <w:rPr>
                <w:color w:val="auto"/>
                <w:sz w:val="24"/>
              </w:rPr>
            </w:pPr>
            <w:r>
              <w:rPr>
                <w:color w:val="auto"/>
                <w:sz w:val="24"/>
              </w:rPr>
              <w:t>根据《建设项目环境风险评价技术导则》（HJ169-2018）附录C及本项目主要原辅材料消耗及产品情况，确定项目Q值如下：</w:t>
            </w:r>
          </w:p>
          <w:p w14:paraId="275AD2DB">
            <w:pPr>
              <w:spacing w:line="360" w:lineRule="auto"/>
              <w:ind w:firstLine="480" w:firstLineChars="200"/>
              <w:rPr>
                <w:color w:val="auto"/>
                <w:sz w:val="24"/>
              </w:rPr>
            </w:pPr>
            <w:r>
              <w:rPr>
                <w:color w:val="auto"/>
                <w:sz w:val="24"/>
              </w:rPr>
              <w:t>Q=q</w:t>
            </w:r>
            <w:r>
              <w:rPr>
                <w:color w:val="auto"/>
                <w:sz w:val="24"/>
                <w:vertAlign w:val="subscript"/>
              </w:rPr>
              <w:t>1</w:t>
            </w:r>
            <w:r>
              <w:rPr>
                <w:color w:val="auto"/>
                <w:sz w:val="24"/>
              </w:rPr>
              <w:t>/Q</w:t>
            </w:r>
            <w:r>
              <w:rPr>
                <w:color w:val="auto"/>
                <w:sz w:val="24"/>
                <w:vertAlign w:val="subscript"/>
              </w:rPr>
              <w:t>1</w:t>
            </w:r>
            <w:r>
              <w:rPr>
                <w:color w:val="auto"/>
                <w:sz w:val="24"/>
              </w:rPr>
              <w:t xml:space="preserve"> +q</w:t>
            </w:r>
            <w:r>
              <w:rPr>
                <w:color w:val="auto"/>
                <w:sz w:val="24"/>
                <w:vertAlign w:val="subscript"/>
              </w:rPr>
              <w:t>2</w:t>
            </w:r>
            <w:r>
              <w:rPr>
                <w:color w:val="auto"/>
                <w:sz w:val="24"/>
              </w:rPr>
              <w:t>/Q</w:t>
            </w:r>
            <w:r>
              <w:rPr>
                <w:color w:val="auto"/>
                <w:sz w:val="24"/>
                <w:vertAlign w:val="subscript"/>
              </w:rPr>
              <w:t>2</w:t>
            </w:r>
            <w:r>
              <w:rPr>
                <w:color w:val="auto"/>
                <w:sz w:val="24"/>
              </w:rPr>
              <w:t xml:space="preserve"> +…+q</w:t>
            </w:r>
            <w:r>
              <w:rPr>
                <w:color w:val="auto"/>
                <w:sz w:val="24"/>
                <w:vertAlign w:val="subscript"/>
              </w:rPr>
              <w:t>n</w:t>
            </w:r>
            <w:r>
              <w:rPr>
                <w:color w:val="auto"/>
                <w:sz w:val="24"/>
              </w:rPr>
              <w:t xml:space="preserve"> /Q</w:t>
            </w:r>
            <w:r>
              <w:rPr>
                <w:color w:val="auto"/>
                <w:sz w:val="24"/>
                <w:vertAlign w:val="subscript"/>
              </w:rPr>
              <w:t>n</w:t>
            </w:r>
          </w:p>
          <w:p w14:paraId="6257E2BD">
            <w:pPr>
              <w:spacing w:line="360" w:lineRule="auto"/>
              <w:ind w:firstLine="480" w:firstLineChars="200"/>
              <w:rPr>
                <w:color w:val="auto"/>
                <w:sz w:val="24"/>
              </w:rPr>
            </w:pPr>
            <w:r>
              <w:rPr>
                <w:color w:val="auto"/>
                <w:sz w:val="24"/>
              </w:rPr>
              <w:t>式中：q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 xml:space="preserve"> ———每种危险物质的最大存在总量，t；</w:t>
            </w:r>
          </w:p>
          <w:p w14:paraId="60A25BED">
            <w:pPr>
              <w:spacing w:line="360" w:lineRule="auto"/>
              <w:ind w:firstLine="480" w:firstLineChars="200"/>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 xml:space="preserve"> ———每种危险物质的临界量，t。</w:t>
            </w:r>
          </w:p>
          <w:p w14:paraId="4FAD892F">
            <w:pPr>
              <w:spacing w:line="360" w:lineRule="auto"/>
              <w:ind w:firstLine="480" w:firstLineChars="200"/>
              <w:rPr>
                <w:color w:val="auto"/>
                <w:sz w:val="24"/>
              </w:rPr>
            </w:pPr>
            <w:r>
              <w:rPr>
                <w:color w:val="auto"/>
                <w:sz w:val="24"/>
              </w:rPr>
              <w:t>本项目涉及的</w:t>
            </w:r>
            <w:r>
              <w:rPr>
                <w:rFonts w:hint="eastAsia"/>
                <w:color w:val="auto"/>
                <w:sz w:val="24"/>
              </w:rPr>
              <w:t>风险</w:t>
            </w:r>
            <w:r>
              <w:rPr>
                <w:color w:val="auto"/>
                <w:sz w:val="24"/>
              </w:rPr>
              <w:t>物质</w:t>
            </w:r>
            <w:r>
              <w:rPr>
                <w:rFonts w:hint="eastAsia"/>
                <w:color w:val="auto"/>
                <w:sz w:val="24"/>
              </w:rPr>
              <w:t>为柴油</w:t>
            </w:r>
            <w:r>
              <w:rPr>
                <w:color w:val="auto"/>
                <w:sz w:val="24"/>
              </w:rPr>
              <w:t>，</w:t>
            </w:r>
            <w:r>
              <w:rPr>
                <w:rFonts w:hint="eastAsia"/>
                <w:color w:val="auto"/>
                <w:sz w:val="24"/>
              </w:rPr>
              <w:t>其最大存在总量详见下表：</w:t>
            </w:r>
          </w:p>
          <w:p w14:paraId="4F74B41A">
            <w:pPr>
              <w:ind w:firstLine="422" w:firstLineChars="200"/>
              <w:jc w:val="center"/>
              <w:rPr>
                <w:b/>
                <w:color w:val="auto"/>
                <w:szCs w:val="21"/>
              </w:rPr>
            </w:pPr>
            <w:r>
              <w:rPr>
                <w:rFonts w:hint="eastAsia"/>
                <w:b/>
                <w:color w:val="auto"/>
                <w:szCs w:val="21"/>
              </w:rPr>
              <w:t>表5</w:t>
            </w:r>
            <w:r>
              <w:rPr>
                <w:b/>
                <w:color w:val="auto"/>
                <w:szCs w:val="21"/>
              </w:rPr>
              <w:t>-</w:t>
            </w:r>
            <w:r>
              <w:rPr>
                <w:rFonts w:hint="eastAsia"/>
                <w:b/>
                <w:color w:val="auto"/>
                <w:szCs w:val="21"/>
              </w:rPr>
              <w:t>4</w:t>
            </w:r>
            <w:r>
              <w:rPr>
                <w:b/>
                <w:color w:val="auto"/>
                <w:szCs w:val="21"/>
              </w:rPr>
              <w:t xml:space="preserve">  </w:t>
            </w:r>
            <w:r>
              <w:rPr>
                <w:rFonts w:hint="eastAsia"/>
                <w:b/>
                <w:color w:val="auto"/>
                <w:szCs w:val="21"/>
              </w:rPr>
              <w:t>柴油最大储存量与临界量比值</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4"/>
              <w:gridCol w:w="1596"/>
              <w:gridCol w:w="1775"/>
              <w:gridCol w:w="1727"/>
              <w:gridCol w:w="1633"/>
            </w:tblGrid>
            <w:tr w14:paraId="59DDD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917" w:type="dxa"/>
                  <w:vAlign w:val="center"/>
                </w:tcPr>
                <w:p w14:paraId="4B2E3617">
                  <w:pPr>
                    <w:adjustRightInd w:val="0"/>
                    <w:snapToGrid w:val="0"/>
                    <w:spacing w:before="24" w:beforeLines="10" w:after="24" w:afterLines="10" w:line="259" w:lineRule="auto"/>
                    <w:jc w:val="center"/>
                    <w:rPr>
                      <w:color w:val="auto"/>
                      <w:kern w:val="0"/>
                      <w:szCs w:val="21"/>
                    </w:rPr>
                  </w:pPr>
                  <w:r>
                    <w:rPr>
                      <w:rFonts w:hint="eastAsia"/>
                      <w:color w:val="auto"/>
                      <w:kern w:val="0"/>
                      <w:szCs w:val="21"/>
                    </w:rPr>
                    <w:t>序号</w:t>
                  </w:r>
                </w:p>
              </w:tc>
              <w:tc>
                <w:tcPr>
                  <w:tcW w:w="1833" w:type="dxa"/>
                  <w:vAlign w:val="center"/>
                </w:tcPr>
                <w:p w14:paraId="46DDF8BB">
                  <w:pPr>
                    <w:adjustRightInd w:val="0"/>
                    <w:snapToGrid w:val="0"/>
                    <w:spacing w:before="24" w:beforeLines="10" w:after="24" w:afterLines="10" w:line="259" w:lineRule="auto"/>
                    <w:jc w:val="center"/>
                    <w:rPr>
                      <w:color w:val="auto"/>
                      <w:kern w:val="0"/>
                      <w:szCs w:val="21"/>
                    </w:rPr>
                  </w:pPr>
                  <w:r>
                    <w:rPr>
                      <w:rFonts w:hint="eastAsia"/>
                      <w:color w:val="auto"/>
                      <w:kern w:val="0"/>
                      <w:szCs w:val="21"/>
                    </w:rPr>
                    <w:t>危化品名称</w:t>
                  </w:r>
                </w:p>
              </w:tc>
              <w:tc>
                <w:tcPr>
                  <w:tcW w:w="1937" w:type="dxa"/>
                  <w:vAlign w:val="center"/>
                </w:tcPr>
                <w:p w14:paraId="4C9BF8BF">
                  <w:pPr>
                    <w:adjustRightInd w:val="0"/>
                    <w:snapToGrid w:val="0"/>
                    <w:spacing w:before="24" w:beforeLines="10" w:after="24" w:afterLines="10" w:line="259" w:lineRule="auto"/>
                    <w:jc w:val="center"/>
                    <w:rPr>
                      <w:color w:val="auto"/>
                      <w:kern w:val="0"/>
                      <w:szCs w:val="21"/>
                    </w:rPr>
                  </w:pPr>
                  <w:r>
                    <w:rPr>
                      <w:rFonts w:hint="eastAsia"/>
                      <w:color w:val="auto"/>
                      <w:kern w:val="0"/>
                      <w:szCs w:val="21"/>
                    </w:rPr>
                    <w:t>最大储存量q（t）</w:t>
                  </w:r>
                </w:p>
              </w:tc>
              <w:tc>
                <w:tcPr>
                  <w:tcW w:w="1935" w:type="dxa"/>
                  <w:vAlign w:val="center"/>
                </w:tcPr>
                <w:p w14:paraId="16A296EC">
                  <w:pPr>
                    <w:adjustRightInd w:val="0"/>
                    <w:snapToGrid w:val="0"/>
                    <w:spacing w:before="24" w:beforeLines="10" w:after="24" w:afterLines="10" w:line="259" w:lineRule="auto"/>
                    <w:jc w:val="center"/>
                    <w:rPr>
                      <w:color w:val="auto"/>
                      <w:kern w:val="0"/>
                      <w:szCs w:val="21"/>
                    </w:rPr>
                  </w:pPr>
                  <w:r>
                    <w:rPr>
                      <w:rFonts w:hint="eastAsia"/>
                      <w:color w:val="auto"/>
                      <w:kern w:val="0"/>
                      <w:szCs w:val="21"/>
                    </w:rPr>
                    <w:t>临界量Q（t）</w:t>
                  </w:r>
                </w:p>
              </w:tc>
              <w:tc>
                <w:tcPr>
                  <w:tcW w:w="1738" w:type="dxa"/>
                  <w:vAlign w:val="center"/>
                </w:tcPr>
                <w:p w14:paraId="7684A5E9">
                  <w:pPr>
                    <w:adjustRightInd w:val="0"/>
                    <w:snapToGrid w:val="0"/>
                    <w:spacing w:before="24" w:beforeLines="10" w:after="24" w:afterLines="10" w:line="259" w:lineRule="auto"/>
                    <w:jc w:val="center"/>
                    <w:rPr>
                      <w:color w:val="auto"/>
                      <w:kern w:val="0"/>
                      <w:szCs w:val="21"/>
                    </w:rPr>
                  </w:pPr>
                  <w:r>
                    <w:rPr>
                      <w:rFonts w:hint="eastAsia"/>
                      <w:color w:val="auto"/>
                      <w:kern w:val="0"/>
                      <w:szCs w:val="21"/>
                    </w:rPr>
                    <w:t>q/Q</w:t>
                  </w:r>
                </w:p>
              </w:tc>
            </w:tr>
            <w:tr w14:paraId="5BF58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917" w:type="dxa"/>
                  <w:vAlign w:val="center"/>
                </w:tcPr>
                <w:p w14:paraId="2E453138">
                  <w:pPr>
                    <w:adjustRightInd w:val="0"/>
                    <w:snapToGrid w:val="0"/>
                    <w:spacing w:before="24" w:beforeLines="10" w:after="24" w:afterLines="10" w:line="259" w:lineRule="auto"/>
                    <w:jc w:val="center"/>
                    <w:rPr>
                      <w:color w:val="auto"/>
                      <w:kern w:val="0"/>
                      <w:szCs w:val="21"/>
                    </w:rPr>
                  </w:pPr>
                  <w:r>
                    <w:rPr>
                      <w:rFonts w:hint="eastAsia"/>
                      <w:color w:val="auto"/>
                      <w:kern w:val="0"/>
                      <w:szCs w:val="21"/>
                    </w:rPr>
                    <w:t>1</w:t>
                  </w:r>
                </w:p>
              </w:tc>
              <w:tc>
                <w:tcPr>
                  <w:tcW w:w="1833" w:type="dxa"/>
                  <w:vAlign w:val="center"/>
                </w:tcPr>
                <w:p w14:paraId="2F7E04F7">
                  <w:pPr>
                    <w:adjustRightInd w:val="0"/>
                    <w:snapToGrid w:val="0"/>
                    <w:spacing w:before="24" w:beforeLines="10" w:after="24" w:afterLines="10" w:line="259" w:lineRule="auto"/>
                    <w:jc w:val="center"/>
                    <w:rPr>
                      <w:color w:val="auto"/>
                      <w:kern w:val="0"/>
                      <w:szCs w:val="21"/>
                    </w:rPr>
                  </w:pPr>
                  <w:r>
                    <w:rPr>
                      <w:rFonts w:hint="eastAsia"/>
                      <w:color w:val="auto"/>
                      <w:kern w:val="0"/>
                      <w:szCs w:val="21"/>
                    </w:rPr>
                    <w:t>柴油</w:t>
                  </w:r>
                </w:p>
              </w:tc>
              <w:tc>
                <w:tcPr>
                  <w:tcW w:w="1937" w:type="dxa"/>
                  <w:vAlign w:val="center"/>
                </w:tcPr>
                <w:p w14:paraId="1091467C">
                  <w:pPr>
                    <w:adjustRightInd w:val="0"/>
                    <w:snapToGrid w:val="0"/>
                    <w:spacing w:before="24" w:beforeLines="10" w:after="24" w:afterLines="10" w:line="259" w:lineRule="auto"/>
                    <w:jc w:val="center"/>
                    <w:rPr>
                      <w:color w:val="auto"/>
                      <w:kern w:val="0"/>
                      <w:szCs w:val="21"/>
                    </w:rPr>
                  </w:pPr>
                  <w:r>
                    <w:rPr>
                      <w:rFonts w:hint="eastAsia"/>
                      <w:color w:val="auto"/>
                      <w:kern w:val="0"/>
                      <w:szCs w:val="21"/>
                    </w:rPr>
                    <w:t>0.043（50L）</w:t>
                  </w:r>
                </w:p>
              </w:tc>
              <w:tc>
                <w:tcPr>
                  <w:tcW w:w="1935" w:type="dxa"/>
                  <w:vAlign w:val="center"/>
                </w:tcPr>
                <w:p w14:paraId="3049B2DA">
                  <w:pPr>
                    <w:adjustRightInd w:val="0"/>
                    <w:snapToGrid w:val="0"/>
                    <w:spacing w:before="24" w:beforeLines="10" w:after="24" w:afterLines="10" w:line="259" w:lineRule="auto"/>
                    <w:jc w:val="center"/>
                    <w:rPr>
                      <w:color w:val="auto"/>
                      <w:kern w:val="0"/>
                      <w:szCs w:val="21"/>
                    </w:rPr>
                  </w:pPr>
                  <w:r>
                    <w:rPr>
                      <w:rFonts w:hint="eastAsia"/>
                      <w:color w:val="auto"/>
                      <w:kern w:val="0"/>
                      <w:szCs w:val="21"/>
                    </w:rPr>
                    <w:t>2500</w:t>
                  </w:r>
                </w:p>
              </w:tc>
              <w:tc>
                <w:tcPr>
                  <w:tcW w:w="1738" w:type="dxa"/>
                  <w:vAlign w:val="center"/>
                </w:tcPr>
                <w:p w14:paraId="165F2AB1">
                  <w:pPr>
                    <w:adjustRightInd w:val="0"/>
                    <w:snapToGrid w:val="0"/>
                    <w:spacing w:before="24" w:beforeLines="10" w:after="24" w:afterLines="10" w:line="259" w:lineRule="auto"/>
                    <w:jc w:val="center"/>
                    <w:rPr>
                      <w:color w:val="auto"/>
                      <w:kern w:val="0"/>
                      <w:szCs w:val="21"/>
                    </w:rPr>
                  </w:pPr>
                  <w:r>
                    <w:rPr>
                      <w:rFonts w:hint="eastAsia"/>
                      <w:color w:val="auto"/>
                      <w:kern w:val="0"/>
                      <w:szCs w:val="21"/>
                    </w:rPr>
                    <w:t>0.0000172</w:t>
                  </w:r>
                </w:p>
              </w:tc>
            </w:tr>
            <w:tr w14:paraId="6D258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6622" w:type="dxa"/>
                  <w:gridSpan w:val="4"/>
                  <w:vAlign w:val="center"/>
                </w:tcPr>
                <w:p w14:paraId="750D2247">
                  <w:pPr>
                    <w:adjustRightInd w:val="0"/>
                    <w:snapToGrid w:val="0"/>
                    <w:spacing w:before="24" w:beforeLines="10" w:after="24" w:afterLines="10" w:line="259" w:lineRule="auto"/>
                    <w:jc w:val="center"/>
                    <w:rPr>
                      <w:color w:val="auto"/>
                      <w:kern w:val="0"/>
                      <w:szCs w:val="21"/>
                    </w:rPr>
                  </w:pPr>
                  <w:r>
                    <w:rPr>
                      <w:rFonts w:hint="eastAsia"/>
                      <w:color w:val="auto"/>
                      <w:kern w:val="0"/>
                      <w:szCs w:val="21"/>
                    </w:rPr>
                    <w:t>合计</w:t>
                  </w:r>
                </w:p>
              </w:tc>
              <w:tc>
                <w:tcPr>
                  <w:tcW w:w="1738" w:type="dxa"/>
                  <w:vAlign w:val="center"/>
                </w:tcPr>
                <w:p w14:paraId="13E90305">
                  <w:pPr>
                    <w:adjustRightInd w:val="0"/>
                    <w:snapToGrid w:val="0"/>
                    <w:spacing w:before="24" w:beforeLines="10" w:after="24" w:afterLines="10" w:line="259" w:lineRule="auto"/>
                    <w:jc w:val="center"/>
                    <w:rPr>
                      <w:color w:val="auto"/>
                      <w:kern w:val="0"/>
                      <w:szCs w:val="21"/>
                    </w:rPr>
                  </w:pPr>
                  <w:r>
                    <w:rPr>
                      <w:rFonts w:hint="eastAsia"/>
                      <w:color w:val="auto"/>
                      <w:kern w:val="0"/>
                      <w:szCs w:val="21"/>
                    </w:rPr>
                    <w:t>0.0000172</w:t>
                  </w:r>
                </w:p>
              </w:tc>
            </w:tr>
          </w:tbl>
          <w:p w14:paraId="53FDB381">
            <w:pPr>
              <w:widowControl/>
              <w:snapToGrid w:val="0"/>
              <w:spacing w:before="60" w:after="160" w:line="360" w:lineRule="auto"/>
              <w:ind w:right="113" w:firstLine="600" w:firstLineChars="250"/>
              <w:jc w:val="left"/>
              <w:rPr>
                <w:color w:val="auto"/>
                <w:kern w:val="0"/>
                <w:sz w:val="24"/>
              </w:rPr>
            </w:pPr>
            <w:r>
              <w:rPr>
                <w:color w:val="auto"/>
                <w:kern w:val="0"/>
                <w:sz w:val="24"/>
              </w:rPr>
              <w:t>根据《建设项目环境风险评价技术导则》（HJ169-2018）附录C可知，当q/Q＜1时，项目环境风险潜势为Ⅰ。由上表可知项目</w:t>
            </w:r>
            <w:r>
              <w:rPr>
                <w:rFonts w:hint="eastAsia"/>
                <w:color w:val="auto"/>
                <w:kern w:val="0"/>
                <w:sz w:val="24"/>
              </w:rPr>
              <w:t>柴油</w:t>
            </w:r>
            <w:r>
              <w:rPr>
                <w:color w:val="auto"/>
                <w:kern w:val="0"/>
                <w:sz w:val="24"/>
              </w:rPr>
              <w:t>物质数量与临界量比值</w:t>
            </w:r>
            <w:r>
              <w:rPr>
                <w:rFonts w:hint="eastAsia"/>
                <w:color w:val="auto"/>
                <w:kern w:val="0"/>
                <w:sz w:val="24"/>
              </w:rPr>
              <w:t>总和</w:t>
            </w:r>
            <w:r>
              <w:rPr>
                <w:color w:val="auto"/>
                <w:kern w:val="0"/>
                <w:sz w:val="24"/>
              </w:rPr>
              <w:t>为q/Q=</w:t>
            </w:r>
            <w:r>
              <w:rPr>
                <w:rFonts w:hint="eastAsia"/>
                <w:color w:val="auto"/>
                <w:kern w:val="0"/>
                <w:sz w:val="24"/>
              </w:rPr>
              <w:t>0.0000172</w:t>
            </w:r>
            <w:r>
              <w:rPr>
                <w:color w:val="auto"/>
                <w:kern w:val="0"/>
                <w:sz w:val="24"/>
              </w:rPr>
              <w:t>，本项目环境风险潜势为Ⅰ。</w:t>
            </w:r>
          </w:p>
          <w:p w14:paraId="46DC3B19">
            <w:pPr>
              <w:widowControl/>
              <w:snapToGrid w:val="0"/>
              <w:spacing w:before="60" w:after="160"/>
              <w:ind w:right="113" w:firstLine="480" w:firstLineChars="200"/>
              <w:rPr>
                <w:color w:val="auto"/>
                <w:kern w:val="0"/>
                <w:sz w:val="24"/>
                <w:szCs w:val="20"/>
              </w:rPr>
            </w:pPr>
            <w:r>
              <w:rPr>
                <w:color w:val="auto"/>
                <w:kern w:val="0"/>
                <w:sz w:val="24"/>
                <w:szCs w:val="20"/>
              </w:rPr>
              <w:t>（2）环境风险评价等级判定</w:t>
            </w:r>
          </w:p>
          <w:p w14:paraId="09D402C1">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①物质及工艺系统风险判定</w:t>
            </w:r>
          </w:p>
          <w:p w14:paraId="257A6355">
            <w:pPr>
              <w:autoSpaceDE w:val="0"/>
              <w:autoSpaceDN w:val="0"/>
              <w:adjustRightInd w:val="0"/>
              <w:snapToGrid w:val="0"/>
              <w:spacing w:line="360" w:lineRule="auto"/>
              <w:ind w:firstLine="480" w:firstLineChars="200"/>
              <w:jc w:val="left"/>
              <w:rPr>
                <w:color w:val="auto"/>
                <w:sz w:val="24"/>
              </w:rPr>
            </w:pPr>
            <w:r>
              <w:rPr>
                <w:rFonts w:hint="eastAsia"/>
                <w:color w:val="auto"/>
                <w:sz w:val="24"/>
              </w:rPr>
              <w:t>根据《建设项目环境风险评价技术导则》（HJ 169-2018），</w:t>
            </w:r>
            <w:r>
              <w:rPr>
                <w:color w:val="auto"/>
                <w:sz w:val="24"/>
              </w:rPr>
              <w:t>环境风险评价工作等级划分为一级、二级、三级。根据建设项目涉及的物质及工艺系统危险性和所在地的环境敏感性确定环境风险潜势，按照表</w:t>
            </w:r>
            <w:r>
              <w:rPr>
                <w:rFonts w:hint="eastAsia"/>
                <w:color w:val="auto"/>
                <w:sz w:val="24"/>
              </w:rPr>
              <w:t>5-5</w:t>
            </w:r>
            <w:r>
              <w:rPr>
                <w:color w:val="auto"/>
                <w:sz w:val="24"/>
              </w:rPr>
              <w:t>确定评价工作等级。风险潜势为Ⅳ及以上，进行一级评价；风险潜势为Ⅲ，进行二级评价；风险潜势为Ⅱ，进行三级评价；风险潜势为Ⅰ，可开展简单分析。</w:t>
            </w:r>
          </w:p>
          <w:p w14:paraId="634176B7">
            <w:pPr>
              <w:ind w:firstLine="422" w:firstLineChars="200"/>
              <w:jc w:val="center"/>
              <w:rPr>
                <w:b/>
                <w:color w:val="auto"/>
                <w:szCs w:val="21"/>
              </w:rPr>
            </w:pPr>
            <w:r>
              <w:rPr>
                <w:b/>
                <w:color w:val="auto"/>
                <w:szCs w:val="21"/>
              </w:rPr>
              <w:t>表</w:t>
            </w:r>
            <w:r>
              <w:rPr>
                <w:rFonts w:hint="eastAsia"/>
                <w:b/>
                <w:color w:val="auto"/>
                <w:szCs w:val="21"/>
              </w:rPr>
              <w:t>5</w:t>
            </w:r>
            <w:r>
              <w:rPr>
                <w:b/>
                <w:color w:val="auto"/>
                <w:szCs w:val="21"/>
              </w:rPr>
              <w:t>-</w:t>
            </w:r>
            <w:r>
              <w:rPr>
                <w:rFonts w:hint="eastAsia"/>
                <w:b/>
                <w:color w:val="auto"/>
                <w:szCs w:val="21"/>
              </w:rPr>
              <w:t>5</w:t>
            </w:r>
            <w:r>
              <w:rPr>
                <w:b/>
                <w:color w:val="auto"/>
                <w:szCs w:val="21"/>
              </w:rPr>
              <w:t xml:space="preserve">  评价工作等级划分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538"/>
              <w:gridCol w:w="1570"/>
              <w:gridCol w:w="1539"/>
              <w:gridCol w:w="1542"/>
              <w:gridCol w:w="1376"/>
            </w:tblGrid>
            <w:tr w14:paraId="4714EF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1" w:hRule="atLeast"/>
                <w:jc w:val="center"/>
              </w:trPr>
              <w:tc>
                <w:tcPr>
                  <w:tcW w:w="1704" w:type="dxa"/>
                </w:tcPr>
                <w:p w14:paraId="61742538">
                  <w:pPr>
                    <w:adjustRightInd w:val="0"/>
                    <w:snapToGrid w:val="0"/>
                    <w:spacing w:before="24" w:beforeLines="10" w:after="24" w:afterLines="10" w:line="259" w:lineRule="auto"/>
                    <w:jc w:val="center"/>
                    <w:rPr>
                      <w:color w:val="auto"/>
                      <w:kern w:val="0"/>
                      <w:szCs w:val="21"/>
                    </w:rPr>
                  </w:pPr>
                  <w:r>
                    <w:rPr>
                      <w:rFonts w:hint="eastAsia"/>
                      <w:color w:val="auto"/>
                      <w:kern w:val="0"/>
                      <w:szCs w:val="21"/>
                    </w:rPr>
                    <w:t>环境风险潜势</w:t>
                  </w:r>
                </w:p>
              </w:tc>
              <w:tc>
                <w:tcPr>
                  <w:tcW w:w="1708" w:type="dxa"/>
                </w:tcPr>
                <w:p w14:paraId="3FC4ADE9">
                  <w:pPr>
                    <w:adjustRightInd w:val="0"/>
                    <w:snapToGrid w:val="0"/>
                    <w:spacing w:before="24" w:beforeLines="10" w:after="24" w:afterLines="10" w:line="259" w:lineRule="auto"/>
                    <w:jc w:val="center"/>
                    <w:rPr>
                      <w:color w:val="auto"/>
                      <w:kern w:val="0"/>
                      <w:szCs w:val="21"/>
                    </w:rPr>
                  </w:pPr>
                  <w:r>
                    <w:rPr>
                      <w:rFonts w:hint="eastAsia"/>
                      <w:color w:val="auto"/>
                      <w:kern w:val="0"/>
                      <w:szCs w:val="21"/>
                    </w:rPr>
                    <w:t>Ⅳ、Ⅳ+</w:t>
                  </w:r>
                </w:p>
              </w:tc>
              <w:tc>
                <w:tcPr>
                  <w:tcW w:w="1704" w:type="dxa"/>
                </w:tcPr>
                <w:p w14:paraId="775091F1">
                  <w:pPr>
                    <w:adjustRightInd w:val="0"/>
                    <w:snapToGrid w:val="0"/>
                    <w:spacing w:before="24" w:beforeLines="10" w:after="24" w:afterLines="10" w:line="259" w:lineRule="auto"/>
                    <w:jc w:val="center"/>
                    <w:rPr>
                      <w:color w:val="auto"/>
                      <w:kern w:val="0"/>
                      <w:szCs w:val="21"/>
                    </w:rPr>
                  </w:pPr>
                  <w:r>
                    <w:rPr>
                      <w:rFonts w:hint="eastAsia"/>
                      <w:color w:val="auto"/>
                      <w:kern w:val="0"/>
                      <w:szCs w:val="21"/>
                    </w:rPr>
                    <w:t>Ⅲ</w:t>
                  </w:r>
                </w:p>
              </w:tc>
              <w:tc>
                <w:tcPr>
                  <w:tcW w:w="1707" w:type="dxa"/>
                </w:tcPr>
                <w:p w14:paraId="68FBC3A2">
                  <w:pPr>
                    <w:adjustRightInd w:val="0"/>
                    <w:snapToGrid w:val="0"/>
                    <w:spacing w:before="24" w:beforeLines="10" w:after="24" w:afterLines="10" w:line="259" w:lineRule="auto"/>
                    <w:jc w:val="center"/>
                    <w:rPr>
                      <w:color w:val="auto"/>
                      <w:kern w:val="0"/>
                      <w:szCs w:val="21"/>
                    </w:rPr>
                  </w:pPr>
                  <w:r>
                    <w:rPr>
                      <w:rFonts w:hint="eastAsia"/>
                      <w:color w:val="auto"/>
                      <w:kern w:val="0"/>
                      <w:szCs w:val="21"/>
                    </w:rPr>
                    <w:t>Ⅱ</w:t>
                  </w:r>
                </w:p>
              </w:tc>
              <w:tc>
                <w:tcPr>
                  <w:tcW w:w="1517" w:type="dxa"/>
                </w:tcPr>
                <w:p w14:paraId="1D8D0C13">
                  <w:pPr>
                    <w:adjustRightInd w:val="0"/>
                    <w:snapToGrid w:val="0"/>
                    <w:spacing w:before="24" w:beforeLines="10" w:after="24" w:afterLines="10" w:line="259" w:lineRule="auto"/>
                    <w:jc w:val="center"/>
                    <w:rPr>
                      <w:color w:val="auto"/>
                      <w:kern w:val="0"/>
                      <w:szCs w:val="21"/>
                    </w:rPr>
                  </w:pPr>
                  <w:r>
                    <w:rPr>
                      <w:rFonts w:hint="eastAsia"/>
                      <w:color w:val="auto"/>
                      <w:kern w:val="0"/>
                      <w:szCs w:val="21"/>
                    </w:rPr>
                    <w:t>Ⅰ</w:t>
                  </w:r>
                </w:p>
              </w:tc>
            </w:tr>
            <w:tr w14:paraId="275E43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7" w:hRule="atLeast"/>
                <w:jc w:val="center"/>
              </w:trPr>
              <w:tc>
                <w:tcPr>
                  <w:tcW w:w="1704" w:type="dxa"/>
                </w:tcPr>
                <w:p w14:paraId="0940361C">
                  <w:pPr>
                    <w:adjustRightInd w:val="0"/>
                    <w:snapToGrid w:val="0"/>
                    <w:spacing w:before="24" w:beforeLines="10" w:after="24" w:afterLines="10" w:line="259" w:lineRule="auto"/>
                    <w:jc w:val="center"/>
                    <w:rPr>
                      <w:color w:val="auto"/>
                      <w:kern w:val="0"/>
                      <w:szCs w:val="21"/>
                    </w:rPr>
                  </w:pPr>
                  <w:r>
                    <w:rPr>
                      <w:rFonts w:hint="eastAsia"/>
                      <w:color w:val="auto"/>
                      <w:kern w:val="0"/>
                      <w:szCs w:val="21"/>
                    </w:rPr>
                    <w:t xml:space="preserve">评价工作等级  </w:t>
                  </w:r>
                </w:p>
              </w:tc>
              <w:tc>
                <w:tcPr>
                  <w:tcW w:w="1708" w:type="dxa"/>
                </w:tcPr>
                <w:p w14:paraId="7F689135">
                  <w:pPr>
                    <w:adjustRightInd w:val="0"/>
                    <w:snapToGrid w:val="0"/>
                    <w:spacing w:before="24" w:beforeLines="10" w:after="24" w:afterLines="10" w:line="259" w:lineRule="auto"/>
                    <w:jc w:val="center"/>
                    <w:rPr>
                      <w:color w:val="auto"/>
                      <w:kern w:val="0"/>
                      <w:szCs w:val="21"/>
                    </w:rPr>
                  </w:pPr>
                  <w:r>
                    <w:rPr>
                      <w:rFonts w:hint="eastAsia"/>
                      <w:color w:val="auto"/>
                      <w:kern w:val="0"/>
                      <w:szCs w:val="21"/>
                    </w:rPr>
                    <w:t>一</w:t>
                  </w:r>
                </w:p>
              </w:tc>
              <w:tc>
                <w:tcPr>
                  <w:tcW w:w="1704" w:type="dxa"/>
                </w:tcPr>
                <w:p w14:paraId="69979191">
                  <w:pPr>
                    <w:adjustRightInd w:val="0"/>
                    <w:snapToGrid w:val="0"/>
                    <w:spacing w:before="24" w:beforeLines="10" w:after="24" w:afterLines="10" w:line="259" w:lineRule="auto"/>
                    <w:jc w:val="center"/>
                    <w:rPr>
                      <w:color w:val="auto"/>
                      <w:kern w:val="0"/>
                      <w:szCs w:val="21"/>
                    </w:rPr>
                  </w:pPr>
                  <w:r>
                    <w:rPr>
                      <w:rFonts w:hint="eastAsia"/>
                      <w:color w:val="auto"/>
                      <w:kern w:val="0"/>
                      <w:szCs w:val="21"/>
                    </w:rPr>
                    <w:t>二</w:t>
                  </w:r>
                </w:p>
              </w:tc>
              <w:tc>
                <w:tcPr>
                  <w:tcW w:w="1707" w:type="dxa"/>
                </w:tcPr>
                <w:p w14:paraId="76B8567E">
                  <w:pPr>
                    <w:adjustRightInd w:val="0"/>
                    <w:snapToGrid w:val="0"/>
                    <w:spacing w:before="24" w:beforeLines="10" w:after="24" w:afterLines="10" w:line="259" w:lineRule="auto"/>
                    <w:jc w:val="center"/>
                    <w:rPr>
                      <w:color w:val="auto"/>
                      <w:kern w:val="0"/>
                      <w:szCs w:val="21"/>
                    </w:rPr>
                  </w:pPr>
                  <w:r>
                    <w:rPr>
                      <w:rFonts w:hint="eastAsia"/>
                      <w:color w:val="auto"/>
                      <w:kern w:val="0"/>
                      <w:szCs w:val="21"/>
                    </w:rPr>
                    <w:t>三</w:t>
                  </w:r>
                </w:p>
              </w:tc>
              <w:tc>
                <w:tcPr>
                  <w:tcW w:w="1517" w:type="dxa"/>
                </w:tcPr>
                <w:p w14:paraId="18DB126B">
                  <w:pPr>
                    <w:adjustRightInd w:val="0"/>
                    <w:snapToGrid w:val="0"/>
                    <w:spacing w:before="24" w:beforeLines="10" w:after="24" w:afterLines="10" w:line="259" w:lineRule="auto"/>
                    <w:jc w:val="center"/>
                    <w:rPr>
                      <w:color w:val="auto"/>
                      <w:kern w:val="0"/>
                      <w:szCs w:val="21"/>
                    </w:rPr>
                  </w:pPr>
                  <w:r>
                    <w:rPr>
                      <w:rFonts w:hint="eastAsia"/>
                      <w:color w:val="auto"/>
                      <w:kern w:val="0"/>
                      <w:szCs w:val="21"/>
                    </w:rPr>
                    <w:t>简单分析</w:t>
                  </w:r>
                </w:p>
              </w:tc>
            </w:tr>
            <w:tr w14:paraId="1E164A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1" w:hRule="atLeast"/>
                <w:jc w:val="center"/>
              </w:trPr>
              <w:tc>
                <w:tcPr>
                  <w:tcW w:w="8340" w:type="dxa"/>
                  <w:gridSpan w:val="5"/>
                </w:tcPr>
                <w:p w14:paraId="663F1BB1">
                  <w:pPr>
                    <w:adjustRightInd w:val="0"/>
                    <w:snapToGrid w:val="0"/>
                    <w:spacing w:before="24" w:beforeLines="10" w:after="24" w:afterLines="10" w:line="259" w:lineRule="auto"/>
                    <w:jc w:val="center"/>
                    <w:rPr>
                      <w:color w:val="auto"/>
                      <w:kern w:val="0"/>
                      <w:szCs w:val="21"/>
                    </w:rPr>
                  </w:pPr>
                  <w:r>
                    <w:rPr>
                      <w:rFonts w:hint="eastAsia"/>
                      <w:color w:val="auto"/>
                      <w:kern w:val="0"/>
                      <w:szCs w:val="21"/>
                    </w:rPr>
                    <w:t>注：是相对于详细评价工作而言，在描述危险物质、环境影响途径、环境危害后果、风险防范措施等方面给出定性说明，详见导则附录 A</w:t>
                  </w:r>
                </w:p>
              </w:tc>
            </w:tr>
          </w:tbl>
          <w:p w14:paraId="58375A6A">
            <w:pPr>
              <w:autoSpaceDE w:val="0"/>
              <w:autoSpaceDN w:val="0"/>
              <w:adjustRightInd w:val="0"/>
              <w:snapToGrid w:val="0"/>
              <w:spacing w:line="360" w:lineRule="auto"/>
              <w:ind w:firstLine="480" w:firstLineChars="200"/>
              <w:jc w:val="left"/>
              <w:rPr>
                <w:color w:val="auto"/>
                <w:sz w:val="24"/>
              </w:rPr>
            </w:pPr>
            <w:r>
              <w:rPr>
                <w:color w:val="auto"/>
                <w:sz w:val="24"/>
              </w:rPr>
              <w:t>由上表分析可知</w:t>
            </w:r>
            <w:r>
              <w:rPr>
                <w:rFonts w:hint="eastAsia"/>
                <w:color w:val="auto"/>
                <w:sz w:val="24"/>
              </w:rPr>
              <w:t>，</w:t>
            </w:r>
            <w:r>
              <w:rPr>
                <w:color w:val="auto"/>
                <w:sz w:val="24"/>
              </w:rPr>
              <w:t>项目环境风险潜势为I，对照上表确定项目风险评价等级为简单分析</w:t>
            </w:r>
            <w:bookmarkStart w:id="43" w:name="_Toc3886020"/>
            <w:r>
              <w:rPr>
                <w:rFonts w:hint="eastAsia"/>
                <w:color w:val="auto"/>
                <w:sz w:val="24"/>
              </w:rPr>
              <w:t>。</w:t>
            </w:r>
          </w:p>
          <w:p w14:paraId="5E94881F">
            <w:pPr>
              <w:spacing w:line="360" w:lineRule="auto"/>
              <w:ind w:firstLine="482" w:firstLineChars="200"/>
              <w:rPr>
                <w:b/>
                <w:color w:val="auto"/>
                <w:sz w:val="24"/>
              </w:rPr>
            </w:pPr>
            <w:r>
              <w:rPr>
                <w:rFonts w:hint="eastAsia"/>
                <w:b/>
                <w:color w:val="auto"/>
                <w:sz w:val="24"/>
              </w:rPr>
              <w:t>3、</w:t>
            </w:r>
            <w:r>
              <w:rPr>
                <w:b/>
                <w:color w:val="auto"/>
                <w:sz w:val="24"/>
              </w:rPr>
              <w:t>环境敏感目标概况</w:t>
            </w:r>
            <w:bookmarkEnd w:id="43"/>
          </w:p>
          <w:bookmarkEnd w:id="38"/>
          <w:bookmarkEnd w:id="39"/>
          <w:bookmarkEnd w:id="40"/>
          <w:bookmarkEnd w:id="41"/>
          <w:p w14:paraId="0336F185">
            <w:pPr>
              <w:spacing w:line="360" w:lineRule="auto"/>
              <w:ind w:firstLine="480" w:firstLineChars="200"/>
              <w:rPr>
                <w:color w:val="auto"/>
                <w:sz w:val="24"/>
              </w:rPr>
            </w:pPr>
            <w:r>
              <w:rPr>
                <w:color w:val="auto"/>
                <w:sz w:val="24"/>
                <w:lang w:val="zh-CN"/>
              </w:rPr>
              <w:t>环境风险保护目标：保护项目所在地周围居民的生活环境质量不受影响；保护附近的企业和居民生命、财产的安全。建设项目周围主要环境敏感目标分布情况见表3-</w:t>
            </w:r>
            <w:r>
              <w:rPr>
                <w:rFonts w:hint="eastAsia"/>
                <w:color w:val="auto"/>
                <w:sz w:val="24"/>
                <w:lang w:val="en-US" w:eastAsia="zh-CN"/>
              </w:rPr>
              <w:t>10</w:t>
            </w:r>
            <w:r>
              <w:rPr>
                <w:color w:val="auto"/>
                <w:sz w:val="24"/>
                <w:lang w:val="zh-CN"/>
              </w:rPr>
              <w:t>。</w:t>
            </w:r>
          </w:p>
          <w:p w14:paraId="6DDC3023">
            <w:pPr>
              <w:spacing w:line="360" w:lineRule="auto"/>
              <w:ind w:firstLine="482" w:firstLineChars="200"/>
              <w:rPr>
                <w:b/>
                <w:color w:val="auto"/>
                <w:sz w:val="24"/>
              </w:rPr>
            </w:pPr>
            <w:r>
              <w:rPr>
                <w:b/>
                <w:color w:val="auto"/>
                <w:sz w:val="24"/>
              </w:rPr>
              <w:t>4</w:t>
            </w:r>
            <w:r>
              <w:rPr>
                <w:rFonts w:hint="eastAsia"/>
                <w:b/>
                <w:color w:val="auto"/>
                <w:sz w:val="24"/>
              </w:rPr>
              <w:t>、</w:t>
            </w:r>
            <w:r>
              <w:rPr>
                <w:b/>
                <w:color w:val="auto"/>
                <w:sz w:val="24"/>
              </w:rPr>
              <w:t>环境风险识别</w:t>
            </w:r>
            <w:bookmarkEnd w:id="37"/>
          </w:p>
          <w:p w14:paraId="332FB118">
            <w:pPr>
              <w:spacing w:line="360" w:lineRule="auto"/>
              <w:ind w:firstLine="480" w:firstLineChars="200"/>
              <w:rPr>
                <w:color w:val="auto"/>
                <w:sz w:val="24"/>
                <w:szCs w:val="20"/>
                <w:lang w:val="zh-CN"/>
              </w:rPr>
            </w:pPr>
            <w:r>
              <w:rPr>
                <w:color w:val="auto"/>
                <w:sz w:val="24"/>
                <w:lang w:val="zh-CN"/>
              </w:rPr>
              <w:t>风险识别范围包括生产过程中所涉及的物质风险识别和生产设施风险识别。</w:t>
            </w:r>
          </w:p>
          <w:p w14:paraId="47A9B25F">
            <w:pPr>
              <w:spacing w:line="360" w:lineRule="auto"/>
              <w:ind w:firstLine="480" w:firstLineChars="200"/>
              <w:rPr>
                <w:color w:val="auto"/>
                <w:sz w:val="24"/>
                <w:lang w:val="zh-CN"/>
              </w:rPr>
            </w:pPr>
            <w:r>
              <w:rPr>
                <w:rFonts w:hint="eastAsia"/>
                <w:color w:val="auto"/>
                <w:sz w:val="24"/>
                <w:lang w:val="zh-CN"/>
              </w:rPr>
              <w:t>（</w:t>
            </w:r>
            <w:r>
              <w:rPr>
                <w:color w:val="auto"/>
                <w:sz w:val="24"/>
                <w:lang w:val="zh-CN"/>
              </w:rPr>
              <w:t>1</w:t>
            </w:r>
            <w:r>
              <w:rPr>
                <w:rFonts w:hint="eastAsia"/>
                <w:color w:val="auto"/>
                <w:sz w:val="24"/>
                <w:lang w:val="zh-CN"/>
              </w:rPr>
              <w:t>）环境风险物质：</w:t>
            </w:r>
            <w:r>
              <w:rPr>
                <w:color w:val="auto"/>
                <w:sz w:val="24"/>
                <w:lang w:val="zh-CN"/>
              </w:rPr>
              <w:t>主要原材料及辅助材料、燃料、中间产品、最终产品以及生产过程排放的“三废”污染物等。</w:t>
            </w:r>
            <w:r>
              <w:rPr>
                <w:rFonts w:hint="eastAsia"/>
                <w:color w:val="auto"/>
                <w:sz w:val="24"/>
              </w:rPr>
              <w:t>本项目</w:t>
            </w:r>
            <w:r>
              <w:rPr>
                <w:rFonts w:hint="eastAsia"/>
                <w:color w:val="auto"/>
                <w:sz w:val="24"/>
                <w:lang w:val="zh-CN"/>
              </w:rPr>
              <w:t>具有环境风险的</w:t>
            </w:r>
            <w:r>
              <w:rPr>
                <w:rFonts w:hint="eastAsia"/>
                <w:color w:val="auto"/>
                <w:sz w:val="24"/>
              </w:rPr>
              <w:t>柴油</w:t>
            </w:r>
            <w:r>
              <w:rPr>
                <w:rFonts w:hint="eastAsia"/>
                <w:color w:val="auto"/>
                <w:sz w:val="24"/>
                <w:lang w:val="zh-CN"/>
              </w:rPr>
              <w:t>，在使用过程中发生泄漏、火灾或者爆炸，诱发环境风险事件或次生环境风险事件。</w:t>
            </w:r>
          </w:p>
          <w:p w14:paraId="542CB962">
            <w:pPr>
              <w:spacing w:line="360" w:lineRule="auto"/>
              <w:ind w:firstLine="480" w:firstLineChars="200"/>
              <w:rPr>
                <w:color w:val="auto"/>
                <w:sz w:val="24"/>
              </w:rPr>
            </w:pPr>
            <w:r>
              <w:rPr>
                <w:rFonts w:hint="eastAsia"/>
                <w:color w:val="auto"/>
                <w:sz w:val="24"/>
                <w:lang w:val="zh-CN"/>
              </w:rPr>
              <w:t>（</w:t>
            </w:r>
            <w:r>
              <w:rPr>
                <w:color w:val="auto"/>
                <w:sz w:val="24"/>
                <w:lang w:val="zh-CN"/>
              </w:rPr>
              <w:t>2</w:t>
            </w:r>
            <w:r>
              <w:rPr>
                <w:rFonts w:hint="eastAsia"/>
                <w:color w:val="auto"/>
                <w:sz w:val="24"/>
                <w:lang w:val="zh-CN"/>
              </w:rPr>
              <w:t>）生产单元：</w:t>
            </w:r>
            <w:r>
              <w:rPr>
                <w:color w:val="auto"/>
                <w:sz w:val="24"/>
                <w:lang w:val="zh-CN"/>
              </w:rPr>
              <w:t>主要生产装置、贮运系统、公用工程系统、工程环保设施及辅助生产设施等。</w:t>
            </w:r>
          </w:p>
          <w:p w14:paraId="52D0BA65">
            <w:pPr>
              <w:tabs>
                <w:tab w:val="left" w:pos="3794"/>
              </w:tabs>
              <w:spacing w:line="360" w:lineRule="auto"/>
              <w:ind w:firstLine="480" w:firstLineChars="200"/>
              <w:outlineLvl w:val="2"/>
              <w:rPr>
                <w:color w:val="auto"/>
                <w:sz w:val="24"/>
              </w:rPr>
            </w:pPr>
            <w:r>
              <w:rPr>
                <w:rFonts w:hint="eastAsia"/>
                <w:color w:val="auto"/>
                <w:sz w:val="24"/>
              </w:rPr>
              <w:t>3</w:t>
            </w:r>
            <w:r>
              <w:rPr>
                <w:color w:val="auto"/>
                <w:sz w:val="24"/>
              </w:rPr>
              <w:t>.4.1物质危险性识别</w:t>
            </w:r>
          </w:p>
          <w:p w14:paraId="2C8B8DB5">
            <w:pPr>
              <w:spacing w:line="360" w:lineRule="auto"/>
              <w:ind w:firstLine="480" w:firstLineChars="200"/>
              <w:rPr>
                <w:color w:val="auto"/>
                <w:sz w:val="24"/>
                <w:lang w:val="zh-CN"/>
              </w:rPr>
            </w:pPr>
            <w:r>
              <w:rPr>
                <w:color w:val="auto"/>
                <w:sz w:val="24"/>
                <w:lang w:val="zh-CN"/>
              </w:rPr>
              <w:t>项目涉及的风险物质为</w:t>
            </w:r>
            <w:r>
              <w:rPr>
                <w:rFonts w:hint="eastAsia"/>
                <w:color w:val="auto"/>
                <w:sz w:val="24"/>
              </w:rPr>
              <w:t>柴油</w:t>
            </w:r>
            <w:r>
              <w:rPr>
                <w:color w:val="auto"/>
                <w:sz w:val="24"/>
              </w:rPr>
              <w:t>，</w:t>
            </w:r>
            <w:r>
              <w:rPr>
                <w:color w:val="auto"/>
                <w:sz w:val="24"/>
                <w:lang w:val="zh-CN"/>
              </w:rPr>
              <w:t>其物理化学性质及危险特征见</w:t>
            </w:r>
            <w:r>
              <w:rPr>
                <w:rFonts w:hint="eastAsia"/>
                <w:color w:val="auto"/>
                <w:sz w:val="24"/>
              </w:rPr>
              <w:t>下列表格</w:t>
            </w:r>
            <w:r>
              <w:rPr>
                <w:color w:val="auto"/>
                <w:sz w:val="24"/>
                <w:lang w:val="zh-CN"/>
              </w:rPr>
              <w:t>。</w:t>
            </w:r>
          </w:p>
          <w:p w14:paraId="00C82A81">
            <w:pPr>
              <w:jc w:val="center"/>
              <w:rPr>
                <w:b/>
                <w:color w:val="auto"/>
                <w:kern w:val="0"/>
                <w:szCs w:val="21"/>
              </w:rPr>
            </w:pPr>
            <w:r>
              <w:rPr>
                <w:b/>
                <w:color w:val="auto"/>
                <w:kern w:val="0"/>
                <w:szCs w:val="21"/>
              </w:rPr>
              <w:t>表</w:t>
            </w:r>
            <w:r>
              <w:rPr>
                <w:rFonts w:hint="eastAsia"/>
                <w:b/>
                <w:color w:val="auto"/>
                <w:kern w:val="0"/>
                <w:szCs w:val="21"/>
              </w:rPr>
              <w:t>5-6</w:t>
            </w:r>
            <w:r>
              <w:rPr>
                <w:b/>
                <w:color w:val="auto"/>
                <w:kern w:val="0"/>
                <w:szCs w:val="21"/>
              </w:rPr>
              <w:t xml:space="preserve"> 柴油理化性质及危险特性表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autofit"/>
              <w:tblCellMar>
                <w:top w:w="0" w:type="dxa"/>
                <w:left w:w="108" w:type="dxa"/>
                <w:bottom w:w="0" w:type="dxa"/>
                <w:right w:w="108" w:type="dxa"/>
              </w:tblCellMar>
            </w:tblPr>
            <w:tblGrid>
              <w:gridCol w:w="773"/>
              <w:gridCol w:w="1094"/>
              <w:gridCol w:w="1080"/>
              <w:gridCol w:w="445"/>
              <w:gridCol w:w="493"/>
              <w:gridCol w:w="1197"/>
              <w:gridCol w:w="635"/>
              <w:gridCol w:w="508"/>
              <w:gridCol w:w="1340"/>
            </w:tblGrid>
            <w:tr w14:paraId="5617B47A">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57" w:hRule="atLeast"/>
                <w:jc w:val="center"/>
              </w:trPr>
              <w:tc>
                <w:tcPr>
                  <w:tcW w:w="849" w:type="dxa"/>
                  <w:vAlign w:val="center"/>
                </w:tcPr>
                <w:p w14:paraId="1A1350DC">
                  <w:pPr>
                    <w:jc w:val="center"/>
                    <w:rPr>
                      <w:color w:val="auto"/>
                      <w:szCs w:val="21"/>
                    </w:rPr>
                  </w:pPr>
                  <w:r>
                    <w:rPr>
                      <w:color w:val="auto"/>
                      <w:szCs w:val="21"/>
                    </w:rPr>
                    <w:t>标识</w:t>
                  </w:r>
                </w:p>
              </w:tc>
              <w:tc>
                <w:tcPr>
                  <w:tcW w:w="1147" w:type="dxa"/>
                  <w:vAlign w:val="center"/>
                </w:tcPr>
                <w:p w14:paraId="7211D206">
                  <w:pPr>
                    <w:jc w:val="center"/>
                    <w:rPr>
                      <w:color w:val="auto"/>
                      <w:szCs w:val="21"/>
                    </w:rPr>
                  </w:pPr>
                  <w:r>
                    <w:rPr>
                      <w:color w:val="auto"/>
                      <w:szCs w:val="21"/>
                    </w:rPr>
                    <w:t>中文名</w:t>
                  </w:r>
                </w:p>
              </w:tc>
              <w:tc>
                <w:tcPr>
                  <w:tcW w:w="1100" w:type="dxa"/>
                  <w:vAlign w:val="center"/>
                </w:tcPr>
                <w:p w14:paraId="30B32E2C">
                  <w:pPr>
                    <w:jc w:val="center"/>
                    <w:rPr>
                      <w:color w:val="auto"/>
                      <w:szCs w:val="21"/>
                    </w:rPr>
                  </w:pPr>
                  <w:r>
                    <w:rPr>
                      <w:color w:val="auto"/>
                      <w:szCs w:val="21"/>
                    </w:rPr>
                    <w:t>柴油</w:t>
                  </w:r>
                </w:p>
              </w:tc>
              <w:tc>
                <w:tcPr>
                  <w:tcW w:w="2262" w:type="dxa"/>
                  <w:gridSpan w:val="3"/>
                  <w:vAlign w:val="center"/>
                </w:tcPr>
                <w:p w14:paraId="64FF2520">
                  <w:pPr>
                    <w:jc w:val="center"/>
                    <w:rPr>
                      <w:color w:val="auto"/>
                      <w:szCs w:val="21"/>
                    </w:rPr>
                  </w:pPr>
                  <w:r>
                    <w:rPr>
                      <w:color w:val="auto"/>
                      <w:szCs w:val="21"/>
                    </w:rPr>
                    <w:t>英文名</w:t>
                  </w:r>
                </w:p>
              </w:tc>
              <w:tc>
                <w:tcPr>
                  <w:tcW w:w="2702" w:type="dxa"/>
                  <w:gridSpan w:val="3"/>
                  <w:vAlign w:val="center"/>
                </w:tcPr>
                <w:p w14:paraId="2B401FFB">
                  <w:pPr>
                    <w:jc w:val="center"/>
                    <w:rPr>
                      <w:color w:val="auto"/>
                      <w:szCs w:val="21"/>
                    </w:rPr>
                  </w:pPr>
                  <w:r>
                    <w:rPr>
                      <w:color w:val="auto"/>
                      <w:szCs w:val="21"/>
                    </w:rPr>
                    <w:t>Dieseloil</w:t>
                  </w:r>
                </w:p>
              </w:tc>
            </w:tr>
            <w:tr w14:paraId="5ECD5670">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52" w:hRule="atLeast"/>
                <w:jc w:val="center"/>
              </w:trPr>
              <w:tc>
                <w:tcPr>
                  <w:tcW w:w="849" w:type="dxa"/>
                  <w:vMerge w:val="restart"/>
                  <w:vAlign w:val="center"/>
                </w:tcPr>
                <w:p w14:paraId="6673936B">
                  <w:pPr>
                    <w:jc w:val="center"/>
                    <w:rPr>
                      <w:color w:val="auto"/>
                      <w:szCs w:val="21"/>
                    </w:rPr>
                  </w:pPr>
                  <w:r>
                    <w:rPr>
                      <w:color w:val="auto"/>
                      <w:szCs w:val="21"/>
                    </w:rPr>
                    <w:t>理化性质</w:t>
                  </w:r>
                </w:p>
              </w:tc>
              <w:tc>
                <w:tcPr>
                  <w:tcW w:w="1147" w:type="dxa"/>
                  <w:vAlign w:val="center"/>
                </w:tcPr>
                <w:p w14:paraId="7AEB6DAC">
                  <w:pPr>
                    <w:jc w:val="center"/>
                    <w:rPr>
                      <w:color w:val="auto"/>
                      <w:szCs w:val="21"/>
                    </w:rPr>
                  </w:pPr>
                  <w:r>
                    <w:rPr>
                      <w:color w:val="auto"/>
                      <w:szCs w:val="21"/>
                    </w:rPr>
                    <w:t>外观与性状</w:t>
                  </w:r>
                </w:p>
              </w:tc>
              <w:tc>
                <w:tcPr>
                  <w:tcW w:w="6064" w:type="dxa"/>
                  <w:gridSpan w:val="7"/>
                  <w:vAlign w:val="center"/>
                </w:tcPr>
                <w:p w14:paraId="34DB5EB7">
                  <w:pPr>
                    <w:jc w:val="center"/>
                    <w:rPr>
                      <w:color w:val="auto"/>
                      <w:szCs w:val="21"/>
                    </w:rPr>
                  </w:pPr>
                  <w:r>
                    <w:rPr>
                      <w:color w:val="auto"/>
                      <w:szCs w:val="21"/>
                    </w:rPr>
                    <w:t>稍</w:t>
                  </w:r>
                  <w:r>
                    <w:rPr>
                      <w:rFonts w:hint="eastAsia"/>
                      <w:color w:val="auto"/>
                      <w:szCs w:val="21"/>
                    </w:rPr>
                    <w:t>有黏性的</w:t>
                  </w:r>
                  <w:r>
                    <w:rPr>
                      <w:color w:val="auto"/>
                      <w:szCs w:val="21"/>
                    </w:rPr>
                    <w:t>淡黄色至棕色液体。</w:t>
                  </w:r>
                </w:p>
              </w:tc>
            </w:tr>
            <w:tr w14:paraId="2F54DE33">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02" w:hRule="atLeast"/>
                <w:jc w:val="center"/>
              </w:trPr>
              <w:tc>
                <w:tcPr>
                  <w:tcW w:w="849" w:type="dxa"/>
                  <w:vMerge w:val="continue"/>
                  <w:vAlign w:val="center"/>
                </w:tcPr>
                <w:p w14:paraId="0679FD3A">
                  <w:pPr>
                    <w:jc w:val="center"/>
                    <w:rPr>
                      <w:color w:val="auto"/>
                      <w:szCs w:val="21"/>
                    </w:rPr>
                  </w:pPr>
                </w:p>
              </w:tc>
              <w:tc>
                <w:tcPr>
                  <w:tcW w:w="1147" w:type="dxa"/>
                  <w:vAlign w:val="center"/>
                </w:tcPr>
                <w:p w14:paraId="10F45B30">
                  <w:pPr>
                    <w:jc w:val="center"/>
                    <w:rPr>
                      <w:color w:val="auto"/>
                      <w:szCs w:val="21"/>
                    </w:rPr>
                  </w:pPr>
                  <w:r>
                    <w:rPr>
                      <w:color w:val="auto"/>
                      <w:szCs w:val="21"/>
                    </w:rPr>
                    <w:t>熔点</w:t>
                  </w:r>
                </w:p>
              </w:tc>
              <w:tc>
                <w:tcPr>
                  <w:tcW w:w="1100" w:type="dxa"/>
                  <w:tcBorders>
                    <w:right w:val="single" w:color="auto" w:sz="4" w:space="0"/>
                  </w:tcBorders>
                  <w:vAlign w:val="center"/>
                </w:tcPr>
                <w:p w14:paraId="095AEDFF">
                  <w:pPr>
                    <w:jc w:val="center"/>
                    <w:rPr>
                      <w:color w:val="auto"/>
                      <w:szCs w:val="21"/>
                    </w:rPr>
                  </w:pPr>
                  <w:r>
                    <w:rPr>
                      <w:color w:val="auto"/>
                      <w:szCs w:val="21"/>
                    </w:rPr>
                    <w:t>-50-10℃</w:t>
                  </w:r>
                </w:p>
              </w:tc>
              <w:tc>
                <w:tcPr>
                  <w:tcW w:w="1050" w:type="dxa"/>
                  <w:gridSpan w:val="2"/>
                  <w:tcBorders>
                    <w:left w:val="single" w:color="auto" w:sz="4" w:space="0"/>
                    <w:right w:val="single" w:color="auto" w:sz="4" w:space="0"/>
                  </w:tcBorders>
                  <w:vAlign w:val="center"/>
                </w:tcPr>
                <w:p w14:paraId="006913E7">
                  <w:pPr>
                    <w:jc w:val="center"/>
                    <w:rPr>
                      <w:color w:val="auto"/>
                      <w:szCs w:val="21"/>
                    </w:rPr>
                  </w:pPr>
                  <w:r>
                    <w:rPr>
                      <w:color w:val="auto"/>
                      <w:szCs w:val="21"/>
                    </w:rPr>
                    <w:t>沸点</w:t>
                  </w:r>
                </w:p>
              </w:tc>
              <w:tc>
                <w:tcPr>
                  <w:tcW w:w="1212" w:type="dxa"/>
                  <w:tcBorders>
                    <w:left w:val="single" w:color="auto" w:sz="4" w:space="0"/>
                    <w:right w:val="single" w:color="000000" w:sz="2" w:space="0"/>
                  </w:tcBorders>
                  <w:vAlign w:val="center"/>
                </w:tcPr>
                <w:p w14:paraId="5A2D243D">
                  <w:pPr>
                    <w:jc w:val="center"/>
                    <w:rPr>
                      <w:color w:val="auto"/>
                      <w:szCs w:val="21"/>
                    </w:rPr>
                  </w:pPr>
                  <w:r>
                    <w:rPr>
                      <w:color w:val="auto"/>
                      <w:szCs w:val="21"/>
                    </w:rPr>
                    <w:t>190-420℃</w:t>
                  </w:r>
                </w:p>
              </w:tc>
              <w:tc>
                <w:tcPr>
                  <w:tcW w:w="1282" w:type="dxa"/>
                  <w:gridSpan w:val="2"/>
                  <w:tcBorders>
                    <w:left w:val="single" w:color="000000" w:sz="2" w:space="0"/>
                    <w:right w:val="single" w:color="000000" w:sz="2" w:space="0"/>
                  </w:tcBorders>
                  <w:vAlign w:val="center"/>
                </w:tcPr>
                <w:p w14:paraId="10D40F28">
                  <w:pPr>
                    <w:jc w:val="center"/>
                    <w:rPr>
                      <w:color w:val="auto"/>
                      <w:szCs w:val="21"/>
                    </w:rPr>
                  </w:pPr>
                  <w:r>
                    <w:rPr>
                      <w:color w:val="auto"/>
                      <w:szCs w:val="21"/>
                    </w:rPr>
                    <w:t>相对密度(水=1)</w:t>
                  </w:r>
                </w:p>
              </w:tc>
              <w:tc>
                <w:tcPr>
                  <w:tcW w:w="1420" w:type="dxa"/>
                  <w:tcBorders>
                    <w:left w:val="single" w:color="000000" w:sz="2" w:space="0"/>
                  </w:tcBorders>
                  <w:vAlign w:val="center"/>
                </w:tcPr>
                <w:p w14:paraId="32562EF9">
                  <w:pPr>
                    <w:jc w:val="center"/>
                    <w:rPr>
                      <w:color w:val="auto"/>
                      <w:szCs w:val="21"/>
                    </w:rPr>
                  </w:pPr>
                  <w:r>
                    <w:rPr>
                      <w:color w:val="auto"/>
                      <w:szCs w:val="21"/>
                    </w:rPr>
                    <w:t>0.87~0.9</w:t>
                  </w:r>
                </w:p>
              </w:tc>
            </w:tr>
            <w:tr w14:paraId="00C6726B">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39" w:hRule="atLeast"/>
                <w:jc w:val="center"/>
              </w:trPr>
              <w:tc>
                <w:tcPr>
                  <w:tcW w:w="849" w:type="dxa"/>
                  <w:vMerge w:val="continue"/>
                  <w:vAlign w:val="center"/>
                </w:tcPr>
                <w:p w14:paraId="65DD18E6">
                  <w:pPr>
                    <w:widowControl/>
                    <w:rPr>
                      <w:color w:val="auto"/>
                      <w:szCs w:val="21"/>
                    </w:rPr>
                  </w:pPr>
                </w:p>
              </w:tc>
              <w:tc>
                <w:tcPr>
                  <w:tcW w:w="1147" w:type="dxa"/>
                  <w:vAlign w:val="center"/>
                </w:tcPr>
                <w:p w14:paraId="6E112F9B">
                  <w:pPr>
                    <w:jc w:val="center"/>
                    <w:rPr>
                      <w:color w:val="auto"/>
                      <w:szCs w:val="21"/>
                    </w:rPr>
                  </w:pPr>
                  <w:r>
                    <w:rPr>
                      <w:color w:val="auto"/>
                      <w:szCs w:val="21"/>
                    </w:rPr>
                    <w:t>溶解性</w:t>
                  </w:r>
                </w:p>
              </w:tc>
              <w:tc>
                <w:tcPr>
                  <w:tcW w:w="6064" w:type="dxa"/>
                  <w:gridSpan w:val="7"/>
                  <w:vAlign w:val="center"/>
                </w:tcPr>
                <w:p w14:paraId="245C3769">
                  <w:pPr>
                    <w:jc w:val="left"/>
                    <w:rPr>
                      <w:color w:val="auto"/>
                      <w:szCs w:val="21"/>
                    </w:rPr>
                  </w:pPr>
                  <w:r>
                    <w:rPr>
                      <w:color w:val="auto"/>
                      <w:szCs w:val="21"/>
                    </w:rPr>
                    <w:t>/</w:t>
                  </w:r>
                </w:p>
              </w:tc>
            </w:tr>
            <w:tr w14:paraId="601CF50E">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09" w:hRule="atLeast"/>
                <w:jc w:val="center"/>
              </w:trPr>
              <w:tc>
                <w:tcPr>
                  <w:tcW w:w="849" w:type="dxa"/>
                  <w:vMerge w:val="restart"/>
                  <w:vAlign w:val="center"/>
                </w:tcPr>
                <w:p w14:paraId="582019FC">
                  <w:pPr>
                    <w:jc w:val="center"/>
                    <w:rPr>
                      <w:color w:val="auto"/>
                      <w:szCs w:val="21"/>
                    </w:rPr>
                  </w:pPr>
                </w:p>
                <w:p w14:paraId="6291AB58">
                  <w:pPr>
                    <w:jc w:val="center"/>
                    <w:rPr>
                      <w:color w:val="auto"/>
                      <w:szCs w:val="21"/>
                    </w:rPr>
                  </w:pPr>
                  <w:r>
                    <w:rPr>
                      <w:color w:val="auto"/>
                      <w:szCs w:val="21"/>
                    </w:rPr>
                    <w:t>燃烧爆炸危险性</w:t>
                  </w:r>
                </w:p>
              </w:tc>
              <w:tc>
                <w:tcPr>
                  <w:tcW w:w="1147" w:type="dxa"/>
                  <w:vAlign w:val="center"/>
                </w:tcPr>
                <w:p w14:paraId="09672943">
                  <w:pPr>
                    <w:jc w:val="center"/>
                    <w:rPr>
                      <w:color w:val="auto"/>
                      <w:szCs w:val="21"/>
                    </w:rPr>
                  </w:pPr>
                  <w:r>
                    <w:rPr>
                      <w:color w:val="auto"/>
                      <w:szCs w:val="21"/>
                    </w:rPr>
                    <w:t>燃烧性</w:t>
                  </w:r>
                </w:p>
              </w:tc>
              <w:tc>
                <w:tcPr>
                  <w:tcW w:w="1587" w:type="dxa"/>
                  <w:gridSpan w:val="2"/>
                  <w:tcBorders>
                    <w:right w:val="single" w:color="auto" w:sz="4" w:space="0"/>
                  </w:tcBorders>
                  <w:vAlign w:val="center"/>
                </w:tcPr>
                <w:p w14:paraId="55A69E18">
                  <w:pPr>
                    <w:jc w:val="center"/>
                    <w:rPr>
                      <w:color w:val="auto"/>
                      <w:szCs w:val="21"/>
                    </w:rPr>
                  </w:pPr>
                  <w:r>
                    <w:rPr>
                      <w:color w:val="auto"/>
                      <w:szCs w:val="21"/>
                    </w:rPr>
                    <w:t>易燃</w:t>
                  </w:r>
                </w:p>
              </w:tc>
              <w:tc>
                <w:tcPr>
                  <w:tcW w:w="2475" w:type="dxa"/>
                  <w:gridSpan w:val="3"/>
                  <w:tcBorders>
                    <w:left w:val="single" w:color="auto" w:sz="4" w:space="0"/>
                    <w:right w:val="single" w:color="auto" w:sz="4" w:space="0"/>
                  </w:tcBorders>
                  <w:vAlign w:val="center"/>
                </w:tcPr>
                <w:p w14:paraId="740BE5BE">
                  <w:pPr>
                    <w:jc w:val="center"/>
                    <w:rPr>
                      <w:color w:val="auto"/>
                      <w:szCs w:val="21"/>
                    </w:rPr>
                  </w:pPr>
                  <w:r>
                    <w:rPr>
                      <w:color w:val="auto"/>
                      <w:szCs w:val="21"/>
                    </w:rPr>
                    <w:t>燃烧分解物</w:t>
                  </w:r>
                </w:p>
              </w:tc>
              <w:tc>
                <w:tcPr>
                  <w:tcW w:w="2002" w:type="dxa"/>
                  <w:gridSpan w:val="2"/>
                  <w:tcBorders>
                    <w:left w:val="single" w:color="auto" w:sz="4" w:space="0"/>
                  </w:tcBorders>
                  <w:vAlign w:val="center"/>
                </w:tcPr>
                <w:p w14:paraId="0779A0DD">
                  <w:pPr>
                    <w:jc w:val="center"/>
                    <w:rPr>
                      <w:color w:val="auto"/>
                      <w:szCs w:val="21"/>
                    </w:rPr>
                  </w:pPr>
                  <w:r>
                    <w:rPr>
                      <w:color w:val="auto"/>
                      <w:szCs w:val="21"/>
                    </w:rPr>
                    <w:t>一氧化碳、二氧化碳</w:t>
                  </w:r>
                </w:p>
              </w:tc>
            </w:tr>
            <w:tr w14:paraId="38F51B16">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09" w:hRule="atLeast"/>
                <w:jc w:val="center"/>
              </w:trPr>
              <w:tc>
                <w:tcPr>
                  <w:tcW w:w="849" w:type="dxa"/>
                  <w:vMerge w:val="continue"/>
                  <w:vAlign w:val="center"/>
                </w:tcPr>
                <w:p w14:paraId="51F211D2">
                  <w:pPr>
                    <w:jc w:val="center"/>
                    <w:rPr>
                      <w:color w:val="auto"/>
                      <w:szCs w:val="21"/>
                    </w:rPr>
                  </w:pPr>
                </w:p>
              </w:tc>
              <w:tc>
                <w:tcPr>
                  <w:tcW w:w="1147" w:type="dxa"/>
                  <w:vAlign w:val="center"/>
                </w:tcPr>
                <w:p w14:paraId="4EA2892B">
                  <w:pPr>
                    <w:jc w:val="center"/>
                    <w:rPr>
                      <w:color w:val="auto"/>
                      <w:szCs w:val="21"/>
                    </w:rPr>
                  </w:pPr>
                  <w:r>
                    <w:rPr>
                      <w:color w:val="auto"/>
                      <w:szCs w:val="21"/>
                    </w:rPr>
                    <w:t>闪点（℃）</w:t>
                  </w:r>
                </w:p>
              </w:tc>
              <w:tc>
                <w:tcPr>
                  <w:tcW w:w="1587" w:type="dxa"/>
                  <w:gridSpan w:val="2"/>
                  <w:tcBorders>
                    <w:right w:val="single" w:color="auto" w:sz="4" w:space="0"/>
                  </w:tcBorders>
                  <w:vAlign w:val="center"/>
                </w:tcPr>
                <w:p w14:paraId="4C751554">
                  <w:pPr>
                    <w:jc w:val="center"/>
                    <w:rPr>
                      <w:color w:val="auto"/>
                      <w:szCs w:val="21"/>
                    </w:rPr>
                  </w:pPr>
                  <w:r>
                    <w:rPr>
                      <w:color w:val="auto"/>
                      <w:szCs w:val="21"/>
                    </w:rPr>
                    <w:t>38</w:t>
                  </w:r>
                </w:p>
              </w:tc>
              <w:tc>
                <w:tcPr>
                  <w:tcW w:w="2475" w:type="dxa"/>
                  <w:gridSpan w:val="3"/>
                  <w:tcBorders>
                    <w:left w:val="single" w:color="auto" w:sz="4" w:space="0"/>
                    <w:right w:val="single" w:color="auto" w:sz="4" w:space="0"/>
                  </w:tcBorders>
                  <w:vAlign w:val="center"/>
                </w:tcPr>
                <w:p w14:paraId="42C02822">
                  <w:pPr>
                    <w:jc w:val="center"/>
                    <w:rPr>
                      <w:color w:val="auto"/>
                      <w:szCs w:val="21"/>
                    </w:rPr>
                  </w:pPr>
                  <w:r>
                    <w:rPr>
                      <w:color w:val="auto"/>
                      <w:szCs w:val="21"/>
                    </w:rPr>
                    <w:t>爆炸上限%(v%):</w:t>
                  </w:r>
                </w:p>
              </w:tc>
              <w:tc>
                <w:tcPr>
                  <w:tcW w:w="2002" w:type="dxa"/>
                  <w:gridSpan w:val="2"/>
                  <w:tcBorders>
                    <w:left w:val="single" w:color="auto" w:sz="4" w:space="0"/>
                  </w:tcBorders>
                  <w:vAlign w:val="center"/>
                </w:tcPr>
                <w:p w14:paraId="60D07A6A">
                  <w:pPr>
                    <w:jc w:val="center"/>
                    <w:rPr>
                      <w:color w:val="auto"/>
                      <w:szCs w:val="21"/>
                    </w:rPr>
                  </w:pPr>
                  <w:r>
                    <w:rPr>
                      <w:color w:val="auto"/>
                      <w:szCs w:val="21"/>
                    </w:rPr>
                    <w:t>/</w:t>
                  </w:r>
                </w:p>
              </w:tc>
            </w:tr>
            <w:tr w14:paraId="736E5931">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409" w:hRule="atLeast"/>
                <w:jc w:val="center"/>
              </w:trPr>
              <w:tc>
                <w:tcPr>
                  <w:tcW w:w="849" w:type="dxa"/>
                  <w:vMerge w:val="continue"/>
                  <w:vAlign w:val="center"/>
                </w:tcPr>
                <w:p w14:paraId="2E1CE805">
                  <w:pPr>
                    <w:jc w:val="center"/>
                    <w:rPr>
                      <w:color w:val="auto"/>
                      <w:szCs w:val="21"/>
                    </w:rPr>
                  </w:pPr>
                </w:p>
              </w:tc>
              <w:tc>
                <w:tcPr>
                  <w:tcW w:w="1147" w:type="dxa"/>
                  <w:vAlign w:val="center"/>
                </w:tcPr>
                <w:p w14:paraId="25FDD72B">
                  <w:pPr>
                    <w:jc w:val="center"/>
                    <w:rPr>
                      <w:color w:val="auto"/>
                      <w:szCs w:val="21"/>
                    </w:rPr>
                  </w:pPr>
                  <w:r>
                    <w:rPr>
                      <w:color w:val="auto"/>
                      <w:szCs w:val="21"/>
                    </w:rPr>
                    <w:t>自然温度（℃）</w:t>
                  </w:r>
                </w:p>
              </w:tc>
              <w:tc>
                <w:tcPr>
                  <w:tcW w:w="1587" w:type="dxa"/>
                  <w:gridSpan w:val="2"/>
                  <w:tcBorders>
                    <w:right w:val="single" w:color="auto" w:sz="4" w:space="0"/>
                  </w:tcBorders>
                  <w:vAlign w:val="center"/>
                </w:tcPr>
                <w:p w14:paraId="16344DD0">
                  <w:pPr>
                    <w:jc w:val="center"/>
                    <w:rPr>
                      <w:color w:val="auto"/>
                      <w:szCs w:val="21"/>
                    </w:rPr>
                  </w:pPr>
                  <w:r>
                    <w:rPr>
                      <w:color w:val="auto"/>
                      <w:szCs w:val="21"/>
                    </w:rPr>
                    <w:t>257</w:t>
                  </w:r>
                </w:p>
              </w:tc>
              <w:tc>
                <w:tcPr>
                  <w:tcW w:w="2475" w:type="dxa"/>
                  <w:gridSpan w:val="3"/>
                  <w:tcBorders>
                    <w:left w:val="single" w:color="auto" w:sz="4" w:space="0"/>
                    <w:right w:val="single" w:color="auto" w:sz="4" w:space="0"/>
                  </w:tcBorders>
                  <w:vAlign w:val="center"/>
                </w:tcPr>
                <w:p w14:paraId="6F99D916">
                  <w:pPr>
                    <w:jc w:val="center"/>
                    <w:rPr>
                      <w:color w:val="auto"/>
                      <w:szCs w:val="21"/>
                    </w:rPr>
                  </w:pPr>
                  <w:r>
                    <w:rPr>
                      <w:color w:val="auto"/>
                      <w:szCs w:val="21"/>
                    </w:rPr>
                    <w:t>爆炸下限%(v%):</w:t>
                  </w:r>
                </w:p>
              </w:tc>
              <w:tc>
                <w:tcPr>
                  <w:tcW w:w="2002" w:type="dxa"/>
                  <w:gridSpan w:val="2"/>
                  <w:tcBorders>
                    <w:left w:val="single" w:color="auto" w:sz="4" w:space="0"/>
                  </w:tcBorders>
                  <w:vAlign w:val="center"/>
                </w:tcPr>
                <w:p w14:paraId="7C2A077E">
                  <w:pPr>
                    <w:jc w:val="center"/>
                    <w:rPr>
                      <w:color w:val="auto"/>
                      <w:szCs w:val="21"/>
                    </w:rPr>
                  </w:pPr>
                  <w:r>
                    <w:rPr>
                      <w:color w:val="auto"/>
                      <w:szCs w:val="21"/>
                    </w:rPr>
                    <w:t>/</w:t>
                  </w:r>
                </w:p>
              </w:tc>
            </w:tr>
            <w:tr w14:paraId="6E1D40C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539" w:hRule="atLeast"/>
                <w:jc w:val="center"/>
              </w:trPr>
              <w:tc>
                <w:tcPr>
                  <w:tcW w:w="849" w:type="dxa"/>
                  <w:vMerge w:val="continue"/>
                  <w:vAlign w:val="center"/>
                </w:tcPr>
                <w:p w14:paraId="6B60A6B5">
                  <w:pPr>
                    <w:jc w:val="center"/>
                    <w:rPr>
                      <w:color w:val="auto"/>
                      <w:szCs w:val="21"/>
                    </w:rPr>
                  </w:pPr>
                </w:p>
              </w:tc>
              <w:tc>
                <w:tcPr>
                  <w:tcW w:w="7211" w:type="dxa"/>
                  <w:gridSpan w:val="8"/>
                  <w:vAlign w:val="center"/>
                </w:tcPr>
                <w:p w14:paraId="75E85BF8">
                  <w:pPr>
                    <w:jc w:val="left"/>
                    <w:rPr>
                      <w:color w:val="auto"/>
                      <w:szCs w:val="21"/>
                    </w:rPr>
                  </w:pPr>
                  <w:r>
                    <w:rPr>
                      <w:color w:val="auto"/>
                    </w:rPr>
                    <w:t>危险特性：遇明火、高热或与氧化剂接触，有引起燃烧爆炸的危险。若遇高热，容器内压增大，</w:t>
                  </w:r>
                  <w:r>
                    <w:rPr>
                      <w:rFonts w:hint="eastAsia"/>
                      <w:color w:val="auto"/>
                    </w:rPr>
                    <w:t>有</w:t>
                  </w:r>
                  <w:r>
                    <w:rPr>
                      <w:color w:val="auto"/>
                    </w:rPr>
                    <w:t>开裂和爆炸的危险。</w:t>
                  </w:r>
                </w:p>
              </w:tc>
            </w:tr>
            <w:tr w14:paraId="4027649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306" w:hRule="atLeast"/>
                <w:jc w:val="center"/>
              </w:trPr>
              <w:tc>
                <w:tcPr>
                  <w:tcW w:w="849" w:type="dxa"/>
                  <w:vMerge w:val="restart"/>
                  <w:vAlign w:val="center"/>
                </w:tcPr>
                <w:p w14:paraId="734B5D6C">
                  <w:pPr>
                    <w:jc w:val="center"/>
                    <w:rPr>
                      <w:color w:val="auto"/>
                      <w:szCs w:val="21"/>
                    </w:rPr>
                  </w:pPr>
                  <w:r>
                    <w:rPr>
                      <w:color w:val="auto"/>
                      <w:szCs w:val="21"/>
                    </w:rPr>
                    <w:t>毒性及健康危害</w:t>
                  </w:r>
                </w:p>
              </w:tc>
              <w:tc>
                <w:tcPr>
                  <w:tcW w:w="1147" w:type="dxa"/>
                  <w:tcBorders>
                    <w:bottom w:val="single" w:color="000000" w:sz="2" w:space="0"/>
                    <w:right w:val="single" w:color="000000" w:sz="2" w:space="0"/>
                  </w:tcBorders>
                  <w:vAlign w:val="center"/>
                </w:tcPr>
                <w:p w14:paraId="2D4BE28F">
                  <w:pPr>
                    <w:jc w:val="center"/>
                    <w:rPr>
                      <w:color w:val="auto"/>
                      <w:szCs w:val="21"/>
                    </w:rPr>
                  </w:pPr>
                  <w:r>
                    <w:rPr>
                      <w:color w:val="auto"/>
                      <w:szCs w:val="21"/>
                    </w:rPr>
                    <w:t>侵入途径</w:t>
                  </w:r>
                </w:p>
              </w:tc>
              <w:tc>
                <w:tcPr>
                  <w:tcW w:w="6064" w:type="dxa"/>
                  <w:gridSpan w:val="7"/>
                  <w:tcBorders>
                    <w:left w:val="single" w:color="000000" w:sz="2" w:space="0"/>
                    <w:bottom w:val="single" w:color="000000" w:sz="2" w:space="0"/>
                  </w:tcBorders>
                  <w:vAlign w:val="center"/>
                </w:tcPr>
                <w:p w14:paraId="533F5832">
                  <w:pPr>
                    <w:jc w:val="left"/>
                    <w:rPr>
                      <w:color w:val="auto"/>
                      <w:szCs w:val="21"/>
                    </w:rPr>
                  </w:pPr>
                  <w:r>
                    <w:rPr>
                      <w:color w:val="auto"/>
                      <w:szCs w:val="21"/>
                    </w:rPr>
                    <w:t>吸入、食入、经皮吸收</w:t>
                  </w:r>
                </w:p>
              </w:tc>
            </w:tr>
            <w:tr w14:paraId="090460FE">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118" w:hRule="atLeast"/>
                <w:jc w:val="center"/>
              </w:trPr>
              <w:tc>
                <w:tcPr>
                  <w:tcW w:w="849" w:type="dxa"/>
                  <w:vMerge w:val="continue"/>
                  <w:vAlign w:val="center"/>
                </w:tcPr>
                <w:p w14:paraId="424B8478">
                  <w:pPr>
                    <w:jc w:val="center"/>
                    <w:rPr>
                      <w:color w:val="auto"/>
                      <w:szCs w:val="21"/>
                    </w:rPr>
                  </w:pPr>
                </w:p>
              </w:tc>
              <w:tc>
                <w:tcPr>
                  <w:tcW w:w="1147" w:type="dxa"/>
                  <w:tcBorders>
                    <w:top w:val="single" w:color="000000" w:sz="2" w:space="0"/>
                    <w:right w:val="single" w:color="auto" w:sz="4" w:space="0"/>
                  </w:tcBorders>
                  <w:vAlign w:val="center"/>
                </w:tcPr>
                <w:p w14:paraId="6625DA97">
                  <w:pPr>
                    <w:jc w:val="center"/>
                    <w:rPr>
                      <w:color w:val="auto"/>
                      <w:szCs w:val="21"/>
                    </w:rPr>
                  </w:pPr>
                  <w:r>
                    <w:rPr>
                      <w:color w:val="auto"/>
                      <w:szCs w:val="21"/>
                    </w:rPr>
                    <w:t>健康危害</w:t>
                  </w:r>
                </w:p>
              </w:tc>
              <w:tc>
                <w:tcPr>
                  <w:tcW w:w="6064" w:type="dxa"/>
                  <w:gridSpan w:val="7"/>
                  <w:tcBorders>
                    <w:top w:val="single" w:color="000000" w:sz="2" w:space="0"/>
                    <w:left w:val="single" w:color="auto" w:sz="4" w:space="0"/>
                  </w:tcBorders>
                  <w:vAlign w:val="center"/>
                </w:tcPr>
                <w:p w14:paraId="553FBB61">
                  <w:pPr>
                    <w:jc w:val="left"/>
                    <w:rPr>
                      <w:color w:val="auto"/>
                      <w:szCs w:val="21"/>
                    </w:rPr>
                  </w:pPr>
                  <w:r>
                    <w:rPr>
                      <w:color w:val="auto"/>
                      <w:szCs w:val="21"/>
                    </w:rPr>
                    <w:t>皮肤接触可为主要吸收途径，可致急性肾脏损害。柴油可引起接触性皮类、油性疮。吸入雾滴或液体呛入可引起吸入性肺炎。能经胎盘进入胎儿血中。柴油废气可引起眼、鼻刺激症状，头晕及头痛。</w:t>
                  </w:r>
                </w:p>
              </w:tc>
            </w:tr>
            <w:tr w14:paraId="3FBB14D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PrEx>
              <w:trPr>
                <w:trHeight w:val="1341" w:hRule="atLeast"/>
                <w:jc w:val="center"/>
              </w:trPr>
              <w:tc>
                <w:tcPr>
                  <w:tcW w:w="849" w:type="dxa"/>
                  <w:vAlign w:val="center"/>
                </w:tcPr>
                <w:p w14:paraId="0809A135">
                  <w:pPr>
                    <w:jc w:val="center"/>
                    <w:rPr>
                      <w:color w:val="auto"/>
                      <w:szCs w:val="21"/>
                    </w:rPr>
                  </w:pPr>
                  <w:r>
                    <w:rPr>
                      <w:color w:val="auto"/>
                      <w:szCs w:val="21"/>
                    </w:rPr>
                    <w:t>急救措施</w:t>
                  </w:r>
                </w:p>
              </w:tc>
              <w:tc>
                <w:tcPr>
                  <w:tcW w:w="7211" w:type="dxa"/>
                  <w:gridSpan w:val="8"/>
                  <w:tcBorders>
                    <w:top w:val="single" w:color="000000" w:sz="2" w:space="0"/>
                  </w:tcBorders>
                  <w:vAlign w:val="center"/>
                </w:tcPr>
                <w:p w14:paraId="747A12D1">
                  <w:pPr>
                    <w:jc w:val="left"/>
                    <w:rPr>
                      <w:color w:val="auto"/>
                      <w:szCs w:val="21"/>
                    </w:rPr>
                  </w:pPr>
                  <w:r>
                    <w:rPr>
                      <w:color w:val="auto"/>
                      <w:szCs w:val="21"/>
                    </w:rPr>
                    <w:t>皮肤接触：立即脱去污染的衣着，用肥皂水和清水彻底冲洗皮肤。就医。</w:t>
                  </w:r>
                </w:p>
                <w:p w14:paraId="0A30CE58">
                  <w:pPr>
                    <w:jc w:val="left"/>
                    <w:rPr>
                      <w:color w:val="auto"/>
                      <w:szCs w:val="21"/>
                    </w:rPr>
                  </w:pPr>
                  <w:r>
                    <w:rPr>
                      <w:color w:val="auto"/>
                      <w:szCs w:val="21"/>
                    </w:rPr>
                    <w:t>眼睛接触：提起</w:t>
                  </w:r>
                  <w:r>
                    <w:rPr>
                      <w:rFonts w:hint="eastAsia"/>
                      <w:color w:val="auto"/>
                      <w:szCs w:val="21"/>
                    </w:rPr>
                    <w:t>眼睑</w:t>
                  </w:r>
                  <w:r>
                    <w:rPr>
                      <w:color w:val="auto"/>
                      <w:szCs w:val="21"/>
                    </w:rPr>
                    <w:t>，用流动清水或生理盐水冲洗。就医。</w:t>
                  </w:r>
                </w:p>
                <w:p w14:paraId="0D68C789">
                  <w:pPr>
                    <w:jc w:val="left"/>
                    <w:rPr>
                      <w:color w:val="auto"/>
                      <w:szCs w:val="21"/>
                    </w:rPr>
                  </w:pPr>
                  <w:r>
                    <w:rPr>
                      <w:color w:val="auto"/>
                      <w:szCs w:val="21"/>
                    </w:rPr>
                    <w:t>吸入：迅速脱离现场至空气新鲜处。保持呼吸道通畅。如呼吸困难，给输氧；如呼吸停止，立即进行人工呼吸。就医。</w:t>
                  </w:r>
                </w:p>
                <w:p w14:paraId="07BB83C7">
                  <w:pPr>
                    <w:jc w:val="left"/>
                    <w:rPr>
                      <w:color w:val="auto"/>
                      <w:szCs w:val="21"/>
                    </w:rPr>
                  </w:pPr>
                  <w:r>
                    <w:rPr>
                      <w:color w:val="auto"/>
                      <w:szCs w:val="21"/>
                    </w:rPr>
                    <w:t>食入：尽快彻底洗胃。就医</w:t>
                  </w:r>
                </w:p>
              </w:tc>
            </w:tr>
            <w:tr w14:paraId="58147DF4">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1258" w:hRule="atLeast"/>
                <w:jc w:val="center"/>
              </w:trPr>
              <w:tc>
                <w:tcPr>
                  <w:tcW w:w="849" w:type="dxa"/>
                  <w:vAlign w:val="center"/>
                </w:tcPr>
                <w:p w14:paraId="071AD0F3">
                  <w:pPr>
                    <w:jc w:val="center"/>
                    <w:rPr>
                      <w:color w:val="auto"/>
                      <w:szCs w:val="21"/>
                    </w:rPr>
                  </w:pPr>
                  <w:r>
                    <w:rPr>
                      <w:color w:val="auto"/>
                      <w:szCs w:val="21"/>
                    </w:rPr>
                    <w:t>泄漏应急 处理措施</w:t>
                  </w:r>
                </w:p>
              </w:tc>
              <w:tc>
                <w:tcPr>
                  <w:tcW w:w="7211" w:type="dxa"/>
                  <w:gridSpan w:val="8"/>
                  <w:vAlign w:val="center"/>
                </w:tcPr>
                <w:p w14:paraId="2ACEBC24">
                  <w:pPr>
                    <w:jc w:val="left"/>
                    <w:rPr>
                      <w:color w:val="auto"/>
                      <w:szCs w:val="21"/>
                    </w:rPr>
                  </w:pPr>
                  <w:r>
                    <w:rPr>
                      <w:color w:val="auto"/>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w:t>
                  </w:r>
                  <w:r>
                    <w:rPr>
                      <w:rFonts w:hint="eastAsia"/>
                      <w:color w:val="auto"/>
                      <w:szCs w:val="21"/>
                    </w:rPr>
                    <w:t>其他</w:t>
                  </w:r>
                  <w:r>
                    <w:rPr>
                      <w:color w:val="auto"/>
                      <w:szCs w:val="21"/>
                    </w:rPr>
                    <w:t>性材料吸收。大量泄漏：构筑围堤或挖坑收容。用泵转移至槽车或专用收集器内，回收或运至废物处理场所处置。</w:t>
                  </w:r>
                </w:p>
              </w:tc>
            </w:tr>
            <w:tr w14:paraId="643A571C">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678" w:hRule="atLeast"/>
                <w:jc w:val="center"/>
              </w:trPr>
              <w:tc>
                <w:tcPr>
                  <w:tcW w:w="849" w:type="dxa"/>
                  <w:vAlign w:val="center"/>
                </w:tcPr>
                <w:p w14:paraId="2530E16B">
                  <w:pPr>
                    <w:jc w:val="center"/>
                    <w:rPr>
                      <w:color w:val="auto"/>
                      <w:szCs w:val="21"/>
                    </w:rPr>
                  </w:pPr>
                  <w:r>
                    <w:rPr>
                      <w:color w:val="auto"/>
                      <w:szCs w:val="21"/>
                    </w:rPr>
                    <w:t>灭火方法</w:t>
                  </w:r>
                </w:p>
              </w:tc>
              <w:tc>
                <w:tcPr>
                  <w:tcW w:w="7211" w:type="dxa"/>
                  <w:gridSpan w:val="8"/>
                  <w:vAlign w:val="center"/>
                </w:tcPr>
                <w:p w14:paraId="5F448F4D">
                  <w:pPr>
                    <w:jc w:val="left"/>
                    <w:rPr>
                      <w:color w:val="auto"/>
                      <w:szCs w:val="21"/>
                    </w:rPr>
                  </w:pPr>
                  <w:r>
                    <w:rPr>
                      <w:color w:val="auto"/>
                      <w:szCs w:val="21"/>
                    </w:rPr>
                    <w:t>喷水冷却容器，可能的话将容器从火场移至空旷处。灭火剂：泡沫、干粉、二氧化碳。用水灭火无效。</w:t>
                  </w:r>
                </w:p>
              </w:tc>
            </w:tr>
            <w:tr w14:paraId="39C4AE79">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CellMar>
                  <w:top w:w="0" w:type="dxa"/>
                  <w:left w:w="108" w:type="dxa"/>
                  <w:bottom w:w="0" w:type="dxa"/>
                  <w:right w:w="108" w:type="dxa"/>
                </w:tblCellMar>
              </w:tblPrEx>
              <w:trPr>
                <w:trHeight w:val="678" w:hRule="atLeast"/>
                <w:jc w:val="center"/>
              </w:trPr>
              <w:tc>
                <w:tcPr>
                  <w:tcW w:w="849" w:type="dxa"/>
                  <w:vAlign w:val="center"/>
                </w:tcPr>
                <w:p w14:paraId="2D2CBAB8">
                  <w:pPr>
                    <w:jc w:val="center"/>
                    <w:rPr>
                      <w:color w:val="auto"/>
                      <w:szCs w:val="21"/>
                    </w:rPr>
                  </w:pPr>
                  <w:r>
                    <w:rPr>
                      <w:color w:val="auto"/>
                      <w:szCs w:val="21"/>
                    </w:rPr>
                    <w:t>储运注意事项</w:t>
                  </w:r>
                </w:p>
              </w:tc>
              <w:tc>
                <w:tcPr>
                  <w:tcW w:w="7211" w:type="dxa"/>
                  <w:gridSpan w:val="8"/>
                  <w:vAlign w:val="center"/>
                </w:tcPr>
                <w:p w14:paraId="2803EDC0">
                  <w:pPr>
                    <w:jc w:val="left"/>
                    <w:rPr>
                      <w:color w:val="auto"/>
                      <w:szCs w:val="21"/>
                    </w:rPr>
                  </w:pPr>
                  <w:r>
                    <w:rPr>
                      <w:color w:val="auto"/>
                      <w:szCs w:val="21"/>
                    </w:rPr>
                    <w:t>储存于阴凉、通风的库房。远离火种、热源。应与氧化剂、卤素分开存放，切忌混储。</w:t>
                  </w:r>
                </w:p>
              </w:tc>
            </w:tr>
          </w:tbl>
          <w:p w14:paraId="49663BFC">
            <w:pPr>
              <w:spacing w:line="360" w:lineRule="auto"/>
              <w:ind w:firstLine="480" w:firstLineChars="200"/>
              <w:rPr>
                <w:color w:val="auto"/>
                <w:sz w:val="24"/>
              </w:rPr>
            </w:pPr>
            <w:r>
              <w:rPr>
                <w:rFonts w:hint="eastAsia"/>
                <w:color w:val="auto"/>
                <w:sz w:val="24"/>
              </w:rPr>
              <w:t>3</w:t>
            </w:r>
            <w:r>
              <w:rPr>
                <w:color w:val="auto"/>
                <w:sz w:val="24"/>
              </w:rPr>
              <w:t>.4.2</w:t>
            </w:r>
            <w:r>
              <w:rPr>
                <w:rFonts w:hint="eastAsia"/>
                <w:color w:val="auto"/>
                <w:sz w:val="24"/>
              </w:rPr>
              <w:t>生产过程及储运环境风险识别</w:t>
            </w:r>
          </w:p>
          <w:p w14:paraId="72181F31">
            <w:pPr>
              <w:adjustRightInd w:val="0"/>
              <w:spacing w:line="360" w:lineRule="auto"/>
              <w:ind w:firstLine="480" w:firstLineChars="200"/>
              <w:rPr>
                <w:color w:val="auto"/>
                <w:sz w:val="24"/>
              </w:rPr>
            </w:pPr>
            <w:r>
              <w:rPr>
                <w:rFonts w:hint="eastAsia"/>
                <w:color w:val="auto"/>
                <w:sz w:val="24"/>
              </w:rPr>
              <w:t>（1）物料储运风险识别：柴油其在储存的过程存在一定的泄漏风险，柴油桶破裂、破损等情况下，造成柴油渗漏、泄漏，或造成火灾、爆炸事故等，从而对周边环境造成影响。</w:t>
            </w:r>
          </w:p>
          <w:p w14:paraId="2271832E">
            <w:pPr>
              <w:adjustRightInd w:val="0"/>
              <w:spacing w:line="360" w:lineRule="auto"/>
              <w:ind w:firstLine="480" w:firstLineChars="200"/>
              <w:rPr>
                <w:color w:val="auto"/>
                <w:sz w:val="24"/>
              </w:rPr>
            </w:pPr>
            <w:r>
              <w:rPr>
                <w:rFonts w:hint="eastAsia"/>
                <w:color w:val="auto"/>
                <w:sz w:val="24"/>
              </w:rPr>
              <w:t>（2）环保工程环境风险识别：项目主要环保设施为尾水罐，若尾水罐发生破裂、坍塌可能使废水外流对周边地表水造成影响；若遇暴雨天气可能使循环水系统废水溢流，造成周边水体污染。</w:t>
            </w:r>
          </w:p>
          <w:p w14:paraId="77C2303C">
            <w:pPr>
              <w:spacing w:line="360" w:lineRule="auto"/>
              <w:ind w:firstLine="482" w:firstLineChars="200"/>
              <w:rPr>
                <w:b/>
                <w:bCs/>
                <w:color w:val="auto"/>
                <w:sz w:val="24"/>
              </w:rPr>
            </w:pPr>
            <w:bookmarkStart w:id="44" w:name="_Toc331753538"/>
            <w:bookmarkStart w:id="45" w:name="_Toc352329354"/>
            <w:bookmarkStart w:id="46" w:name="_Toc31165"/>
            <w:bookmarkStart w:id="47" w:name="_Toc339981797"/>
            <w:r>
              <w:rPr>
                <w:rFonts w:hint="eastAsia"/>
                <w:b/>
                <w:bCs/>
                <w:color w:val="auto"/>
                <w:sz w:val="24"/>
              </w:rPr>
              <w:t>5、</w:t>
            </w:r>
            <w:r>
              <w:rPr>
                <w:b/>
                <w:bCs/>
                <w:color w:val="auto"/>
                <w:sz w:val="24"/>
              </w:rPr>
              <w:t>环境风险防范措施</w:t>
            </w:r>
            <w:bookmarkEnd w:id="44"/>
            <w:bookmarkEnd w:id="45"/>
            <w:bookmarkEnd w:id="46"/>
            <w:bookmarkEnd w:id="47"/>
            <w:r>
              <w:rPr>
                <w:b/>
                <w:bCs/>
                <w:color w:val="auto"/>
                <w:sz w:val="24"/>
              </w:rPr>
              <w:t xml:space="preserve"> </w:t>
            </w:r>
          </w:p>
          <w:p w14:paraId="6FC1544C">
            <w:pPr>
              <w:tabs>
                <w:tab w:val="left" w:pos="510"/>
              </w:tabs>
              <w:spacing w:line="360" w:lineRule="auto"/>
              <w:ind w:firstLine="482" w:firstLineChars="200"/>
              <w:rPr>
                <w:b/>
                <w:bCs/>
                <w:color w:val="auto"/>
                <w:sz w:val="24"/>
              </w:rPr>
            </w:pPr>
            <w:r>
              <w:rPr>
                <w:b/>
                <w:bCs/>
                <w:color w:val="auto"/>
                <w:sz w:val="24"/>
              </w:rPr>
              <w:t>5.1</w:t>
            </w:r>
            <w:r>
              <w:rPr>
                <w:rFonts w:hint="eastAsia"/>
                <w:b/>
                <w:bCs/>
                <w:color w:val="auto"/>
                <w:sz w:val="24"/>
              </w:rPr>
              <w:t>、物料储运风险</w:t>
            </w:r>
            <w:r>
              <w:rPr>
                <w:b/>
                <w:bCs/>
                <w:color w:val="auto"/>
                <w:sz w:val="24"/>
              </w:rPr>
              <w:t>防护措施</w:t>
            </w:r>
          </w:p>
          <w:p w14:paraId="66CBD407">
            <w:pPr>
              <w:spacing w:line="360" w:lineRule="auto"/>
              <w:ind w:firstLine="480" w:firstLineChars="200"/>
              <w:rPr>
                <w:color w:val="auto"/>
                <w:sz w:val="24"/>
              </w:rPr>
            </w:pPr>
            <w:r>
              <w:rPr>
                <w:rFonts w:hint="eastAsia"/>
                <w:color w:val="auto"/>
                <w:sz w:val="24"/>
              </w:rPr>
              <w:t>柴油</w:t>
            </w:r>
            <w:r>
              <w:rPr>
                <w:color w:val="auto"/>
                <w:sz w:val="24"/>
              </w:rPr>
              <w:t>成分几乎全是有机化合物，闪点低、燃点也低，因此极易燃烧，但储油桶渗漏且遇到明火时则很容易发生火灾。企业发生火灾爆炸事故时，在燃烧过程中不仅会产生 CO，还可能伴生大量的烟尘和 CO</w:t>
            </w:r>
            <w:r>
              <w:rPr>
                <w:color w:val="auto"/>
                <w:sz w:val="24"/>
                <w:vertAlign w:val="subscript"/>
              </w:rPr>
              <w:t>2</w:t>
            </w:r>
            <w:r>
              <w:rPr>
                <w:color w:val="auto"/>
                <w:sz w:val="24"/>
              </w:rPr>
              <w:t>等污染物，会在短时间内对周围环境产生较大的不利影响，其中以 CO对人体及周边环境的影响最大。CO为有毒气体，其进入人体之后会和血液中的血红蛋白结合，进而排挤血红蛋白与氧气的结合，从而使人体出现缺氧现象而导致中毒。鱼塘周边管理用房发生柴油泄漏</w:t>
            </w:r>
            <w:r>
              <w:rPr>
                <w:rFonts w:hint="eastAsia"/>
                <w:color w:val="auto"/>
                <w:sz w:val="24"/>
              </w:rPr>
              <w:t>+</w:t>
            </w:r>
            <w:r>
              <w:rPr>
                <w:color w:val="auto"/>
                <w:sz w:val="24"/>
              </w:rPr>
              <w:t>火灾，需优先遵循“先控火、再防泄漏扩散、最后护鱼塘”的核心原则，快速阻断风险链，避免火势蔓延和水体污染</w:t>
            </w:r>
            <w:r>
              <w:rPr>
                <w:rFonts w:hint="eastAsia"/>
                <w:color w:val="auto"/>
                <w:sz w:val="24"/>
              </w:rPr>
              <w:t>，具体如下：</w:t>
            </w:r>
          </w:p>
          <w:p w14:paraId="34920A74">
            <w:pPr>
              <w:spacing w:line="360" w:lineRule="auto"/>
              <w:ind w:firstLine="480" w:firstLineChars="200"/>
              <w:rPr>
                <w:color w:val="auto"/>
                <w:sz w:val="24"/>
              </w:rPr>
            </w:pPr>
            <w:r>
              <w:rPr>
                <w:rFonts w:hint="eastAsia"/>
                <w:color w:val="auto"/>
                <w:sz w:val="24"/>
              </w:rPr>
              <w:t>①</w:t>
            </w:r>
            <w:r>
              <w:rPr>
                <w:color w:val="auto"/>
                <w:sz w:val="24"/>
              </w:rPr>
              <w:t>立即启动应急处置</w:t>
            </w:r>
            <w:r>
              <w:rPr>
                <w:rFonts w:hint="eastAsia"/>
                <w:color w:val="auto"/>
                <w:sz w:val="24"/>
              </w:rPr>
              <w:t>：</w:t>
            </w:r>
            <w:r>
              <w:rPr>
                <w:color w:val="auto"/>
                <w:sz w:val="24"/>
              </w:rPr>
              <w:t>立即组织现场人员撤离至安全区域，拨打119</w:t>
            </w:r>
            <w:r>
              <w:rPr>
                <w:rFonts w:hint="eastAsia"/>
                <w:color w:val="auto"/>
                <w:sz w:val="24"/>
              </w:rPr>
              <w:t>，</w:t>
            </w:r>
            <w:r>
              <w:rPr>
                <w:color w:val="auto"/>
                <w:sz w:val="24"/>
              </w:rPr>
              <w:t>同时渔业主管部门。若火势较小（未大面积蔓延），使用干粉灭火器、泡沫灭火器（严禁用水直接扑救柴油火）对准火源根部喷射；若泄漏柴油形成流淌火，用沙土、防火毯铺设拦截，阻止火势扩散。关闭柴油储存容器阀门，移走周边易燃物（如纸箱、木材、其他油料），避免火势扩大。</w:t>
            </w:r>
          </w:p>
          <w:p w14:paraId="61A7CBEC">
            <w:pPr>
              <w:spacing w:line="360" w:lineRule="auto"/>
              <w:ind w:firstLine="480" w:firstLineChars="200"/>
              <w:rPr>
                <w:color w:val="auto"/>
                <w:sz w:val="24"/>
              </w:rPr>
            </w:pPr>
            <w:r>
              <w:rPr>
                <w:rFonts w:hint="eastAsia"/>
                <w:color w:val="auto"/>
                <w:sz w:val="24"/>
              </w:rPr>
              <w:t>②</w:t>
            </w:r>
            <w:r>
              <w:rPr>
                <w:color w:val="auto"/>
                <w:sz w:val="24"/>
              </w:rPr>
              <w:t>阻断柴油泄漏扩散</w:t>
            </w:r>
            <w:r>
              <w:rPr>
                <w:rFonts w:hint="eastAsia"/>
                <w:color w:val="auto"/>
                <w:sz w:val="24"/>
              </w:rPr>
              <w:t>：</w:t>
            </w:r>
            <w:r>
              <w:rPr>
                <w:color w:val="auto"/>
                <w:sz w:val="24"/>
              </w:rPr>
              <w:t>用沙土、沙袋、吸油毡在泄漏区域周边筑堤，形成封闭围堵带，防止柴油流入鱼塘、沟渠或土壤。向泄漏的柴油表面铺设吸油毡、木屑、活性炭等吸附材料，快速吸收液态柴油，避免挥发或流淌。若泄漏点靠近鱼塘进水口、排水口，立即关闭相关阀门，或用沙袋阻断柴油可能流入鱼塘的路径；必要时在鱼塘边缘设置临时挡油围栏。</w:t>
            </w:r>
          </w:p>
          <w:p w14:paraId="7D46F705">
            <w:pPr>
              <w:spacing w:line="360" w:lineRule="auto"/>
              <w:ind w:firstLine="480" w:firstLineChars="200"/>
              <w:rPr>
                <w:color w:val="auto"/>
                <w:sz w:val="24"/>
              </w:rPr>
            </w:pPr>
            <w:r>
              <w:rPr>
                <w:rFonts w:hint="eastAsia"/>
                <w:color w:val="auto"/>
                <w:sz w:val="24"/>
              </w:rPr>
              <w:t>③</w:t>
            </w:r>
            <w:r>
              <w:rPr>
                <w:color w:val="auto"/>
                <w:sz w:val="24"/>
              </w:rPr>
              <w:t>后续安全与环保处理</w:t>
            </w:r>
            <w:r>
              <w:rPr>
                <w:rFonts w:hint="eastAsia"/>
                <w:color w:val="auto"/>
                <w:sz w:val="24"/>
              </w:rPr>
              <w:t>：</w:t>
            </w:r>
            <w:r>
              <w:rPr>
                <w:color w:val="auto"/>
                <w:sz w:val="24"/>
              </w:rPr>
              <w:t>消防、环保部门到场后，移交现场指挥权，提供柴油储存量、泄漏范围、鱼塘位置等关键信息，协助开展专业灭火和污染治理。火灾扑灭后，收集吸油材料、受污染的沙土等危险废物，交由专业机构按危废标准处置，严禁随意丢弃或倒入鱼塘、农田。</w:t>
            </w:r>
          </w:p>
          <w:p w14:paraId="267F764D">
            <w:pPr>
              <w:spacing w:line="360" w:lineRule="auto"/>
              <w:ind w:right="105" w:rightChars="50" w:firstLine="482" w:firstLineChars="200"/>
              <w:rPr>
                <w:b/>
                <w:bCs/>
                <w:color w:val="auto"/>
                <w:sz w:val="24"/>
              </w:rPr>
            </w:pPr>
            <w:r>
              <w:rPr>
                <w:b/>
                <w:bCs/>
                <w:color w:val="auto"/>
                <w:sz w:val="24"/>
              </w:rPr>
              <w:t>5.</w:t>
            </w:r>
            <w:r>
              <w:rPr>
                <w:rFonts w:hint="eastAsia"/>
                <w:b/>
                <w:bCs/>
                <w:color w:val="auto"/>
                <w:sz w:val="24"/>
              </w:rPr>
              <w:t>2、</w:t>
            </w:r>
            <w:r>
              <w:rPr>
                <w:b/>
                <w:bCs/>
                <w:color w:val="auto"/>
                <w:sz w:val="24"/>
              </w:rPr>
              <w:t>废水处理装置风险防范措施</w:t>
            </w:r>
          </w:p>
          <w:p w14:paraId="02EA28A4">
            <w:pPr>
              <w:spacing w:line="360" w:lineRule="auto"/>
              <w:ind w:firstLine="480" w:firstLineChars="200"/>
              <w:rPr>
                <w:color w:val="auto"/>
                <w:sz w:val="24"/>
              </w:rPr>
            </w:pPr>
            <w:r>
              <w:rPr>
                <w:rFonts w:hint="eastAsia"/>
                <w:color w:val="auto"/>
                <w:sz w:val="24"/>
              </w:rPr>
              <w:t>尾水罐</w:t>
            </w:r>
            <w:r>
              <w:rPr>
                <w:color w:val="auto"/>
                <w:sz w:val="24"/>
              </w:rPr>
              <w:t>为生产废水的最后屏障，为了确保其正常、不出现停止运行的情况，防止环境风险的发生，建设单位应十分重视管网及泵站的维护及管理，防止</w:t>
            </w:r>
            <w:r>
              <w:rPr>
                <w:rFonts w:hint="eastAsia"/>
                <w:color w:val="auto"/>
                <w:sz w:val="24"/>
              </w:rPr>
              <w:t>污泥</w:t>
            </w:r>
            <w:r>
              <w:rPr>
                <w:color w:val="auto"/>
                <w:sz w:val="24"/>
              </w:rPr>
              <w:t>沉积堵塞而影响管道的过水能力。管道衔接应防止泄漏污染地下水和掏空地基，淤塞应及时疏浚，保证管道通畅。污水干管和支管设计中，选择适当充满度和最小设计流速，防止污泥沉积。对于各泵站应设有专人负责，平日加强对机械设备的维护，一旦发生事故应及时进行维修。当废水处理装置因电力突然中断，设备、管件更换，或其它原因，造成污水处理设施暂时不能正常运行、不能达到预期处理效果时，将对地表水环境造成污染，这是环保法所不允许的。</w:t>
            </w:r>
          </w:p>
          <w:p w14:paraId="6C25C5AF">
            <w:pPr>
              <w:spacing w:line="360" w:lineRule="auto"/>
              <w:ind w:firstLine="482" w:firstLineChars="200"/>
              <w:rPr>
                <w:b/>
                <w:color w:val="auto"/>
                <w:sz w:val="24"/>
                <w:szCs w:val="20"/>
              </w:rPr>
            </w:pPr>
            <w:bookmarkStart w:id="48" w:name="_Toc3886025"/>
            <w:bookmarkStart w:id="49" w:name="_Toc505237230"/>
            <w:r>
              <w:rPr>
                <w:rFonts w:hint="eastAsia"/>
                <w:b/>
                <w:bCs/>
                <w:color w:val="auto"/>
                <w:sz w:val="24"/>
              </w:rPr>
              <w:t>6、</w:t>
            </w:r>
            <w:r>
              <w:rPr>
                <w:b/>
                <w:color w:val="auto"/>
                <w:sz w:val="24"/>
              </w:rPr>
              <w:t>环境风险评价结论</w:t>
            </w:r>
            <w:bookmarkEnd w:id="48"/>
            <w:bookmarkEnd w:id="49"/>
          </w:p>
          <w:p w14:paraId="001DCDEE">
            <w:pPr>
              <w:spacing w:line="360" w:lineRule="auto"/>
              <w:ind w:firstLine="480" w:firstLineChars="200"/>
              <w:rPr>
                <w:color w:val="auto"/>
                <w:sz w:val="24"/>
              </w:rPr>
            </w:pPr>
            <w:r>
              <w:rPr>
                <w:color w:val="auto"/>
                <w:sz w:val="24"/>
              </w:rPr>
              <w:t>建设项目环境风险简单分析内容表如下：</w:t>
            </w:r>
          </w:p>
          <w:p w14:paraId="1271D78A">
            <w:pPr>
              <w:ind w:firstLine="422" w:firstLineChars="200"/>
              <w:jc w:val="center"/>
              <w:rPr>
                <w:b/>
                <w:color w:val="auto"/>
                <w:szCs w:val="21"/>
              </w:rPr>
            </w:pPr>
            <w:r>
              <w:rPr>
                <w:b/>
                <w:color w:val="auto"/>
                <w:szCs w:val="21"/>
              </w:rPr>
              <w:t>表</w:t>
            </w:r>
            <w:r>
              <w:rPr>
                <w:rFonts w:hint="eastAsia"/>
                <w:b/>
                <w:color w:val="auto"/>
                <w:szCs w:val="21"/>
              </w:rPr>
              <w:t>5</w:t>
            </w:r>
            <w:r>
              <w:rPr>
                <w:b/>
                <w:color w:val="auto"/>
                <w:szCs w:val="21"/>
              </w:rPr>
              <w:t>-</w:t>
            </w:r>
            <w:r>
              <w:rPr>
                <w:rFonts w:hint="eastAsia"/>
                <w:b/>
                <w:color w:val="auto"/>
                <w:szCs w:val="21"/>
              </w:rPr>
              <w:t>7</w:t>
            </w:r>
            <w:r>
              <w:rPr>
                <w:b/>
                <w:color w:val="auto"/>
                <w:szCs w:val="21"/>
              </w:rPr>
              <w:t xml:space="preserve"> 建设项目环境风险简单分析内容表</w:t>
            </w:r>
          </w:p>
          <w:tbl>
            <w:tblPr>
              <w:tblStyle w:val="27"/>
              <w:tblpPr w:leftFromText="180" w:rightFromText="180" w:vertAnchor="text" w:horzAnchor="page" w:tblpXSpec="center" w:tblpY="95"/>
              <w:tblOverlap w:val="never"/>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0"/>
              <w:gridCol w:w="892"/>
              <w:gridCol w:w="1166"/>
              <w:gridCol w:w="832"/>
              <w:gridCol w:w="628"/>
              <w:gridCol w:w="1985"/>
            </w:tblGrid>
            <w:tr w14:paraId="26AB9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1362" w:type="pct"/>
                  <w:tcBorders>
                    <w:top w:val="single" w:color="auto" w:sz="12" w:space="0"/>
                    <w:left w:val="single" w:color="auto" w:sz="12" w:space="0"/>
                    <w:bottom w:val="single" w:color="auto" w:sz="6" w:space="0"/>
                    <w:right w:val="single" w:color="auto" w:sz="6" w:space="0"/>
                  </w:tcBorders>
                  <w:vAlign w:val="center"/>
                </w:tcPr>
                <w:p w14:paraId="346685D4">
                  <w:pPr>
                    <w:adjustRightInd w:val="0"/>
                    <w:snapToGrid w:val="0"/>
                    <w:spacing w:before="24" w:beforeLines="10" w:after="24" w:afterLines="10" w:line="259" w:lineRule="auto"/>
                    <w:jc w:val="center"/>
                    <w:rPr>
                      <w:color w:val="auto"/>
                      <w:kern w:val="0"/>
                      <w:szCs w:val="21"/>
                    </w:rPr>
                  </w:pPr>
                  <w:r>
                    <w:rPr>
                      <w:rFonts w:hint="eastAsia"/>
                      <w:color w:val="auto"/>
                      <w:kern w:val="0"/>
                      <w:szCs w:val="21"/>
                    </w:rPr>
                    <w:t>建设项目名称</w:t>
                  </w:r>
                </w:p>
              </w:tc>
              <w:tc>
                <w:tcPr>
                  <w:tcW w:w="3637" w:type="pct"/>
                  <w:gridSpan w:val="5"/>
                  <w:tcBorders>
                    <w:top w:val="single" w:color="auto" w:sz="12" w:space="0"/>
                    <w:left w:val="single" w:color="auto" w:sz="6" w:space="0"/>
                    <w:bottom w:val="single" w:color="auto" w:sz="6" w:space="0"/>
                    <w:right w:val="single" w:color="auto" w:sz="12" w:space="0"/>
                  </w:tcBorders>
                  <w:vAlign w:val="center"/>
                </w:tcPr>
                <w:p w14:paraId="5C28DCCE">
                  <w:pPr>
                    <w:adjustRightInd w:val="0"/>
                    <w:snapToGrid w:val="0"/>
                    <w:spacing w:before="24" w:beforeLines="10" w:after="24" w:afterLines="10" w:line="259" w:lineRule="auto"/>
                    <w:jc w:val="center"/>
                    <w:rPr>
                      <w:color w:val="auto"/>
                      <w:kern w:val="0"/>
                      <w:szCs w:val="21"/>
                    </w:rPr>
                  </w:pPr>
                  <w:r>
                    <w:rPr>
                      <w:rFonts w:hint="eastAsia"/>
                      <w:color w:val="auto"/>
                      <w:kern w:val="0"/>
                      <w:szCs w:val="21"/>
                    </w:rPr>
                    <w:t>君山区方台湖设施渔业水基项目（一期）</w:t>
                  </w:r>
                </w:p>
              </w:tc>
            </w:tr>
            <w:tr w14:paraId="3E442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362" w:type="pct"/>
                  <w:tcBorders>
                    <w:top w:val="single" w:color="auto" w:sz="6" w:space="0"/>
                    <w:left w:val="single" w:color="auto" w:sz="12" w:space="0"/>
                    <w:bottom w:val="single" w:color="auto" w:sz="6" w:space="0"/>
                    <w:right w:val="single" w:color="auto" w:sz="6" w:space="0"/>
                  </w:tcBorders>
                  <w:vAlign w:val="center"/>
                </w:tcPr>
                <w:p w14:paraId="21049C18">
                  <w:pPr>
                    <w:adjustRightInd w:val="0"/>
                    <w:snapToGrid w:val="0"/>
                    <w:spacing w:before="24" w:beforeLines="10" w:after="24" w:afterLines="10" w:line="259" w:lineRule="auto"/>
                    <w:jc w:val="center"/>
                    <w:rPr>
                      <w:color w:val="auto"/>
                      <w:kern w:val="0"/>
                      <w:szCs w:val="21"/>
                    </w:rPr>
                  </w:pPr>
                  <w:r>
                    <w:rPr>
                      <w:rFonts w:hint="eastAsia"/>
                      <w:color w:val="auto"/>
                      <w:kern w:val="0"/>
                      <w:szCs w:val="21"/>
                    </w:rPr>
                    <w:t>建设地点</w:t>
                  </w:r>
                </w:p>
              </w:tc>
              <w:tc>
                <w:tcPr>
                  <w:tcW w:w="590" w:type="pct"/>
                  <w:tcBorders>
                    <w:top w:val="single" w:color="auto" w:sz="6" w:space="0"/>
                    <w:left w:val="single" w:color="auto" w:sz="6" w:space="0"/>
                    <w:bottom w:val="single" w:color="auto" w:sz="6" w:space="0"/>
                    <w:right w:val="single" w:color="auto" w:sz="6" w:space="0"/>
                  </w:tcBorders>
                  <w:vAlign w:val="center"/>
                </w:tcPr>
                <w:p w14:paraId="48E4F5CC">
                  <w:pPr>
                    <w:adjustRightInd w:val="0"/>
                    <w:snapToGrid w:val="0"/>
                    <w:spacing w:before="24" w:beforeLines="10" w:after="24" w:afterLines="10" w:line="259" w:lineRule="auto"/>
                    <w:jc w:val="center"/>
                    <w:rPr>
                      <w:color w:val="auto"/>
                      <w:kern w:val="0"/>
                      <w:szCs w:val="21"/>
                    </w:rPr>
                  </w:pPr>
                  <w:r>
                    <w:rPr>
                      <w:rFonts w:hint="eastAsia"/>
                      <w:color w:val="auto"/>
                      <w:kern w:val="0"/>
                      <w:szCs w:val="21"/>
                    </w:rPr>
                    <w:t>湖南省</w:t>
                  </w:r>
                </w:p>
              </w:tc>
              <w:tc>
                <w:tcPr>
                  <w:tcW w:w="771" w:type="pct"/>
                  <w:tcBorders>
                    <w:top w:val="single" w:color="auto" w:sz="6" w:space="0"/>
                    <w:left w:val="single" w:color="auto" w:sz="6" w:space="0"/>
                    <w:bottom w:val="single" w:color="auto" w:sz="6" w:space="0"/>
                    <w:right w:val="single" w:color="auto" w:sz="6" w:space="0"/>
                  </w:tcBorders>
                  <w:vAlign w:val="center"/>
                </w:tcPr>
                <w:p w14:paraId="12B66BFA">
                  <w:pPr>
                    <w:adjustRightInd w:val="0"/>
                    <w:snapToGrid w:val="0"/>
                    <w:spacing w:before="24" w:beforeLines="10" w:after="24" w:afterLines="10" w:line="259" w:lineRule="auto"/>
                    <w:jc w:val="center"/>
                    <w:rPr>
                      <w:color w:val="auto"/>
                      <w:kern w:val="0"/>
                      <w:szCs w:val="21"/>
                    </w:rPr>
                  </w:pPr>
                  <w:r>
                    <w:rPr>
                      <w:rFonts w:hint="eastAsia"/>
                      <w:color w:val="auto"/>
                      <w:kern w:val="0"/>
                      <w:szCs w:val="21"/>
                    </w:rPr>
                    <w:t>岳阳市</w:t>
                  </w:r>
                </w:p>
              </w:tc>
              <w:tc>
                <w:tcPr>
                  <w:tcW w:w="549" w:type="pct"/>
                  <w:tcBorders>
                    <w:top w:val="single" w:color="auto" w:sz="6" w:space="0"/>
                    <w:left w:val="single" w:color="auto" w:sz="6" w:space="0"/>
                    <w:bottom w:val="single" w:color="auto" w:sz="6" w:space="0"/>
                    <w:right w:val="single" w:color="auto" w:sz="6" w:space="0"/>
                  </w:tcBorders>
                  <w:vAlign w:val="center"/>
                </w:tcPr>
                <w:p w14:paraId="7B5919A1">
                  <w:pPr>
                    <w:adjustRightInd w:val="0"/>
                    <w:snapToGrid w:val="0"/>
                    <w:spacing w:before="24" w:beforeLines="10" w:after="24" w:afterLines="10" w:line="259" w:lineRule="auto"/>
                    <w:jc w:val="center"/>
                    <w:rPr>
                      <w:color w:val="auto"/>
                      <w:kern w:val="0"/>
                      <w:szCs w:val="21"/>
                    </w:rPr>
                  </w:pPr>
                  <w:r>
                    <w:rPr>
                      <w:rFonts w:hint="eastAsia"/>
                      <w:color w:val="auto"/>
                      <w:kern w:val="0"/>
                      <w:szCs w:val="21"/>
                    </w:rPr>
                    <w:t>君山区</w:t>
                  </w:r>
                </w:p>
              </w:tc>
              <w:tc>
                <w:tcPr>
                  <w:tcW w:w="1725" w:type="pct"/>
                  <w:gridSpan w:val="2"/>
                  <w:tcBorders>
                    <w:top w:val="single" w:color="auto" w:sz="6" w:space="0"/>
                    <w:left w:val="single" w:color="auto" w:sz="6" w:space="0"/>
                    <w:bottom w:val="single" w:color="auto" w:sz="6" w:space="0"/>
                    <w:right w:val="single" w:color="auto" w:sz="12" w:space="0"/>
                  </w:tcBorders>
                  <w:vAlign w:val="center"/>
                </w:tcPr>
                <w:p w14:paraId="24391E17">
                  <w:pPr>
                    <w:adjustRightInd w:val="0"/>
                    <w:snapToGrid w:val="0"/>
                    <w:spacing w:before="24" w:beforeLines="10" w:after="24" w:afterLines="10" w:line="259" w:lineRule="auto"/>
                    <w:jc w:val="center"/>
                    <w:rPr>
                      <w:color w:val="auto"/>
                      <w:kern w:val="0"/>
                      <w:szCs w:val="21"/>
                    </w:rPr>
                  </w:pPr>
                  <w:r>
                    <w:rPr>
                      <w:rFonts w:hint="eastAsia"/>
                      <w:color w:val="auto"/>
                      <w:kern w:val="0"/>
                      <w:szCs w:val="21"/>
                    </w:rPr>
                    <w:t>钱粮湖镇银杯社区方台村5组</w:t>
                  </w:r>
                </w:p>
              </w:tc>
            </w:tr>
            <w:tr w14:paraId="4F696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1362" w:type="pct"/>
                  <w:tcBorders>
                    <w:top w:val="single" w:color="auto" w:sz="6" w:space="0"/>
                    <w:left w:val="single" w:color="auto" w:sz="12" w:space="0"/>
                    <w:bottom w:val="single" w:color="auto" w:sz="6" w:space="0"/>
                    <w:right w:val="single" w:color="auto" w:sz="6" w:space="0"/>
                  </w:tcBorders>
                  <w:vAlign w:val="center"/>
                </w:tcPr>
                <w:p w14:paraId="56CE1649">
                  <w:pPr>
                    <w:adjustRightInd w:val="0"/>
                    <w:snapToGrid w:val="0"/>
                    <w:spacing w:before="24" w:beforeLines="10" w:after="24" w:afterLines="10" w:line="259" w:lineRule="auto"/>
                    <w:jc w:val="center"/>
                    <w:rPr>
                      <w:color w:val="auto"/>
                      <w:kern w:val="0"/>
                      <w:szCs w:val="21"/>
                    </w:rPr>
                  </w:pPr>
                  <w:r>
                    <w:rPr>
                      <w:rFonts w:hint="eastAsia"/>
                      <w:color w:val="auto"/>
                      <w:kern w:val="0"/>
                      <w:szCs w:val="21"/>
                    </w:rPr>
                    <w:t>地理坐标</w:t>
                  </w:r>
                </w:p>
              </w:tc>
              <w:tc>
                <w:tcPr>
                  <w:tcW w:w="590" w:type="pct"/>
                  <w:tcBorders>
                    <w:top w:val="single" w:color="auto" w:sz="6" w:space="0"/>
                    <w:left w:val="single" w:color="auto" w:sz="6" w:space="0"/>
                    <w:bottom w:val="single" w:color="auto" w:sz="6" w:space="0"/>
                    <w:right w:val="single" w:color="auto" w:sz="6" w:space="0"/>
                  </w:tcBorders>
                  <w:vAlign w:val="center"/>
                </w:tcPr>
                <w:p w14:paraId="3B39E030">
                  <w:pPr>
                    <w:adjustRightInd w:val="0"/>
                    <w:snapToGrid w:val="0"/>
                    <w:spacing w:before="24" w:beforeLines="10" w:after="24" w:afterLines="10" w:line="259" w:lineRule="auto"/>
                    <w:jc w:val="center"/>
                    <w:rPr>
                      <w:color w:val="auto"/>
                      <w:kern w:val="0"/>
                      <w:szCs w:val="21"/>
                    </w:rPr>
                  </w:pPr>
                  <w:r>
                    <w:rPr>
                      <w:rFonts w:hint="eastAsia"/>
                      <w:color w:val="auto"/>
                      <w:kern w:val="0"/>
                      <w:szCs w:val="21"/>
                    </w:rPr>
                    <w:t>经度</w:t>
                  </w:r>
                </w:p>
              </w:tc>
              <w:tc>
                <w:tcPr>
                  <w:tcW w:w="1321" w:type="pct"/>
                  <w:gridSpan w:val="2"/>
                  <w:tcBorders>
                    <w:top w:val="single" w:color="auto" w:sz="6" w:space="0"/>
                    <w:left w:val="single" w:color="auto" w:sz="6" w:space="0"/>
                    <w:bottom w:val="single" w:color="auto" w:sz="6" w:space="0"/>
                    <w:right w:val="single" w:color="auto" w:sz="6" w:space="0"/>
                  </w:tcBorders>
                  <w:vAlign w:val="center"/>
                </w:tcPr>
                <w:p w14:paraId="365A59F8">
                  <w:pPr>
                    <w:adjustRightInd w:val="0"/>
                    <w:snapToGrid w:val="0"/>
                    <w:spacing w:before="24" w:beforeLines="10" w:after="24" w:afterLines="10" w:line="259" w:lineRule="auto"/>
                    <w:jc w:val="center"/>
                    <w:rPr>
                      <w:color w:val="auto"/>
                      <w:kern w:val="0"/>
                      <w:szCs w:val="21"/>
                    </w:rPr>
                  </w:pPr>
                  <w:r>
                    <w:rPr>
                      <w:rFonts w:hint="eastAsia"/>
                      <w:color w:val="auto"/>
                      <w:kern w:val="0"/>
                      <w:szCs w:val="21"/>
                    </w:rPr>
                    <w:t>112度47分50.981秒</w:t>
                  </w:r>
                </w:p>
              </w:tc>
              <w:tc>
                <w:tcPr>
                  <w:tcW w:w="415" w:type="pct"/>
                  <w:tcBorders>
                    <w:top w:val="single" w:color="auto" w:sz="6" w:space="0"/>
                    <w:left w:val="single" w:color="auto" w:sz="6" w:space="0"/>
                    <w:bottom w:val="single" w:color="auto" w:sz="6" w:space="0"/>
                    <w:right w:val="single" w:color="auto" w:sz="6" w:space="0"/>
                  </w:tcBorders>
                  <w:vAlign w:val="center"/>
                </w:tcPr>
                <w:p w14:paraId="433A5257">
                  <w:pPr>
                    <w:adjustRightInd w:val="0"/>
                    <w:snapToGrid w:val="0"/>
                    <w:spacing w:before="24" w:beforeLines="10" w:after="24" w:afterLines="10" w:line="259" w:lineRule="auto"/>
                    <w:jc w:val="center"/>
                    <w:rPr>
                      <w:color w:val="auto"/>
                      <w:kern w:val="0"/>
                      <w:szCs w:val="21"/>
                    </w:rPr>
                  </w:pPr>
                  <w:r>
                    <w:rPr>
                      <w:rFonts w:hint="eastAsia"/>
                      <w:color w:val="auto"/>
                      <w:kern w:val="0"/>
                      <w:szCs w:val="21"/>
                    </w:rPr>
                    <w:t>纬度</w:t>
                  </w:r>
                </w:p>
              </w:tc>
              <w:tc>
                <w:tcPr>
                  <w:tcW w:w="1310" w:type="pct"/>
                  <w:tcBorders>
                    <w:top w:val="single" w:color="auto" w:sz="6" w:space="0"/>
                    <w:left w:val="single" w:color="auto" w:sz="6" w:space="0"/>
                    <w:bottom w:val="single" w:color="auto" w:sz="6" w:space="0"/>
                    <w:right w:val="single" w:color="auto" w:sz="12" w:space="0"/>
                  </w:tcBorders>
                  <w:vAlign w:val="center"/>
                </w:tcPr>
                <w:p w14:paraId="2F75A5E1">
                  <w:pPr>
                    <w:adjustRightInd w:val="0"/>
                    <w:snapToGrid w:val="0"/>
                    <w:spacing w:before="24" w:beforeLines="10" w:after="24" w:afterLines="10" w:line="259" w:lineRule="auto"/>
                    <w:jc w:val="center"/>
                    <w:rPr>
                      <w:color w:val="auto"/>
                      <w:kern w:val="0"/>
                      <w:szCs w:val="21"/>
                    </w:rPr>
                  </w:pPr>
                  <w:r>
                    <w:rPr>
                      <w:rFonts w:hint="eastAsia"/>
                      <w:color w:val="auto"/>
                      <w:kern w:val="0"/>
                      <w:szCs w:val="21"/>
                    </w:rPr>
                    <w:t>29度29分43.888秒</w:t>
                  </w:r>
                </w:p>
              </w:tc>
            </w:tr>
            <w:tr w14:paraId="31FAC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362" w:type="pct"/>
                  <w:tcBorders>
                    <w:top w:val="single" w:color="auto" w:sz="6" w:space="0"/>
                    <w:left w:val="single" w:color="auto" w:sz="12" w:space="0"/>
                    <w:bottom w:val="single" w:color="auto" w:sz="6" w:space="0"/>
                    <w:right w:val="single" w:color="auto" w:sz="6" w:space="0"/>
                  </w:tcBorders>
                  <w:vAlign w:val="center"/>
                </w:tcPr>
                <w:p w14:paraId="1A8D1E6D">
                  <w:pPr>
                    <w:adjustRightInd w:val="0"/>
                    <w:snapToGrid w:val="0"/>
                    <w:spacing w:before="24" w:beforeLines="10" w:after="24" w:afterLines="10" w:line="259" w:lineRule="auto"/>
                    <w:jc w:val="center"/>
                    <w:rPr>
                      <w:color w:val="auto"/>
                      <w:kern w:val="0"/>
                      <w:szCs w:val="21"/>
                    </w:rPr>
                  </w:pPr>
                  <w:r>
                    <w:rPr>
                      <w:rFonts w:hint="eastAsia"/>
                      <w:color w:val="auto"/>
                      <w:kern w:val="0"/>
                      <w:szCs w:val="21"/>
                    </w:rPr>
                    <w:t>主要危险物质及分布</w:t>
                  </w:r>
                </w:p>
              </w:tc>
              <w:tc>
                <w:tcPr>
                  <w:tcW w:w="3637" w:type="pct"/>
                  <w:gridSpan w:val="5"/>
                  <w:tcBorders>
                    <w:top w:val="single" w:color="auto" w:sz="6" w:space="0"/>
                    <w:left w:val="single" w:color="auto" w:sz="6" w:space="0"/>
                    <w:bottom w:val="single" w:color="auto" w:sz="6" w:space="0"/>
                    <w:right w:val="single" w:color="auto" w:sz="12" w:space="0"/>
                  </w:tcBorders>
                  <w:vAlign w:val="center"/>
                </w:tcPr>
                <w:p w14:paraId="32D50A59">
                  <w:pPr>
                    <w:adjustRightInd w:val="0"/>
                    <w:snapToGrid w:val="0"/>
                    <w:spacing w:before="24" w:beforeLines="10" w:after="24" w:afterLines="10" w:line="259" w:lineRule="auto"/>
                    <w:jc w:val="center"/>
                    <w:rPr>
                      <w:color w:val="auto"/>
                      <w:kern w:val="0"/>
                      <w:szCs w:val="21"/>
                    </w:rPr>
                  </w:pPr>
                  <w:r>
                    <w:rPr>
                      <w:rFonts w:hint="eastAsia"/>
                      <w:color w:val="auto"/>
                      <w:kern w:val="0"/>
                      <w:szCs w:val="21"/>
                    </w:rPr>
                    <w:t>柴油；废水处理设施</w:t>
                  </w:r>
                </w:p>
              </w:tc>
            </w:tr>
            <w:tr w14:paraId="6CEE5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1362" w:type="pct"/>
                  <w:tcBorders>
                    <w:top w:val="single" w:color="auto" w:sz="6" w:space="0"/>
                    <w:left w:val="single" w:color="auto" w:sz="12" w:space="0"/>
                    <w:bottom w:val="single" w:color="auto" w:sz="6" w:space="0"/>
                    <w:right w:val="single" w:color="auto" w:sz="6" w:space="0"/>
                  </w:tcBorders>
                  <w:vAlign w:val="center"/>
                </w:tcPr>
                <w:p w14:paraId="7DD0D9FD">
                  <w:pPr>
                    <w:adjustRightInd w:val="0"/>
                    <w:snapToGrid w:val="0"/>
                    <w:spacing w:before="24" w:beforeLines="10" w:after="24" w:afterLines="10" w:line="259" w:lineRule="auto"/>
                    <w:jc w:val="center"/>
                    <w:rPr>
                      <w:color w:val="auto"/>
                      <w:kern w:val="0"/>
                      <w:szCs w:val="21"/>
                    </w:rPr>
                  </w:pPr>
                  <w:r>
                    <w:rPr>
                      <w:rFonts w:hint="eastAsia"/>
                      <w:color w:val="auto"/>
                      <w:kern w:val="0"/>
                      <w:szCs w:val="21"/>
                    </w:rPr>
                    <w:t>环境影响途径及危害后果（大气、地表水、地下水等）</w:t>
                  </w:r>
                </w:p>
              </w:tc>
              <w:tc>
                <w:tcPr>
                  <w:tcW w:w="3637" w:type="pct"/>
                  <w:gridSpan w:val="5"/>
                  <w:tcBorders>
                    <w:top w:val="single" w:color="auto" w:sz="6" w:space="0"/>
                    <w:left w:val="single" w:color="auto" w:sz="6" w:space="0"/>
                    <w:bottom w:val="single" w:color="auto" w:sz="6" w:space="0"/>
                    <w:right w:val="single" w:color="auto" w:sz="12" w:space="0"/>
                  </w:tcBorders>
                  <w:vAlign w:val="center"/>
                </w:tcPr>
                <w:p w14:paraId="5047C8C7">
                  <w:pPr>
                    <w:adjustRightInd w:val="0"/>
                    <w:snapToGrid w:val="0"/>
                    <w:spacing w:before="24" w:beforeLines="10" w:after="24" w:afterLines="10" w:line="259" w:lineRule="auto"/>
                    <w:jc w:val="center"/>
                    <w:rPr>
                      <w:color w:val="auto"/>
                      <w:kern w:val="0"/>
                      <w:szCs w:val="21"/>
                    </w:rPr>
                  </w:pPr>
                  <w:r>
                    <w:rPr>
                      <w:rFonts w:hint="eastAsia"/>
                      <w:color w:val="auto"/>
                      <w:kern w:val="0"/>
                      <w:szCs w:val="21"/>
                    </w:rPr>
                    <w:t>柴油引发火灾次生污染物排放，造成空气、地表水、地下水环境污染；废水排放造成地表水污染；</w:t>
                  </w:r>
                </w:p>
              </w:tc>
            </w:tr>
            <w:tr w14:paraId="7AEBB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1362" w:type="pct"/>
                  <w:tcBorders>
                    <w:top w:val="single" w:color="auto" w:sz="6" w:space="0"/>
                    <w:left w:val="single" w:color="auto" w:sz="12" w:space="0"/>
                    <w:bottom w:val="single" w:color="auto" w:sz="6" w:space="0"/>
                    <w:right w:val="single" w:color="auto" w:sz="6" w:space="0"/>
                  </w:tcBorders>
                  <w:vAlign w:val="center"/>
                </w:tcPr>
                <w:p w14:paraId="0F605F8B">
                  <w:pPr>
                    <w:adjustRightInd w:val="0"/>
                    <w:snapToGrid w:val="0"/>
                    <w:spacing w:before="24" w:beforeLines="10" w:after="24" w:afterLines="10" w:line="259" w:lineRule="auto"/>
                    <w:jc w:val="center"/>
                    <w:rPr>
                      <w:color w:val="auto"/>
                      <w:kern w:val="0"/>
                      <w:szCs w:val="21"/>
                    </w:rPr>
                  </w:pPr>
                  <w:r>
                    <w:rPr>
                      <w:rFonts w:hint="eastAsia"/>
                      <w:color w:val="auto"/>
                      <w:kern w:val="0"/>
                      <w:szCs w:val="21"/>
                    </w:rPr>
                    <w:t>风险防范措施要求</w:t>
                  </w:r>
                </w:p>
              </w:tc>
              <w:tc>
                <w:tcPr>
                  <w:tcW w:w="3637" w:type="pct"/>
                  <w:gridSpan w:val="5"/>
                  <w:tcBorders>
                    <w:top w:val="single" w:color="auto" w:sz="6" w:space="0"/>
                    <w:left w:val="single" w:color="auto" w:sz="6" w:space="0"/>
                    <w:bottom w:val="single" w:color="auto" w:sz="6" w:space="0"/>
                    <w:right w:val="single" w:color="auto" w:sz="12" w:space="0"/>
                  </w:tcBorders>
                  <w:vAlign w:val="center"/>
                </w:tcPr>
                <w:p w14:paraId="7F3E0978">
                  <w:pPr>
                    <w:adjustRightInd w:val="0"/>
                    <w:snapToGrid w:val="0"/>
                    <w:spacing w:before="24" w:beforeLines="10" w:after="24" w:afterLines="10" w:line="259" w:lineRule="auto"/>
                    <w:jc w:val="left"/>
                    <w:rPr>
                      <w:color w:val="auto"/>
                      <w:kern w:val="0"/>
                      <w:szCs w:val="21"/>
                    </w:rPr>
                  </w:pPr>
                  <w:r>
                    <w:rPr>
                      <w:rFonts w:hint="eastAsia"/>
                      <w:color w:val="auto"/>
                      <w:kern w:val="0"/>
                      <w:szCs w:val="21"/>
                    </w:rPr>
                    <w:t>①企业加强监管监控，设备定期维护和保养，做好管理用房防渗防漏措施和火灾防范措施；</w:t>
                  </w:r>
                </w:p>
                <w:p w14:paraId="09FE46B8">
                  <w:pPr>
                    <w:adjustRightInd w:val="0"/>
                    <w:snapToGrid w:val="0"/>
                    <w:spacing w:before="24" w:beforeLines="10" w:after="24" w:afterLines="10" w:line="259" w:lineRule="auto"/>
                    <w:jc w:val="left"/>
                    <w:rPr>
                      <w:color w:val="auto"/>
                      <w:kern w:val="0"/>
                      <w:szCs w:val="21"/>
                    </w:rPr>
                  </w:pPr>
                  <w:r>
                    <w:rPr>
                      <w:rFonts w:hint="eastAsia"/>
                      <w:color w:val="auto"/>
                      <w:kern w:val="0"/>
                      <w:szCs w:val="21"/>
                    </w:rPr>
                    <w:t>②加强废水处理设施维护，加强巡查，特别是暴雨天气，杜绝废水排放；</w:t>
                  </w:r>
                </w:p>
              </w:tc>
            </w:tr>
            <w:tr w14:paraId="46BA1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2" w:hRule="atLeast"/>
                <w:jc w:val="center"/>
              </w:trPr>
              <w:tc>
                <w:tcPr>
                  <w:tcW w:w="1362" w:type="pct"/>
                  <w:tcBorders>
                    <w:top w:val="single" w:color="auto" w:sz="6" w:space="0"/>
                    <w:left w:val="single" w:color="auto" w:sz="12" w:space="0"/>
                    <w:bottom w:val="single" w:color="auto" w:sz="12" w:space="0"/>
                    <w:right w:val="single" w:color="auto" w:sz="6" w:space="0"/>
                  </w:tcBorders>
                  <w:vAlign w:val="center"/>
                </w:tcPr>
                <w:p w14:paraId="40407626">
                  <w:pPr>
                    <w:adjustRightInd w:val="0"/>
                    <w:snapToGrid w:val="0"/>
                    <w:spacing w:before="24" w:beforeLines="10" w:after="24" w:afterLines="10" w:line="259" w:lineRule="auto"/>
                    <w:jc w:val="center"/>
                    <w:rPr>
                      <w:color w:val="auto"/>
                      <w:kern w:val="0"/>
                      <w:szCs w:val="21"/>
                    </w:rPr>
                  </w:pPr>
                  <w:r>
                    <w:rPr>
                      <w:rFonts w:hint="eastAsia"/>
                      <w:color w:val="auto"/>
                      <w:kern w:val="0"/>
                      <w:szCs w:val="21"/>
                    </w:rPr>
                    <w:t>填表说明（列出项目相关信息及评价说明）</w:t>
                  </w:r>
                </w:p>
              </w:tc>
              <w:tc>
                <w:tcPr>
                  <w:tcW w:w="3637" w:type="pct"/>
                  <w:gridSpan w:val="5"/>
                  <w:tcBorders>
                    <w:top w:val="single" w:color="auto" w:sz="6" w:space="0"/>
                    <w:left w:val="single" w:color="auto" w:sz="6" w:space="0"/>
                    <w:bottom w:val="single" w:color="auto" w:sz="12" w:space="0"/>
                    <w:right w:val="single" w:color="auto" w:sz="12" w:space="0"/>
                  </w:tcBorders>
                  <w:vAlign w:val="center"/>
                </w:tcPr>
                <w:p w14:paraId="0401738A">
                  <w:pPr>
                    <w:adjustRightInd w:val="0"/>
                    <w:snapToGrid w:val="0"/>
                    <w:spacing w:before="24" w:beforeLines="10" w:after="24" w:afterLines="10" w:line="259" w:lineRule="auto"/>
                    <w:jc w:val="center"/>
                    <w:rPr>
                      <w:color w:val="auto"/>
                      <w:kern w:val="0"/>
                      <w:szCs w:val="21"/>
                    </w:rPr>
                  </w:pPr>
                  <w:r>
                    <w:rPr>
                      <w:rFonts w:hint="eastAsia"/>
                      <w:color w:val="auto"/>
                      <w:kern w:val="0"/>
                      <w:szCs w:val="21"/>
                    </w:rPr>
                    <w:t>项目通过采取相应的风险预防、管理、应急措施后，评价认为项目环境风险是可以接受的</w:t>
                  </w:r>
                </w:p>
              </w:tc>
            </w:tr>
          </w:tbl>
          <w:p w14:paraId="6D58E9FD">
            <w:pPr>
              <w:spacing w:line="360" w:lineRule="auto"/>
              <w:ind w:firstLine="480" w:firstLineChars="200"/>
              <w:rPr>
                <w:color w:val="auto"/>
              </w:rPr>
            </w:pPr>
            <w:r>
              <w:rPr>
                <w:rFonts w:hint="eastAsia"/>
                <w:color w:val="auto"/>
                <w:sz w:val="24"/>
              </w:rPr>
              <w:t>评价结果表明：项目的环境风险处于可接受水平，项目采取的环境风险防范和应急措施可行。</w:t>
            </w:r>
          </w:p>
        </w:tc>
      </w:tr>
      <w:tr w14:paraId="51C9F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641" w:type="dxa"/>
            <w:vAlign w:val="center"/>
          </w:tcPr>
          <w:p w14:paraId="610BFE1C">
            <w:pPr>
              <w:adjustRightInd w:val="0"/>
              <w:snapToGrid w:val="0"/>
              <w:jc w:val="center"/>
              <w:rPr>
                <w:rFonts w:hint="eastAsia" w:ascii="宋体" w:hAnsi="宋体" w:cs="宋体"/>
                <w:bCs/>
                <w:color w:val="auto"/>
                <w:spacing w:val="10"/>
                <w:szCs w:val="21"/>
              </w:rPr>
            </w:pPr>
            <w:r>
              <w:rPr>
                <w:rFonts w:hint="eastAsia" w:ascii="宋体" w:hAnsi="宋体"/>
                <w:bCs/>
                <w:color w:val="auto"/>
                <w:sz w:val="24"/>
              </w:rPr>
              <w:t>其他</w:t>
            </w:r>
          </w:p>
        </w:tc>
        <w:tc>
          <w:tcPr>
            <w:tcW w:w="7806" w:type="dxa"/>
          </w:tcPr>
          <w:p w14:paraId="24206E69">
            <w:pPr>
              <w:spacing w:line="360" w:lineRule="auto"/>
              <w:jc w:val="left"/>
              <w:rPr>
                <w:rFonts w:hint="eastAsia" w:ascii="宋体" w:hAnsi="宋体" w:cs="宋体"/>
                <w:b/>
                <w:bCs/>
                <w:color w:val="auto"/>
                <w:sz w:val="24"/>
              </w:rPr>
            </w:pPr>
            <w:r>
              <w:rPr>
                <w:rFonts w:hint="eastAsia" w:ascii="宋体" w:hAnsi="宋体" w:cs="宋体"/>
                <w:b/>
                <w:bCs/>
                <w:color w:val="auto"/>
                <w:sz w:val="24"/>
              </w:rPr>
              <w:t>一、环境管理</w:t>
            </w:r>
          </w:p>
          <w:p w14:paraId="0B387DC0">
            <w:pPr>
              <w:pStyle w:val="103"/>
              <w:ind w:firstLine="480"/>
              <w:rPr>
                <w:color w:val="auto"/>
              </w:rPr>
            </w:pPr>
            <w:r>
              <w:rPr>
                <w:color w:val="auto"/>
              </w:rPr>
              <w:t>建设项目环境保护管理是指工程在施工期、运行期执行和遵守国家、省、市有关环境保护法律、法规、政策和标准，接受生态环境部门的环境监督，调整和制定环境保护规划和目标，把不利影响减免到最低限度，加强项目环境管理，及时调整工程运行方式和环境保护措施，最终达到保护环境的目的，取得更好的综合效益。</w:t>
            </w:r>
          </w:p>
          <w:p w14:paraId="113CECCB">
            <w:pPr>
              <w:spacing w:line="360" w:lineRule="auto"/>
              <w:ind w:firstLine="482" w:firstLineChars="200"/>
              <w:rPr>
                <w:b/>
                <w:bCs/>
                <w:color w:val="auto"/>
                <w:sz w:val="24"/>
              </w:rPr>
            </w:pPr>
            <w:r>
              <w:rPr>
                <w:rFonts w:hint="eastAsia"/>
                <w:b/>
                <w:bCs/>
                <w:color w:val="auto"/>
                <w:sz w:val="24"/>
              </w:rPr>
              <w:t>1、</w:t>
            </w:r>
            <w:r>
              <w:rPr>
                <w:b/>
                <w:bCs/>
                <w:color w:val="auto"/>
                <w:sz w:val="24"/>
              </w:rPr>
              <w:t>管理机构组成</w:t>
            </w:r>
          </w:p>
          <w:p w14:paraId="6954EA81">
            <w:pPr>
              <w:pStyle w:val="103"/>
              <w:ind w:firstLine="480"/>
              <w:rPr>
                <w:color w:val="auto"/>
              </w:rPr>
            </w:pPr>
            <w:r>
              <w:rPr>
                <w:rFonts w:ascii="Segoe UI" w:hAnsi="Segoe UI" w:eastAsia="Segoe UI" w:cs="Segoe UI"/>
                <w:color w:val="auto"/>
                <w:shd w:val="clear" w:color="auto" w:fill="FFFFFF"/>
              </w:rPr>
              <w:t>要求鱼塘运营主体在养殖期内设立“鱼塘环境管理小组”，小组需负责统筹协调鱼塘日常环境管理工作，包括环保政策传达、养殖污染防控、周边生态保护，同时承担环境保护宣传教育，加强与当地生态环境部门、渔业主管部门的沟通对接，及时反馈养殖过程中的环境问题。</w:t>
            </w:r>
          </w:p>
          <w:p w14:paraId="79B550FE">
            <w:pPr>
              <w:spacing w:line="360" w:lineRule="auto"/>
              <w:ind w:firstLine="482" w:firstLineChars="200"/>
              <w:rPr>
                <w:b/>
                <w:bCs/>
                <w:color w:val="auto"/>
                <w:sz w:val="24"/>
              </w:rPr>
            </w:pPr>
            <w:r>
              <w:rPr>
                <w:rFonts w:hint="eastAsia"/>
                <w:b/>
                <w:bCs/>
                <w:color w:val="auto"/>
                <w:sz w:val="24"/>
              </w:rPr>
              <w:t>2、</w:t>
            </w:r>
            <w:r>
              <w:rPr>
                <w:b/>
                <w:bCs/>
                <w:color w:val="auto"/>
                <w:sz w:val="24"/>
              </w:rPr>
              <w:t>环境管理机构职责</w:t>
            </w:r>
          </w:p>
          <w:p w14:paraId="3BF12353">
            <w:pPr>
              <w:pStyle w:val="103"/>
              <w:ind w:firstLine="480"/>
              <w:rPr>
                <w:color w:val="auto"/>
              </w:rPr>
            </w:pPr>
            <w:r>
              <w:rPr>
                <w:color w:val="auto"/>
              </w:rPr>
              <w:t>环境管理机构负责项目运行期的环境管理与环境监测工作，主要职责：</w:t>
            </w:r>
          </w:p>
          <w:p w14:paraId="2CE4F527">
            <w:pPr>
              <w:pStyle w:val="103"/>
              <w:ind w:firstLine="480"/>
              <w:rPr>
                <w:color w:val="auto"/>
              </w:rPr>
            </w:pPr>
            <w:r>
              <w:rPr>
                <w:color w:val="auto"/>
              </w:rPr>
              <w:t>①</w:t>
            </w:r>
            <w:r>
              <w:rPr>
                <w:rFonts w:hint="eastAsia"/>
                <w:color w:val="auto"/>
              </w:rPr>
              <w:t>编制鱼塘环境管理计划，如养殖废水处理方案、水质监测计划；制定长期（年度）生态保护规划，如水域生态修复、养殖尾水循环利用规划。</w:t>
            </w:r>
          </w:p>
          <w:p w14:paraId="669DB660">
            <w:pPr>
              <w:pStyle w:val="103"/>
              <w:ind w:firstLine="480"/>
              <w:rPr>
                <w:color w:val="auto"/>
              </w:rPr>
            </w:pPr>
            <w:r>
              <w:rPr>
                <w:color w:val="auto"/>
              </w:rPr>
              <w:t>②贯彻落实国家和地方的环境保护法律、法规、政策和标准，直接接受环保主管部门的监督、领导，配合生态环境部门做好环保工作；</w:t>
            </w:r>
          </w:p>
          <w:p w14:paraId="4B6A7F94">
            <w:pPr>
              <w:pStyle w:val="103"/>
              <w:ind w:firstLine="480"/>
              <w:rPr>
                <w:color w:val="auto"/>
              </w:rPr>
            </w:pPr>
            <w:r>
              <w:rPr>
                <w:color w:val="auto"/>
              </w:rPr>
              <w:t>③领导并组织环境监测工作，制定和实施环境监测方案，整理和处理监测数据，建立污染源与监测档案，定期向主管部门及生态环境部门上报；</w:t>
            </w:r>
          </w:p>
          <w:p w14:paraId="4FAD3086">
            <w:pPr>
              <w:pStyle w:val="103"/>
              <w:ind w:firstLine="480"/>
              <w:rPr>
                <w:color w:val="auto"/>
              </w:rPr>
            </w:pPr>
            <w:r>
              <w:rPr>
                <w:color w:val="auto"/>
              </w:rPr>
              <w:t>④制</w:t>
            </w:r>
            <w:r>
              <w:rPr>
                <w:rFonts w:hint="eastAsia"/>
                <w:color w:val="auto"/>
              </w:rPr>
              <w:t>定职工环保培训方案，定期开展养殖污染防控、生态保护知识培训，提升养殖人员的环保意识与操作规范；</w:t>
            </w:r>
          </w:p>
          <w:p w14:paraId="422B63C4">
            <w:pPr>
              <w:pStyle w:val="103"/>
              <w:ind w:firstLine="480"/>
              <w:rPr>
                <w:color w:val="auto"/>
              </w:rPr>
            </w:pPr>
            <w:r>
              <w:rPr>
                <w:color w:val="auto"/>
              </w:rPr>
              <w:t>⑤在项目</w:t>
            </w:r>
            <w:r>
              <w:rPr>
                <w:rFonts w:hint="eastAsia"/>
                <w:color w:val="auto"/>
              </w:rPr>
              <w:t>运营期</w:t>
            </w:r>
            <w:r>
              <w:rPr>
                <w:color w:val="auto"/>
              </w:rPr>
              <w:t>负责监督环保设施的施工、安装、调试等，落实“三同时”制度；</w:t>
            </w:r>
          </w:p>
          <w:p w14:paraId="159F1CF0">
            <w:pPr>
              <w:pStyle w:val="103"/>
              <w:ind w:firstLine="480"/>
              <w:rPr>
                <w:color w:val="auto"/>
              </w:rPr>
            </w:pPr>
            <w:r>
              <w:rPr>
                <w:color w:val="auto"/>
              </w:rPr>
              <w:t>⑥</w:t>
            </w:r>
            <w:r>
              <w:rPr>
                <w:rFonts w:hint="eastAsia"/>
                <w:color w:val="auto"/>
              </w:rPr>
              <w:t>制定养殖废弃物（如残饵、死鱼、养殖粪便）收集与处理方案，禁止随意丢弃，防止污染水体；规范渔药、饲料使用，减少面源污染；</w:t>
            </w:r>
          </w:p>
          <w:p w14:paraId="1425E8A6">
            <w:pPr>
              <w:pStyle w:val="103"/>
              <w:ind w:firstLine="480"/>
              <w:rPr>
                <w:color w:val="auto"/>
              </w:rPr>
            </w:pPr>
            <w:r>
              <w:rPr>
                <w:color w:val="auto"/>
              </w:rPr>
              <w:t>⑦</w:t>
            </w:r>
            <w:r>
              <w:rPr>
                <w:rFonts w:hint="eastAsia"/>
                <w:color w:val="auto"/>
              </w:rPr>
              <w:t>统筹鱼塘及周边区域的环境管理，排查周边潜在污染风险（如周边企业排污、农业面源污染），发现问题及时上报主管部门。</w:t>
            </w:r>
          </w:p>
          <w:p w14:paraId="0D5AEA65">
            <w:pPr>
              <w:pStyle w:val="103"/>
              <w:ind w:firstLine="482"/>
              <w:rPr>
                <w:b/>
                <w:bCs/>
                <w:color w:val="auto"/>
              </w:rPr>
            </w:pPr>
            <w:r>
              <w:rPr>
                <w:rFonts w:hint="eastAsia"/>
                <w:b/>
                <w:bCs/>
                <w:color w:val="auto"/>
              </w:rPr>
              <w:t>3、</w:t>
            </w:r>
            <w:r>
              <w:rPr>
                <w:b/>
                <w:bCs/>
                <w:color w:val="auto"/>
              </w:rPr>
              <w:t>运营期环境保护管理</w:t>
            </w:r>
          </w:p>
          <w:p w14:paraId="73DEE01B">
            <w:pPr>
              <w:pStyle w:val="103"/>
              <w:ind w:firstLine="480"/>
              <w:rPr>
                <w:color w:val="auto"/>
              </w:rPr>
            </w:pPr>
            <w:r>
              <w:rPr>
                <w:color w:val="auto"/>
              </w:rPr>
              <w:t>①</w:t>
            </w:r>
            <w:r>
              <w:rPr>
                <w:rFonts w:hint="eastAsia"/>
                <w:color w:val="auto"/>
              </w:rPr>
              <w:t>鱼塘运营需贯彻“预防为主、防治结合、生态优先” 方针，落实“谁养殖谁保护”原则，严格执行“三同时” 制度，确保养殖尾水、废弃物等污染得到有效治理。</w:t>
            </w:r>
          </w:p>
          <w:p w14:paraId="48486D96">
            <w:pPr>
              <w:pStyle w:val="103"/>
              <w:ind w:firstLine="480"/>
              <w:rPr>
                <w:color w:val="auto"/>
              </w:rPr>
            </w:pPr>
            <w:r>
              <w:rPr>
                <w:color w:val="auto"/>
              </w:rPr>
              <w:t>②</w:t>
            </w:r>
            <w:r>
              <w:rPr>
                <w:rFonts w:hint="eastAsia"/>
                <w:color w:val="auto"/>
              </w:rPr>
              <w:t>加强养殖废水处理设施管理，定期检查污水处理设备等，清理设施内淤泥、杂物，确保尾水经处理达标后再排放或循环利用，禁止未经处理直接排放。</w:t>
            </w:r>
          </w:p>
          <w:p w14:paraId="1DA0DE0C">
            <w:pPr>
              <w:pStyle w:val="103"/>
              <w:ind w:firstLine="480"/>
              <w:rPr>
                <w:color w:val="auto"/>
              </w:rPr>
            </w:pPr>
            <w:r>
              <w:rPr>
                <w:color w:val="auto"/>
              </w:rPr>
              <w:t>③</w:t>
            </w:r>
            <w:r>
              <w:rPr>
                <w:rFonts w:hint="eastAsia"/>
                <w:color w:val="auto"/>
              </w:rPr>
              <w:t>规范渔药与饲料使用，选择低毒、低残留渔药，按说明书控制用量与使用频率；合理投放饲料，避免过量投喂导致残饵污染水质，做好用药、用料记录。</w:t>
            </w:r>
          </w:p>
          <w:p w14:paraId="3F7341EF">
            <w:pPr>
              <w:pStyle w:val="103"/>
              <w:ind w:firstLine="480"/>
              <w:rPr>
                <w:color w:val="auto"/>
              </w:rPr>
            </w:pPr>
            <w:r>
              <w:rPr>
                <w:color w:val="auto"/>
              </w:rPr>
              <w:t>④</w:t>
            </w:r>
            <w:r>
              <w:rPr>
                <w:rFonts w:hint="eastAsia"/>
                <w:color w:val="auto"/>
              </w:rPr>
              <w:t>建立养殖废弃物处理机制，死鱼需经无害化处理（如深埋、专业机构回收），禁止丢弃入塘或周边水域；残饵、粪便定期清理，可用于堆肥或交由专业机构处置。</w:t>
            </w:r>
          </w:p>
          <w:p w14:paraId="43B543EB">
            <w:pPr>
              <w:pStyle w:val="103"/>
              <w:ind w:firstLine="480"/>
              <w:rPr>
                <w:color w:val="auto"/>
              </w:rPr>
            </w:pPr>
            <w:r>
              <w:rPr>
                <w:color w:val="auto"/>
              </w:rPr>
              <w:t>⑤</w:t>
            </w:r>
            <w:r>
              <w:rPr>
                <w:rFonts w:hint="eastAsia"/>
                <w:color w:val="auto"/>
              </w:rPr>
              <w:t>负责水质净化设备等环保设施的日常运行管理，定期检修维护，记录设备运行与维修情况，保障设施稳定运行，维持鱼塘水质良好。</w:t>
            </w:r>
          </w:p>
          <w:p w14:paraId="1BFB5CE6">
            <w:pPr>
              <w:pStyle w:val="103"/>
              <w:ind w:firstLine="480"/>
              <w:rPr>
                <w:color w:val="auto"/>
              </w:rPr>
            </w:pPr>
            <w:r>
              <w:rPr>
                <w:color w:val="auto"/>
              </w:rPr>
              <w:t>⑥</w:t>
            </w:r>
            <w:r>
              <w:rPr>
                <w:rFonts w:hint="eastAsia"/>
                <w:color w:val="auto"/>
              </w:rPr>
              <w:t>按监测方案开展日常水质监测，发现水质异常及时采取应急措施。</w:t>
            </w:r>
          </w:p>
          <w:p w14:paraId="1527A4D2">
            <w:pPr>
              <w:pStyle w:val="103"/>
              <w:ind w:firstLine="480"/>
              <w:rPr>
                <w:color w:val="auto"/>
              </w:rPr>
            </w:pPr>
            <w:r>
              <w:rPr>
                <w:color w:val="auto"/>
              </w:rPr>
              <w:t>⑦</w:t>
            </w:r>
            <w:r>
              <w:rPr>
                <w:rFonts w:hint="eastAsia"/>
                <w:color w:val="auto"/>
              </w:rPr>
              <w:t>鱼塘运营期的环境管理由运营主体全权负责，主动接受生态环境部门、渔业主管部门的指导与监督，配合专项检查等工作。</w:t>
            </w:r>
          </w:p>
          <w:p w14:paraId="2CEAC7C9">
            <w:pPr>
              <w:pStyle w:val="103"/>
              <w:ind w:firstLine="480"/>
              <w:rPr>
                <w:color w:val="auto"/>
              </w:rPr>
            </w:pPr>
            <w:r>
              <w:rPr>
                <w:color w:val="auto"/>
              </w:rPr>
              <w:t>⑧</w:t>
            </w:r>
            <w:r>
              <w:rPr>
                <w:rFonts w:hint="eastAsia"/>
                <w:color w:val="auto"/>
              </w:rPr>
              <w:t>合理安排养殖作业时间，避免在凌晨5点前、晚上10点后开展高噪声作业（如大功率设备调试、饲料运输装卸），减少对周边居民生活及水生生物的影响。</w:t>
            </w:r>
          </w:p>
          <w:p w14:paraId="45FF2609">
            <w:pPr>
              <w:spacing w:line="360" w:lineRule="auto"/>
              <w:jc w:val="left"/>
              <w:rPr>
                <w:rFonts w:hint="eastAsia" w:ascii="宋体" w:hAnsi="宋体" w:cs="宋体"/>
                <w:b/>
                <w:bCs/>
                <w:color w:val="auto"/>
                <w:sz w:val="24"/>
                <w:u w:val="single"/>
              </w:rPr>
            </w:pPr>
            <w:r>
              <w:rPr>
                <w:rFonts w:hint="eastAsia" w:ascii="宋体" w:hAnsi="宋体" w:cs="宋体"/>
                <w:b/>
                <w:bCs/>
                <w:color w:val="auto"/>
                <w:sz w:val="24"/>
                <w:u w:val="single"/>
              </w:rPr>
              <w:t>二、环境监测计划</w:t>
            </w:r>
          </w:p>
          <w:p w14:paraId="68631410">
            <w:pPr>
              <w:adjustRightInd w:val="0"/>
              <w:snapToGrid w:val="0"/>
              <w:spacing w:line="360" w:lineRule="auto"/>
              <w:ind w:firstLine="480" w:firstLineChars="200"/>
              <w:rPr>
                <w:color w:val="auto"/>
                <w:sz w:val="24"/>
                <w:u w:val="single"/>
              </w:rPr>
            </w:pPr>
            <w:r>
              <w:rPr>
                <w:bCs/>
                <w:color w:val="auto"/>
                <w:sz w:val="24"/>
                <w:u w:val="single"/>
              </w:rPr>
              <w:t>项目实施后，企业应自行或者委托有资质监测机构对污染源及环保设施运行情况进行常规监测。</w:t>
            </w:r>
            <w:r>
              <w:rPr>
                <w:color w:val="auto"/>
                <w:sz w:val="24"/>
                <w:u w:val="single"/>
              </w:rPr>
              <w:t>本项目污染物推荐的监测内容、点位和频次如下表所示：</w:t>
            </w:r>
          </w:p>
          <w:p w14:paraId="3C05A020">
            <w:pPr>
              <w:pStyle w:val="7"/>
              <w:snapToGrid w:val="0"/>
              <w:spacing w:line="240" w:lineRule="auto"/>
              <w:ind w:firstLine="0" w:firstLineChars="0"/>
              <w:jc w:val="center"/>
              <w:rPr>
                <w:rFonts w:hint="eastAsia" w:ascii="宋体" w:hAnsi="宋体" w:eastAsia="宋体" w:cs="宋体"/>
                <w:b/>
                <w:bCs/>
                <w:color w:val="auto"/>
                <w:sz w:val="21"/>
                <w:szCs w:val="21"/>
                <w:u w:val="single"/>
              </w:rPr>
            </w:pPr>
            <w:r>
              <w:rPr>
                <w:rFonts w:hint="eastAsia" w:ascii="宋体" w:hAnsi="宋体" w:eastAsia="宋体" w:cs="宋体"/>
                <w:b/>
                <w:bCs/>
                <w:color w:val="auto"/>
                <w:sz w:val="21"/>
                <w:szCs w:val="21"/>
                <w:u w:val="single"/>
              </w:rPr>
              <w:t>表5-8   营运期环境监测计划表</w:t>
            </w:r>
          </w:p>
          <w:tbl>
            <w:tblPr>
              <w:tblStyle w:val="28"/>
              <w:tblW w:w="75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821"/>
              <w:gridCol w:w="1836"/>
              <w:gridCol w:w="2951"/>
            </w:tblGrid>
            <w:tr w14:paraId="5572C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tl2br w:val="nil"/>
                    <w:tr2bl w:val="nil"/>
                  </w:tcBorders>
                  <w:vAlign w:val="center"/>
                </w:tcPr>
                <w:p w14:paraId="3EDCBE32">
                  <w:pPr>
                    <w:pStyle w:val="58"/>
                    <w:adjustRightInd/>
                    <w:spacing w:before="0" w:after="0" w:line="240" w:lineRule="auto"/>
                    <w:ind w:right="0"/>
                    <w:textAlignment w:val="auto"/>
                    <w:rPr>
                      <w:b/>
                      <w:bCs/>
                      <w:color w:val="auto"/>
                      <w:szCs w:val="21"/>
                      <w:u w:val="single"/>
                    </w:rPr>
                  </w:pPr>
                  <w:r>
                    <w:rPr>
                      <w:b/>
                      <w:bCs/>
                      <w:color w:val="auto"/>
                      <w:szCs w:val="21"/>
                      <w:u w:val="single"/>
                    </w:rPr>
                    <w:t>项目</w:t>
                  </w:r>
                </w:p>
              </w:tc>
              <w:tc>
                <w:tcPr>
                  <w:tcW w:w="1821" w:type="dxa"/>
                  <w:tcBorders>
                    <w:tl2br w:val="nil"/>
                    <w:tr2bl w:val="nil"/>
                  </w:tcBorders>
                  <w:vAlign w:val="center"/>
                </w:tcPr>
                <w:p w14:paraId="35796473">
                  <w:pPr>
                    <w:pStyle w:val="58"/>
                    <w:adjustRightInd/>
                    <w:spacing w:before="0" w:after="0" w:line="240" w:lineRule="auto"/>
                    <w:ind w:right="0"/>
                    <w:textAlignment w:val="auto"/>
                    <w:rPr>
                      <w:b/>
                      <w:bCs/>
                      <w:color w:val="auto"/>
                      <w:szCs w:val="21"/>
                      <w:u w:val="single"/>
                    </w:rPr>
                  </w:pPr>
                  <w:r>
                    <w:rPr>
                      <w:b/>
                      <w:bCs/>
                      <w:color w:val="auto"/>
                      <w:szCs w:val="21"/>
                      <w:u w:val="single"/>
                    </w:rPr>
                    <w:t>监测点位</w:t>
                  </w:r>
                </w:p>
              </w:tc>
              <w:tc>
                <w:tcPr>
                  <w:tcW w:w="1836" w:type="dxa"/>
                  <w:tcBorders>
                    <w:tl2br w:val="nil"/>
                    <w:tr2bl w:val="nil"/>
                  </w:tcBorders>
                  <w:vAlign w:val="center"/>
                </w:tcPr>
                <w:p w14:paraId="0D0F52EB">
                  <w:pPr>
                    <w:pStyle w:val="58"/>
                    <w:adjustRightInd/>
                    <w:spacing w:before="0" w:after="0" w:line="240" w:lineRule="auto"/>
                    <w:ind w:right="0"/>
                    <w:textAlignment w:val="auto"/>
                    <w:rPr>
                      <w:b/>
                      <w:bCs/>
                      <w:color w:val="auto"/>
                      <w:szCs w:val="21"/>
                      <w:u w:val="single"/>
                    </w:rPr>
                  </w:pPr>
                  <w:r>
                    <w:rPr>
                      <w:b/>
                      <w:bCs/>
                      <w:color w:val="auto"/>
                      <w:szCs w:val="21"/>
                      <w:u w:val="single"/>
                    </w:rPr>
                    <w:t>监测因子</w:t>
                  </w:r>
                </w:p>
              </w:tc>
              <w:tc>
                <w:tcPr>
                  <w:tcW w:w="2951" w:type="dxa"/>
                  <w:tcBorders>
                    <w:tl2br w:val="nil"/>
                    <w:tr2bl w:val="nil"/>
                  </w:tcBorders>
                  <w:vAlign w:val="center"/>
                </w:tcPr>
                <w:p w14:paraId="1FECAB42">
                  <w:pPr>
                    <w:pStyle w:val="58"/>
                    <w:adjustRightInd/>
                    <w:spacing w:before="0" w:after="0" w:line="240" w:lineRule="auto"/>
                    <w:ind w:right="0"/>
                    <w:textAlignment w:val="auto"/>
                    <w:rPr>
                      <w:b/>
                      <w:bCs/>
                      <w:color w:val="auto"/>
                      <w:szCs w:val="21"/>
                      <w:u w:val="single"/>
                    </w:rPr>
                  </w:pPr>
                  <w:r>
                    <w:rPr>
                      <w:b/>
                      <w:bCs/>
                      <w:color w:val="auto"/>
                      <w:szCs w:val="21"/>
                      <w:u w:val="single"/>
                    </w:rPr>
                    <w:t>监测频率</w:t>
                  </w:r>
                </w:p>
              </w:tc>
            </w:tr>
            <w:tr w14:paraId="7340C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949" w:type="dxa"/>
                  <w:tcBorders>
                    <w:tl2br w:val="nil"/>
                    <w:tr2bl w:val="nil"/>
                  </w:tcBorders>
                  <w:vAlign w:val="center"/>
                </w:tcPr>
                <w:p w14:paraId="2FE4CE40">
                  <w:pPr>
                    <w:pStyle w:val="58"/>
                    <w:adjustRightInd/>
                    <w:spacing w:before="0" w:after="0" w:line="240" w:lineRule="auto"/>
                    <w:ind w:right="0"/>
                    <w:textAlignment w:val="auto"/>
                    <w:rPr>
                      <w:color w:val="auto"/>
                      <w:szCs w:val="21"/>
                      <w:u w:val="single"/>
                    </w:rPr>
                  </w:pPr>
                  <w:r>
                    <w:rPr>
                      <w:color w:val="auto"/>
                      <w:szCs w:val="21"/>
                      <w:u w:val="single"/>
                    </w:rPr>
                    <w:t>噪声</w:t>
                  </w:r>
                </w:p>
              </w:tc>
              <w:tc>
                <w:tcPr>
                  <w:tcW w:w="1821" w:type="dxa"/>
                  <w:tcBorders>
                    <w:tl2br w:val="nil"/>
                    <w:tr2bl w:val="nil"/>
                  </w:tcBorders>
                  <w:vAlign w:val="center"/>
                </w:tcPr>
                <w:p w14:paraId="77C931E2">
                  <w:pPr>
                    <w:pStyle w:val="58"/>
                    <w:adjustRightInd/>
                    <w:spacing w:before="0" w:after="0" w:line="240" w:lineRule="auto"/>
                    <w:ind w:right="0"/>
                    <w:textAlignment w:val="auto"/>
                    <w:rPr>
                      <w:color w:val="auto"/>
                      <w:szCs w:val="21"/>
                      <w:u w:val="single"/>
                    </w:rPr>
                  </w:pPr>
                  <w:r>
                    <w:rPr>
                      <w:color w:val="auto"/>
                      <w:szCs w:val="21"/>
                      <w:u w:val="single"/>
                    </w:rPr>
                    <w:t>厂界</w:t>
                  </w:r>
                </w:p>
              </w:tc>
              <w:tc>
                <w:tcPr>
                  <w:tcW w:w="1836" w:type="dxa"/>
                  <w:tcBorders>
                    <w:tl2br w:val="nil"/>
                    <w:tr2bl w:val="nil"/>
                  </w:tcBorders>
                  <w:vAlign w:val="center"/>
                </w:tcPr>
                <w:p w14:paraId="7C8B93A0">
                  <w:pPr>
                    <w:pStyle w:val="58"/>
                    <w:adjustRightInd/>
                    <w:spacing w:before="0" w:after="0" w:line="240" w:lineRule="auto"/>
                    <w:ind w:right="0"/>
                    <w:textAlignment w:val="auto"/>
                    <w:rPr>
                      <w:color w:val="auto"/>
                      <w:szCs w:val="21"/>
                      <w:u w:val="single"/>
                    </w:rPr>
                  </w:pPr>
                  <w:r>
                    <w:rPr>
                      <w:color w:val="auto"/>
                      <w:szCs w:val="21"/>
                      <w:u w:val="single"/>
                    </w:rPr>
                    <w:t>等效连续A声级</w:t>
                  </w:r>
                </w:p>
              </w:tc>
              <w:tc>
                <w:tcPr>
                  <w:tcW w:w="2951" w:type="dxa"/>
                  <w:tcBorders>
                    <w:tl2br w:val="nil"/>
                    <w:tr2bl w:val="nil"/>
                  </w:tcBorders>
                  <w:vAlign w:val="center"/>
                </w:tcPr>
                <w:p w14:paraId="11AB49F4">
                  <w:pPr>
                    <w:pStyle w:val="58"/>
                    <w:adjustRightInd/>
                    <w:spacing w:before="0" w:after="0" w:line="240" w:lineRule="auto"/>
                    <w:ind w:right="0"/>
                    <w:textAlignment w:val="auto"/>
                    <w:rPr>
                      <w:color w:val="auto"/>
                      <w:szCs w:val="21"/>
                      <w:u w:val="single"/>
                    </w:rPr>
                  </w:pPr>
                  <w:r>
                    <w:rPr>
                      <w:color w:val="auto"/>
                      <w:szCs w:val="21"/>
                      <w:u w:val="single"/>
                    </w:rPr>
                    <w:t>1次/年</w:t>
                  </w:r>
                </w:p>
              </w:tc>
            </w:tr>
            <w:tr w14:paraId="72FC7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tl2br w:val="nil"/>
                    <w:tr2bl w:val="nil"/>
                  </w:tcBorders>
                  <w:vAlign w:val="center"/>
                </w:tcPr>
                <w:p w14:paraId="181CCDD0">
                  <w:pPr>
                    <w:jc w:val="center"/>
                    <w:rPr>
                      <w:color w:val="auto"/>
                      <w:szCs w:val="21"/>
                      <w:u w:val="single"/>
                    </w:rPr>
                  </w:pPr>
                  <w:r>
                    <w:rPr>
                      <w:rFonts w:hint="eastAsia"/>
                      <w:color w:val="auto"/>
                      <w:szCs w:val="21"/>
                      <w:u w:val="single"/>
                    </w:rPr>
                    <w:t>水质</w:t>
                  </w:r>
                </w:p>
              </w:tc>
              <w:tc>
                <w:tcPr>
                  <w:tcW w:w="1821" w:type="dxa"/>
                  <w:tcBorders>
                    <w:tl2br w:val="nil"/>
                    <w:tr2bl w:val="nil"/>
                  </w:tcBorders>
                  <w:vAlign w:val="center"/>
                </w:tcPr>
                <w:p w14:paraId="24106D05">
                  <w:pPr>
                    <w:jc w:val="center"/>
                    <w:rPr>
                      <w:color w:val="auto"/>
                      <w:szCs w:val="21"/>
                      <w:u w:val="single"/>
                    </w:rPr>
                  </w:pPr>
                  <w:r>
                    <w:rPr>
                      <w:rFonts w:hint="eastAsia"/>
                      <w:color w:val="auto"/>
                      <w:szCs w:val="21"/>
                      <w:u w:val="single"/>
                    </w:rPr>
                    <w:t>人工湿地处</w:t>
                  </w:r>
                </w:p>
              </w:tc>
              <w:tc>
                <w:tcPr>
                  <w:tcW w:w="1836" w:type="dxa"/>
                  <w:tcBorders>
                    <w:tl2br w:val="nil"/>
                    <w:tr2bl w:val="nil"/>
                  </w:tcBorders>
                  <w:vAlign w:val="center"/>
                </w:tcPr>
                <w:p w14:paraId="25332518">
                  <w:pPr>
                    <w:pStyle w:val="58"/>
                    <w:adjustRightInd/>
                    <w:spacing w:before="0" w:after="0" w:line="240" w:lineRule="auto"/>
                    <w:ind w:right="0"/>
                    <w:textAlignment w:val="auto"/>
                    <w:rPr>
                      <w:color w:val="auto"/>
                      <w:szCs w:val="21"/>
                      <w:u w:val="single"/>
                    </w:rPr>
                  </w:pPr>
                  <w:r>
                    <w:rPr>
                      <w:color w:val="auto"/>
                      <w:szCs w:val="21"/>
                      <w:u w:val="single"/>
                    </w:rPr>
                    <w:t>H、BOD</w:t>
                  </w:r>
                  <w:r>
                    <w:rPr>
                      <w:color w:val="auto"/>
                      <w:szCs w:val="21"/>
                      <w:u w:val="single"/>
                      <w:vertAlign w:val="subscript"/>
                    </w:rPr>
                    <w:t>5</w:t>
                  </w:r>
                  <w:r>
                    <w:rPr>
                      <w:color w:val="auto"/>
                      <w:szCs w:val="21"/>
                      <w:u w:val="single"/>
                    </w:rPr>
                    <w:t>、</w:t>
                  </w:r>
                  <w:r>
                    <w:rPr>
                      <w:rFonts w:hint="eastAsia"/>
                      <w:color w:val="auto"/>
                      <w:szCs w:val="21"/>
                      <w:u w:val="single"/>
                    </w:rPr>
                    <w:t>总磷、总氮</w:t>
                  </w:r>
                </w:p>
              </w:tc>
              <w:tc>
                <w:tcPr>
                  <w:tcW w:w="2951" w:type="dxa"/>
                  <w:tcBorders>
                    <w:tl2br w:val="nil"/>
                    <w:tr2bl w:val="nil"/>
                  </w:tcBorders>
                  <w:vAlign w:val="center"/>
                </w:tcPr>
                <w:p w14:paraId="3622E01D">
                  <w:pPr>
                    <w:pStyle w:val="58"/>
                    <w:adjustRightInd/>
                    <w:spacing w:before="0" w:after="0" w:line="240" w:lineRule="auto"/>
                    <w:ind w:right="0"/>
                    <w:textAlignment w:val="auto"/>
                    <w:rPr>
                      <w:color w:val="auto"/>
                      <w:szCs w:val="21"/>
                      <w:u w:val="single"/>
                    </w:rPr>
                  </w:pPr>
                  <w:r>
                    <w:rPr>
                      <w:color w:val="auto"/>
                      <w:szCs w:val="21"/>
                      <w:u w:val="single"/>
                    </w:rPr>
                    <w:t>1次/年</w:t>
                  </w:r>
                </w:p>
              </w:tc>
            </w:tr>
          </w:tbl>
          <w:p w14:paraId="5B43C42E">
            <w:pPr>
              <w:adjustRightInd w:val="0"/>
              <w:snapToGrid w:val="0"/>
              <w:rPr>
                <w:rFonts w:hint="eastAsia" w:ascii="宋体" w:hAnsi="宋体" w:cs="宋体"/>
                <w:bCs/>
                <w:color w:val="auto"/>
                <w:spacing w:val="10"/>
                <w:szCs w:val="21"/>
              </w:rPr>
            </w:pPr>
          </w:p>
        </w:tc>
      </w:tr>
      <w:tr w14:paraId="494C0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41" w:type="dxa"/>
            <w:vAlign w:val="center"/>
          </w:tcPr>
          <w:p w14:paraId="4CDACC57">
            <w:pPr>
              <w:adjustRightInd w:val="0"/>
              <w:snapToGrid w:val="0"/>
              <w:jc w:val="center"/>
              <w:rPr>
                <w:rFonts w:hint="eastAsia" w:ascii="宋体" w:hAnsi="宋体" w:cs="宋体"/>
                <w:bCs/>
                <w:color w:val="auto"/>
                <w:spacing w:val="10"/>
                <w:szCs w:val="21"/>
              </w:rPr>
            </w:pPr>
            <w:r>
              <w:rPr>
                <w:rFonts w:hint="eastAsia" w:ascii="宋体" w:hAnsi="宋体"/>
                <w:bCs/>
                <w:color w:val="auto"/>
                <w:szCs w:val="21"/>
              </w:rPr>
              <w:t>环保投资</w:t>
            </w:r>
          </w:p>
        </w:tc>
        <w:tc>
          <w:tcPr>
            <w:tcW w:w="7806" w:type="dxa"/>
          </w:tcPr>
          <w:p w14:paraId="00DE0897">
            <w:pPr>
              <w:spacing w:line="360" w:lineRule="auto"/>
              <w:ind w:firstLine="520" w:firstLineChars="200"/>
              <w:jc w:val="left"/>
              <w:rPr>
                <w:bCs/>
                <w:color w:val="auto"/>
                <w:spacing w:val="10"/>
                <w:szCs w:val="21"/>
              </w:rPr>
            </w:pPr>
            <w:r>
              <w:rPr>
                <w:bCs/>
                <w:color w:val="auto"/>
                <w:spacing w:val="10"/>
                <w:sz w:val="24"/>
              </w:rPr>
              <w:t>本项目总投资812万元，环保投资32万元，占总投资的3.94%，主要用于为了减轻项目建设期和运营期间对周围环境的污染以及生态环境的影响。项目环保投资一览表见下表。</w:t>
            </w:r>
          </w:p>
          <w:p w14:paraId="60FC3A4E">
            <w:pPr>
              <w:spacing w:before="20" w:line="230" w:lineRule="auto"/>
              <w:ind w:left="112"/>
              <w:jc w:val="center"/>
              <w:rPr>
                <w:b/>
                <w:bCs/>
                <w:color w:val="auto"/>
                <w:spacing w:val="10"/>
                <w:szCs w:val="21"/>
                <w:u w:val="single"/>
              </w:rPr>
            </w:pPr>
            <w:r>
              <w:rPr>
                <w:b/>
                <w:bCs/>
                <w:color w:val="auto"/>
                <w:spacing w:val="8"/>
                <w:szCs w:val="21"/>
                <w:u w:val="single"/>
              </w:rPr>
              <w:t>表</w:t>
            </w:r>
            <w:r>
              <w:rPr>
                <w:b/>
                <w:bCs/>
                <w:color w:val="auto"/>
                <w:spacing w:val="6"/>
                <w:szCs w:val="21"/>
                <w:u w:val="single"/>
              </w:rPr>
              <w:t>5</w:t>
            </w:r>
            <w:r>
              <w:rPr>
                <w:b/>
                <w:bCs/>
                <w:color w:val="auto"/>
                <w:spacing w:val="4"/>
                <w:szCs w:val="21"/>
                <w:u w:val="single"/>
              </w:rPr>
              <w:t>-</w:t>
            </w:r>
            <w:r>
              <w:rPr>
                <w:rFonts w:hint="eastAsia"/>
                <w:b/>
                <w:bCs/>
                <w:color w:val="auto"/>
                <w:spacing w:val="4"/>
                <w:szCs w:val="21"/>
                <w:u w:val="single"/>
              </w:rPr>
              <w:t>9</w:t>
            </w:r>
            <w:r>
              <w:rPr>
                <w:b/>
                <w:bCs/>
                <w:color w:val="auto"/>
                <w:spacing w:val="4"/>
                <w:szCs w:val="21"/>
                <w:u w:val="single"/>
              </w:rPr>
              <w:t xml:space="preserve">   项目主要环保投资一览表</w:t>
            </w:r>
          </w:p>
          <w:tbl>
            <w:tblPr>
              <w:tblStyle w:val="28"/>
              <w:tblW w:w="75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955"/>
              <w:gridCol w:w="957"/>
              <w:gridCol w:w="3027"/>
              <w:gridCol w:w="1707"/>
            </w:tblGrid>
            <w:tr w14:paraId="4FC71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4755BE0B">
                  <w:pPr>
                    <w:autoSpaceDE w:val="0"/>
                    <w:autoSpaceDN w:val="0"/>
                    <w:jc w:val="center"/>
                    <w:rPr>
                      <w:b/>
                      <w:bCs/>
                      <w:color w:val="auto"/>
                      <w:spacing w:val="10"/>
                      <w:szCs w:val="21"/>
                      <w:u w:val="single"/>
                    </w:rPr>
                  </w:pPr>
                  <w:r>
                    <w:rPr>
                      <w:b/>
                      <w:bCs/>
                      <w:color w:val="auto"/>
                      <w:spacing w:val="5"/>
                      <w:szCs w:val="21"/>
                      <w:u w:val="single"/>
                    </w:rPr>
                    <w:t>序号</w:t>
                  </w:r>
                </w:p>
              </w:tc>
              <w:tc>
                <w:tcPr>
                  <w:tcW w:w="1912" w:type="dxa"/>
                  <w:gridSpan w:val="2"/>
                  <w:tcBorders>
                    <w:tl2br w:val="nil"/>
                    <w:tr2bl w:val="nil"/>
                  </w:tcBorders>
                  <w:vAlign w:val="center"/>
                </w:tcPr>
                <w:p w14:paraId="3F688D07">
                  <w:pPr>
                    <w:autoSpaceDE w:val="0"/>
                    <w:autoSpaceDN w:val="0"/>
                    <w:jc w:val="center"/>
                    <w:rPr>
                      <w:b/>
                      <w:bCs/>
                      <w:color w:val="auto"/>
                      <w:spacing w:val="10"/>
                      <w:szCs w:val="21"/>
                      <w:u w:val="single"/>
                    </w:rPr>
                  </w:pPr>
                  <w:r>
                    <w:rPr>
                      <w:b/>
                      <w:bCs/>
                      <w:color w:val="auto"/>
                      <w:spacing w:val="3"/>
                      <w:szCs w:val="21"/>
                      <w:u w:val="single"/>
                    </w:rPr>
                    <w:t>项目</w:t>
                  </w:r>
                </w:p>
              </w:tc>
              <w:tc>
                <w:tcPr>
                  <w:tcW w:w="3027" w:type="dxa"/>
                  <w:tcBorders>
                    <w:tl2br w:val="nil"/>
                    <w:tr2bl w:val="nil"/>
                  </w:tcBorders>
                  <w:vAlign w:val="center"/>
                </w:tcPr>
                <w:p w14:paraId="28F72800">
                  <w:pPr>
                    <w:autoSpaceDE w:val="0"/>
                    <w:autoSpaceDN w:val="0"/>
                    <w:jc w:val="center"/>
                    <w:rPr>
                      <w:b/>
                      <w:bCs/>
                      <w:color w:val="auto"/>
                      <w:spacing w:val="10"/>
                      <w:szCs w:val="21"/>
                      <w:u w:val="single"/>
                    </w:rPr>
                  </w:pPr>
                  <w:r>
                    <w:rPr>
                      <w:b/>
                      <w:bCs/>
                      <w:color w:val="auto"/>
                      <w:spacing w:val="8"/>
                      <w:szCs w:val="21"/>
                      <w:u w:val="single"/>
                    </w:rPr>
                    <w:t>主要工程内</w:t>
                  </w:r>
                  <w:r>
                    <w:rPr>
                      <w:b/>
                      <w:bCs/>
                      <w:color w:val="auto"/>
                      <w:spacing w:val="7"/>
                      <w:szCs w:val="21"/>
                      <w:u w:val="single"/>
                    </w:rPr>
                    <w:t>容</w:t>
                  </w:r>
                </w:p>
              </w:tc>
              <w:tc>
                <w:tcPr>
                  <w:tcW w:w="1707" w:type="dxa"/>
                  <w:tcBorders>
                    <w:tl2br w:val="nil"/>
                    <w:tr2bl w:val="nil"/>
                  </w:tcBorders>
                  <w:vAlign w:val="center"/>
                </w:tcPr>
                <w:p w14:paraId="2CC65567">
                  <w:pPr>
                    <w:autoSpaceDE w:val="0"/>
                    <w:autoSpaceDN w:val="0"/>
                    <w:jc w:val="center"/>
                    <w:rPr>
                      <w:b/>
                      <w:bCs/>
                      <w:color w:val="auto"/>
                      <w:spacing w:val="10"/>
                      <w:szCs w:val="21"/>
                      <w:u w:val="single"/>
                    </w:rPr>
                  </w:pPr>
                  <w:r>
                    <w:rPr>
                      <w:b/>
                      <w:bCs/>
                      <w:color w:val="auto"/>
                      <w:spacing w:val="10"/>
                      <w:szCs w:val="21"/>
                      <w:u w:val="single"/>
                    </w:rPr>
                    <w:t>费</w:t>
                  </w:r>
                  <w:r>
                    <w:rPr>
                      <w:b/>
                      <w:bCs/>
                      <w:color w:val="auto"/>
                      <w:spacing w:val="8"/>
                      <w:szCs w:val="21"/>
                      <w:u w:val="single"/>
                    </w:rPr>
                    <w:t>用（万元）</w:t>
                  </w:r>
                </w:p>
              </w:tc>
            </w:tr>
            <w:tr w14:paraId="6CBD8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24936FD6">
                  <w:pPr>
                    <w:autoSpaceDE w:val="0"/>
                    <w:autoSpaceDN w:val="0"/>
                    <w:jc w:val="center"/>
                    <w:rPr>
                      <w:bCs/>
                      <w:color w:val="auto"/>
                      <w:spacing w:val="10"/>
                      <w:szCs w:val="21"/>
                      <w:u w:val="single"/>
                    </w:rPr>
                  </w:pPr>
                  <w:r>
                    <w:rPr>
                      <w:color w:val="auto"/>
                      <w:szCs w:val="21"/>
                      <w:u w:val="single"/>
                    </w:rPr>
                    <w:t>1</w:t>
                  </w:r>
                </w:p>
              </w:tc>
              <w:tc>
                <w:tcPr>
                  <w:tcW w:w="955" w:type="dxa"/>
                  <w:vMerge w:val="restart"/>
                  <w:tcBorders>
                    <w:tl2br w:val="nil"/>
                    <w:tr2bl w:val="nil"/>
                  </w:tcBorders>
                  <w:vAlign w:val="center"/>
                </w:tcPr>
                <w:p w14:paraId="47361B24">
                  <w:pPr>
                    <w:autoSpaceDE w:val="0"/>
                    <w:autoSpaceDN w:val="0"/>
                    <w:jc w:val="center"/>
                    <w:rPr>
                      <w:bCs/>
                      <w:color w:val="auto"/>
                      <w:spacing w:val="10"/>
                      <w:szCs w:val="21"/>
                      <w:u w:val="single"/>
                    </w:rPr>
                  </w:pPr>
                  <w:r>
                    <w:rPr>
                      <w:color w:val="auto"/>
                      <w:spacing w:val="9"/>
                      <w:szCs w:val="21"/>
                      <w:u w:val="single"/>
                    </w:rPr>
                    <w:t>施</w:t>
                  </w:r>
                  <w:r>
                    <w:rPr>
                      <w:color w:val="auto"/>
                      <w:spacing w:val="8"/>
                      <w:szCs w:val="21"/>
                      <w:u w:val="single"/>
                    </w:rPr>
                    <w:t>工期</w:t>
                  </w:r>
                </w:p>
              </w:tc>
              <w:tc>
                <w:tcPr>
                  <w:tcW w:w="957" w:type="dxa"/>
                  <w:tcBorders>
                    <w:tl2br w:val="nil"/>
                    <w:tr2bl w:val="nil"/>
                  </w:tcBorders>
                  <w:vAlign w:val="center"/>
                </w:tcPr>
                <w:p w14:paraId="01BC08FA">
                  <w:pPr>
                    <w:autoSpaceDE w:val="0"/>
                    <w:autoSpaceDN w:val="0"/>
                    <w:jc w:val="center"/>
                    <w:rPr>
                      <w:color w:val="auto"/>
                      <w:spacing w:val="9"/>
                      <w:szCs w:val="21"/>
                      <w:u w:val="single"/>
                    </w:rPr>
                  </w:pPr>
                  <w:r>
                    <w:rPr>
                      <w:color w:val="auto"/>
                      <w:spacing w:val="8"/>
                      <w:szCs w:val="21"/>
                      <w:u w:val="single"/>
                    </w:rPr>
                    <w:t>废水</w:t>
                  </w:r>
                </w:p>
              </w:tc>
              <w:tc>
                <w:tcPr>
                  <w:tcW w:w="3027" w:type="dxa"/>
                  <w:tcBorders>
                    <w:tl2br w:val="nil"/>
                    <w:tr2bl w:val="nil"/>
                  </w:tcBorders>
                  <w:vAlign w:val="center"/>
                </w:tcPr>
                <w:p w14:paraId="25B10A95">
                  <w:pPr>
                    <w:autoSpaceDE w:val="0"/>
                    <w:autoSpaceDN w:val="0"/>
                    <w:jc w:val="center"/>
                    <w:rPr>
                      <w:bCs/>
                      <w:color w:val="auto"/>
                      <w:spacing w:val="10"/>
                      <w:szCs w:val="21"/>
                      <w:u w:val="single"/>
                    </w:rPr>
                  </w:pPr>
                  <w:r>
                    <w:rPr>
                      <w:color w:val="auto"/>
                      <w:spacing w:val="13"/>
                      <w:szCs w:val="21"/>
                      <w:u w:val="single"/>
                    </w:rPr>
                    <w:t>施</w:t>
                  </w:r>
                  <w:r>
                    <w:rPr>
                      <w:color w:val="auto"/>
                      <w:spacing w:val="9"/>
                      <w:szCs w:val="21"/>
                      <w:u w:val="single"/>
                    </w:rPr>
                    <w:t>工营地设置临时沉淀池</w:t>
                  </w:r>
                </w:p>
              </w:tc>
              <w:tc>
                <w:tcPr>
                  <w:tcW w:w="1707" w:type="dxa"/>
                  <w:tcBorders>
                    <w:tl2br w:val="nil"/>
                    <w:tr2bl w:val="nil"/>
                  </w:tcBorders>
                  <w:vAlign w:val="center"/>
                </w:tcPr>
                <w:p w14:paraId="13EFAC9B">
                  <w:pPr>
                    <w:autoSpaceDE w:val="0"/>
                    <w:autoSpaceDN w:val="0"/>
                    <w:jc w:val="center"/>
                    <w:rPr>
                      <w:bCs/>
                      <w:color w:val="auto"/>
                      <w:spacing w:val="10"/>
                      <w:szCs w:val="21"/>
                      <w:u w:val="single"/>
                    </w:rPr>
                  </w:pPr>
                  <w:r>
                    <w:rPr>
                      <w:color w:val="auto"/>
                      <w:szCs w:val="21"/>
                      <w:u w:val="single"/>
                    </w:rPr>
                    <w:t>2</w:t>
                  </w:r>
                </w:p>
              </w:tc>
            </w:tr>
            <w:tr w14:paraId="66C56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3D502A7F">
                  <w:pPr>
                    <w:autoSpaceDE w:val="0"/>
                    <w:autoSpaceDN w:val="0"/>
                    <w:jc w:val="center"/>
                    <w:rPr>
                      <w:bCs/>
                      <w:color w:val="auto"/>
                      <w:spacing w:val="10"/>
                      <w:szCs w:val="21"/>
                      <w:u w:val="single"/>
                    </w:rPr>
                  </w:pPr>
                  <w:r>
                    <w:rPr>
                      <w:color w:val="auto"/>
                      <w:szCs w:val="21"/>
                      <w:u w:val="single"/>
                    </w:rPr>
                    <w:t>2</w:t>
                  </w:r>
                </w:p>
              </w:tc>
              <w:tc>
                <w:tcPr>
                  <w:tcW w:w="955" w:type="dxa"/>
                  <w:vMerge w:val="continue"/>
                  <w:tcBorders>
                    <w:tl2br w:val="nil"/>
                    <w:tr2bl w:val="nil"/>
                  </w:tcBorders>
                  <w:vAlign w:val="center"/>
                </w:tcPr>
                <w:p w14:paraId="477B282C">
                  <w:pPr>
                    <w:autoSpaceDE w:val="0"/>
                    <w:autoSpaceDN w:val="0"/>
                    <w:jc w:val="center"/>
                    <w:rPr>
                      <w:bCs/>
                      <w:color w:val="auto"/>
                      <w:spacing w:val="10"/>
                      <w:szCs w:val="21"/>
                      <w:u w:val="single"/>
                    </w:rPr>
                  </w:pPr>
                </w:p>
              </w:tc>
              <w:tc>
                <w:tcPr>
                  <w:tcW w:w="957" w:type="dxa"/>
                  <w:tcBorders>
                    <w:tl2br w:val="nil"/>
                    <w:tr2bl w:val="nil"/>
                  </w:tcBorders>
                  <w:vAlign w:val="center"/>
                </w:tcPr>
                <w:p w14:paraId="5AC0F840">
                  <w:pPr>
                    <w:autoSpaceDE w:val="0"/>
                    <w:autoSpaceDN w:val="0"/>
                    <w:jc w:val="center"/>
                    <w:rPr>
                      <w:color w:val="auto"/>
                      <w:spacing w:val="9"/>
                      <w:szCs w:val="21"/>
                      <w:u w:val="single"/>
                    </w:rPr>
                  </w:pPr>
                  <w:r>
                    <w:rPr>
                      <w:color w:val="auto"/>
                      <w:spacing w:val="8"/>
                      <w:szCs w:val="21"/>
                      <w:u w:val="single"/>
                    </w:rPr>
                    <w:t>废气</w:t>
                  </w:r>
                </w:p>
              </w:tc>
              <w:tc>
                <w:tcPr>
                  <w:tcW w:w="3027" w:type="dxa"/>
                  <w:tcBorders>
                    <w:tl2br w:val="nil"/>
                    <w:tr2bl w:val="nil"/>
                  </w:tcBorders>
                  <w:vAlign w:val="center"/>
                </w:tcPr>
                <w:p w14:paraId="3800880A">
                  <w:pPr>
                    <w:autoSpaceDE w:val="0"/>
                    <w:autoSpaceDN w:val="0"/>
                    <w:jc w:val="center"/>
                    <w:rPr>
                      <w:bCs/>
                      <w:color w:val="auto"/>
                      <w:spacing w:val="10"/>
                      <w:szCs w:val="21"/>
                      <w:u w:val="single"/>
                    </w:rPr>
                  </w:pPr>
                  <w:r>
                    <w:rPr>
                      <w:color w:val="auto"/>
                      <w:spacing w:val="9"/>
                      <w:szCs w:val="21"/>
                      <w:u w:val="single"/>
                    </w:rPr>
                    <w:t>洒</w:t>
                  </w:r>
                  <w:r>
                    <w:rPr>
                      <w:color w:val="auto"/>
                      <w:spacing w:val="6"/>
                      <w:szCs w:val="21"/>
                      <w:u w:val="single"/>
                    </w:rPr>
                    <w:t>水抑尘</w:t>
                  </w:r>
                </w:p>
              </w:tc>
              <w:tc>
                <w:tcPr>
                  <w:tcW w:w="1707" w:type="dxa"/>
                  <w:tcBorders>
                    <w:tl2br w:val="nil"/>
                    <w:tr2bl w:val="nil"/>
                  </w:tcBorders>
                  <w:vAlign w:val="center"/>
                </w:tcPr>
                <w:p w14:paraId="076FCAD7">
                  <w:pPr>
                    <w:autoSpaceDE w:val="0"/>
                    <w:autoSpaceDN w:val="0"/>
                    <w:jc w:val="center"/>
                    <w:rPr>
                      <w:bCs/>
                      <w:color w:val="auto"/>
                      <w:spacing w:val="10"/>
                      <w:szCs w:val="21"/>
                      <w:u w:val="single"/>
                    </w:rPr>
                  </w:pPr>
                  <w:r>
                    <w:rPr>
                      <w:color w:val="auto"/>
                      <w:szCs w:val="21"/>
                      <w:u w:val="single"/>
                    </w:rPr>
                    <w:t>1</w:t>
                  </w:r>
                </w:p>
              </w:tc>
            </w:tr>
            <w:tr w14:paraId="36F6D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3D127E36">
                  <w:pPr>
                    <w:autoSpaceDE w:val="0"/>
                    <w:autoSpaceDN w:val="0"/>
                    <w:jc w:val="center"/>
                    <w:rPr>
                      <w:bCs/>
                      <w:color w:val="auto"/>
                      <w:spacing w:val="10"/>
                      <w:szCs w:val="21"/>
                      <w:u w:val="single"/>
                    </w:rPr>
                  </w:pPr>
                  <w:r>
                    <w:rPr>
                      <w:color w:val="auto"/>
                      <w:szCs w:val="21"/>
                      <w:u w:val="single"/>
                    </w:rPr>
                    <w:t>3</w:t>
                  </w:r>
                </w:p>
              </w:tc>
              <w:tc>
                <w:tcPr>
                  <w:tcW w:w="955" w:type="dxa"/>
                  <w:vMerge w:val="continue"/>
                  <w:tcBorders>
                    <w:tl2br w:val="nil"/>
                    <w:tr2bl w:val="nil"/>
                  </w:tcBorders>
                  <w:vAlign w:val="center"/>
                </w:tcPr>
                <w:p w14:paraId="0980B450">
                  <w:pPr>
                    <w:autoSpaceDE w:val="0"/>
                    <w:autoSpaceDN w:val="0"/>
                    <w:jc w:val="center"/>
                    <w:rPr>
                      <w:bCs/>
                      <w:color w:val="auto"/>
                      <w:spacing w:val="10"/>
                      <w:szCs w:val="21"/>
                      <w:u w:val="single"/>
                    </w:rPr>
                  </w:pPr>
                </w:p>
              </w:tc>
              <w:tc>
                <w:tcPr>
                  <w:tcW w:w="957" w:type="dxa"/>
                  <w:tcBorders>
                    <w:tl2br w:val="nil"/>
                    <w:tr2bl w:val="nil"/>
                  </w:tcBorders>
                  <w:vAlign w:val="center"/>
                </w:tcPr>
                <w:p w14:paraId="29921A9C">
                  <w:pPr>
                    <w:autoSpaceDE w:val="0"/>
                    <w:autoSpaceDN w:val="0"/>
                    <w:jc w:val="center"/>
                    <w:rPr>
                      <w:color w:val="auto"/>
                      <w:spacing w:val="9"/>
                      <w:szCs w:val="21"/>
                      <w:u w:val="single"/>
                    </w:rPr>
                  </w:pPr>
                  <w:r>
                    <w:rPr>
                      <w:color w:val="auto"/>
                      <w:spacing w:val="8"/>
                      <w:szCs w:val="21"/>
                      <w:u w:val="single"/>
                    </w:rPr>
                    <w:t>噪声</w:t>
                  </w:r>
                </w:p>
              </w:tc>
              <w:tc>
                <w:tcPr>
                  <w:tcW w:w="3027" w:type="dxa"/>
                  <w:tcBorders>
                    <w:tl2br w:val="nil"/>
                    <w:tr2bl w:val="nil"/>
                  </w:tcBorders>
                  <w:vAlign w:val="center"/>
                </w:tcPr>
                <w:p w14:paraId="65139954">
                  <w:pPr>
                    <w:autoSpaceDE w:val="0"/>
                    <w:autoSpaceDN w:val="0"/>
                    <w:jc w:val="center"/>
                    <w:rPr>
                      <w:bCs/>
                      <w:color w:val="auto"/>
                      <w:spacing w:val="10"/>
                      <w:szCs w:val="21"/>
                      <w:u w:val="single"/>
                    </w:rPr>
                  </w:pPr>
                  <w:r>
                    <w:rPr>
                      <w:color w:val="auto"/>
                      <w:spacing w:val="8"/>
                      <w:szCs w:val="21"/>
                      <w:u w:val="single"/>
                    </w:rPr>
                    <w:t>选用</w:t>
                  </w:r>
                  <w:r>
                    <w:rPr>
                      <w:color w:val="auto"/>
                      <w:spacing w:val="5"/>
                      <w:szCs w:val="21"/>
                      <w:u w:val="single"/>
                    </w:rPr>
                    <w:t>低</w:t>
                  </w:r>
                  <w:r>
                    <w:rPr>
                      <w:color w:val="auto"/>
                      <w:spacing w:val="4"/>
                      <w:szCs w:val="21"/>
                      <w:u w:val="single"/>
                    </w:rPr>
                    <w:t>噪声施工机械和施工工艺，加强对施</w:t>
                  </w:r>
                  <w:r>
                    <w:rPr>
                      <w:color w:val="auto"/>
                      <w:spacing w:val="10"/>
                      <w:szCs w:val="21"/>
                      <w:u w:val="single"/>
                    </w:rPr>
                    <w:t>工</w:t>
                  </w:r>
                  <w:r>
                    <w:rPr>
                      <w:color w:val="auto"/>
                      <w:spacing w:val="9"/>
                      <w:szCs w:val="21"/>
                      <w:u w:val="single"/>
                    </w:rPr>
                    <w:t>机械和运输车辆的保养维修</w:t>
                  </w:r>
                </w:p>
              </w:tc>
              <w:tc>
                <w:tcPr>
                  <w:tcW w:w="1707" w:type="dxa"/>
                  <w:tcBorders>
                    <w:tl2br w:val="nil"/>
                    <w:tr2bl w:val="nil"/>
                  </w:tcBorders>
                  <w:vAlign w:val="center"/>
                </w:tcPr>
                <w:p w14:paraId="3BEE105F">
                  <w:pPr>
                    <w:autoSpaceDE w:val="0"/>
                    <w:autoSpaceDN w:val="0"/>
                    <w:jc w:val="center"/>
                    <w:rPr>
                      <w:bCs/>
                      <w:color w:val="auto"/>
                      <w:spacing w:val="10"/>
                      <w:szCs w:val="21"/>
                      <w:u w:val="single"/>
                    </w:rPr>
                  </w:pPr>
                  <w:r>
                    <w:rPr>
                      <w:color w:val="auto"/>
                      <w:szCs w:val="21"/>
                      <w:u w:val="single"/>
                    </w:rPr>
                    <w:t>1</w:t>
                  </w:r>
                </w:p>
              </w:tc>
            </w:tr>
            <w:tr w14:paraId="129E0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35FEBE40">
                  <w:pPr>
                    <w:autoSpaceDE w:val="0"/>
                    <w:autoSpaceDN w:val="0"/>
                    <w:jc w:val="center"/>
                    <w:rPr>
                      <w:bCs/>
                      <w:color w:val="auto"/>
                      <w:spacing w:val="10"/>
                      <w:szCs w:val="21"/>
                      <w:u w:val="single"/>
                    </w:rPr>
                  </w:pPr>
                  <w:r>
                    <w:rPr>
                      <w:color w:val="auto"/>
                      <w:spacing w:val="1"/>
                      <w:szCs w:val="21"/>
                      <w:u w:val="single"/>
                    </w:rPr>
                    <w:t>4</w:t>
                  </w:r>
                </w:p>
              </w:tc>
              <w:tc>
                <w:tcPr>
                  <w:tcW w:w="955" w:type="dxa"/>
                  <w:vMerge w:val="continue"/>
                  <w:tcBorders>
                    <w:tl2br w:val="nil"/>
                    <w:tr2bl w:val="nil"/>
                  </w:tcBorders>
                  <w:vAlign w:val="center"/>
                </w:tcPr>
                <w:p w14:paraId="08D57C30">
                  <w:pPr>
                    <w:autoSpaceDE w:val="0"/>
                    <w:autoSpaceDN w:val="0"/>
                    <w:jc w:val="center"/>
                    <w:rPr>
                      <w:bCs/>
                      <w:color w:val="auto"/>
                      <w:spacing w:val="10"/>
                      <w:szCs w:val="21"/>
                      <w:u w:val="single"/>
                    </w:rPr>
                  </w:pPr>
                </w:p>
              </w:tc>
              <w:tc>
                <w:tcPr>
                  <w:tcW w:w="957" w:type="dxa"/>
                  <w:tcBorders>
                    <w:tl2br w:val="nil"/>
                    <w:tr2bl w:val="nil"/>
                  </w:tcBorders>
                  <w:vAlign w:val="center"/>
                </w:tcPr>
                <w:p w14:paraId="0109F63D">
                  <w:pPr>
                    <w:autoSpaceDE w:val="0"/>
                    <w:autoSpaceDN w:val="0"/>
                    <w:jc w:val="center"/>
                    <w:rPr>
                      <w:color w:val="auto"/>
                      <w:spacing w:val="9"/>
                      <w:szCs w:val="21"/>
                      <w:u w:val="single"/>
                    </w:rPr>
                  </w:pPr>
                  <w:r>
                    <w:rPr>
                      <w:color w:val="auto"/>
                      <w:spacing w:val="8"/>
                      <w:szCs w:val="21"/>
                      <w:u w:val="single"/>
                    </w:rPr>
                    <w:t>固废</w:t>
                  </w:r>
                </w:p>
              </w:tc>
              <w:tc>
                <w:tcPr>
                  <w:tcW w:w="3027" w:type="dxa"/>
                  <w:tcBorders>
                    <w:tl2br w:val="nil"/>
                    <w:tr2bl w:val="nil"/>
                  </w:tcBorders>
                  <w:vAlign w:val="center"/>
                </w:tcPr>
                <w:p w14:paraId="7638297F">
                  <w:pPr>
                    <w:autoSpaceDE w:val="0"/>
                    <w:autoSpaceDN w:val="0"/>
                    <w:jc w:val="center"/>
                    <w:rPr>
                      <w:bCs/>
                      <w:color w:val="auto"/>
                      <w:spacing w:val="10"/>
                      <w:szCs w:val="21"/>
                      <w:u w:val="single"/>
                    </w:rPr>
                  </w:pPr>
                  <w:r>
                    <w:rPr>
                      <w:color w:val="auto"/>
                      <w:spacing w:val="7"/>
                      <w:szCs w:val="21"/>
                      <w:u w:val="single"/>
                    </w:rPr>
                    <w:t>合理处置</w:t>
                  </w:r>
                </w:p>
              </w:tc>
              <w:tc>
                <w:tcPr>
                  <w:tcW w:w="1707" w:type="dxa"/>
                  <w:tcBorders>
                    <w:tl2br w:val="nil"/>
                    <w:tr2bl w:val="nil"/>
                  </w:tcBorders>
                  <w:vAlign w:val="center"/>
                </w:tcPr>
                <w:p w14:paraId="639CD4D6">
                  <w:pPr>
                    <w:autoSpaceDE w:val="0"/>
                    <w:autoSpaceDN w:val="0"/>
                    <w:jc w:val="center"/>
                    <w:rPr>
                      <w:bCs/>
                      <w:color w:val="auto"/>
                      <w:spacing w:val="10"/>
                      <w:szCs w:val="21"/>
                      <w:u w:val="single"/>
                    </w:rPr>
                  </w:pPr>
                  <w:r>
                    <w:rPr>
                      <w:color w:val="auto"/>
                      <w:spacing w:val="2"/>
                      <w:position w:val="1"/>
                      <w:szCs w:val="21"/>
                      <w:u w:val="single"/>
                    </w:rPr>
                    <w:t>/</w:t>
                  </w:r>
                </w:p>
              </w:tc>
            </w:tr>
            <w:tr w14:paraId="37033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53F68B05">
                  <w:pPr>
                    <w:autoSpaceDE w:val="0"/>
                    <w:autoSpaceDN w:val="0"/>
                    <w:jc w:val="center"/>
                    <w:rPr>
                      <w:bCs/>
                      <w:color w:val="auto"/>
                      <w:spacing w:val="10"/>
                      <w:szCs w:val="21"/>
                      <w:u w:val="single"/>
                    </w:rPr>
                  </w:pPr>
                  <w:r>
                    <w:rPr>
                      <w:color w:val="auto"/>
                      <w:szCs w:val="21"/>
                      <w:u w:val="single"/>
                    </w:rPr>
                    <w:t>5</w:t>
                  </w:r>
                </w:p>
              </w:tc>
              <w:tc>
                <w:tcPr>
                  <w:tcW w:w="955" w:type="dxa"/>
                  <w:vMerge w:val="continue"/>
                  <w:tcBorders>
                    <w:tl2br w:val="nil"/>
                    <w:tr2bl w:val="nil"/>
                  </w:tcBorders>
                  <w:vAlign w:val="center"/>
                </w:tcPr>
                <w:p w14:paraId="34401728">
                  <w:pPr>
                    <w:autoSpaceDE w:val="0"/>
                    <w:autoSpaceDN w:val="0"/>
                    <w:jc w:val="center"/>
                    <w:rPr>
                      <w:bCs/>
                      <w:color w:val="auto"/>
                      <w:spacing w:val="10"/>
                      <w:szCs w:val="21"/>
                      <w:u w:val="single"/>
                    </w:rPr>
                  </w:pPr>
                </w:p>
              </w:tc>
              <w:tc>
                <w:tcPr>
                  <w:tcW w:w="957" w:type="dxa"/>
                  <w:tcBorders>
                    <w:tl2br w:val="nil"/>
                    <w:tr2bl w:val="nil"/>
                  </w:tcBorders>
                  <w:vAlign w:val="center"/>
                </w:tcPr>
                <w:p w14:paraId="19C5394B">
                  <w:pPr>
                    <w:autoSpaceDE w:val="0"/>
                    <w:autoSpaceDN w:val="0"/>
                    <w:jc w:val="center"/>
                    <w:rPr>
                      <w:color w:val="auto"/>
                      <w:spacing w:val="9"/>
                      <w:szCs w:val="21"/>
                      <w:u w:val="single"/>
                    </w:rPr>
                  </w:pPr>
                  <w:r>
                    <w:rPr>
                      <w:color w:val="auto"/>
                      <w:spacing w:val="9"/>
                      <w:szCs w:val="21"/>
                      <w:u w:val="single"/>
                    </w:rPr>
                    <w:t>水</w:t>
                  </w:r>
                  <w:r>
                    <w:rPr>
                      <w:color w:val="auto"/>
                      <w:spacing w:val="6"/>
                      <w:szCs w:val="21"/>
                      <w:u w:val="single"/>
                    </w:rPr>
                    <w:t>土流失</w:t>
                  </w:r>
                </w:p>
              </w:tc>
              <w:tc>
                <w:tcPr>
                  <w:tcW w:w="3027" w:type="dxa"/>
                  <w:tcBorders>
                    <w:tl2br w:val="nil"/>
                    <w:tr2bl w:val="nil"/>
                  </w:tcBorders>
                  <w:vAlign w:val="center"/>
                </w:tcPr>
                <w:p w14:paraId="3E33AAF8">
                  <w:pPr>
                    <w:autoSpaceDE w:val="0"/>
                    <w:autoSpaceDN w:val="0"/>
                    <w:jc w:val="center"/>
                    <w:rPr>
                      <w:bCs/>
                      <w:color w:val="auto"/>
                      <w:spacing w:val="10"/>
                      <w:szCs w:val="21"/>
                      <w:u w:val="single"/>
                    </w:rPr>
                  </w:pPr>
                  <w:r>
                    <w:rPr>
                      <w:color w:val="auto"/>
                      <w:spacing w:val="9"/>
                      <w:szCs w:val="21"/>
                      <w:u w:val="single"/>
                    </w:rPr>
                    <w:t>临</w:t>
                  </w:r>
                  <w:r>
                    <w:rPr>
                      <w:color w:val="auto"/>
                      <w:spacing w:val="8"/>
                      <w:szCs w:val="21"/>
                      <w:u w:val="single"/>
                    </w:rPr>
                    <w:t>时截水沟、临时排水沟</w:t>
                  </w:r>
                </w:p>
              </w:tc>
              <w:tc>
                <w:tcPr>
                  <w:tcW w:w="1707" w:type="dxa"/>
                  <w:tcBorders>
                    <w:tl2br w:val="nil"/>
                    <w:tr2bl w:val="nil"/>
                  </w:tcBorders>
                  <w:vAlign w:val="center"/>
                </w:tcPr>
                <w:p w14:paraId="5F32B2D3">
                  <w:pPr>
                    <w:autoSpaceDE w:val="0"/>
                    <w:autoSpaceDN w:val="0"/>
                    <w:jc w:val="center"/>
                    <w:rPr>
                      <w:bCs/>
                      <w:color w:val="auto"/>
                      <w:spacing w:val="10"/>
                      <w:szCs w:val="21"/>
                      <w:u w:val="single"/>
                    </w:rPr>
                  </w:pPr>
                  <w:r>
                    <w:rPr>
                      <w:color w:val="auto"/>
                      <w:szCs w:val="21"/>
                      <w:u w:val="single"/>
                    </w:rPr>
                    <w:t>3</w:t>
                  </w:r>
                </w:p>
              </w:tc>
            </w:tr>
            <w:tr w14:paraId="4E11E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1100EE69">
                  <w:pPr>
                    <w:autoSpaceDE w:val="0"/>
                    <w:autoSpaceDN w:val="0"/>
                    <w:jc w:val="center"/>
                    <w:rPr>
                      <w:color w:val="auto"/>
                      <w:spacing w:val="9"/>
                      <w:szCs w:val="21"/>
                      <w:u w:val="single"/>
                    </w:rPr>
                  </w:pPr>
                  <w:r>
                    <w:rPr>
                      <w:color w:val="auto"/>
                      <w:spacing w:val="9"/>
                      <w:szCs w:val="21"/>
                      <w:u w:val="single"/>
                    </w:rPr>
                    <w:t>6</w:t>
                  </w:r>
                </w:p>
              </w:tc>
              <w:tc>
                <w:tcPr>
                  <w:tcW w:w="955" w:type="dxa"/>
                  <w:vMerge w:val="restart"/>
                  <w:tcBorders>
                    <w:tl2br w:val="nil"/>
                    <w:tr2bl w:val="nil"/>
                  </w:tcBorders>
                  <w:vAlign w:val="center"/>
                </w:tcPr>
                <w:p w14:paraId="6BC6ED8F">
                  <w:pPr>
                    <w:autoSpaceDE w:val="0"/>
                    <w:autoSpaceDN w:val="0"/>
                    <w:jc w:val="center"/>
                    <w:rPr>
                      <w:color w:val="auto"/>
                      <w:spacing w:val="9"/>
                      <w:szCs w:val="21"/>
                      <w:u w:val="single"/>
                      <w:lang w:val="zh-CN"/>
                    </w:rPr>
                  </w:pPr>
                  <w:r>
                    <w:rPr>
                      <w:color w:val="auto"/>
                      <w:spacing w:val="9"/>
                      <w:szCs w:val="21"/>
                      <w:u w:val="single"/>
                    </w:rPr>
                    <w:t>运营期</w:t>
                  </w:r>
                </w:p>
              </w:tc>
              <w:tc>
                <w:tcPr>
                  <w:tcW w:w="957" w:type="dxa"/>
                  <w:tcBorders>
                    <w:tl2br w:val="nil"/>
                    <w:tr2bl w:val="nil"/>
                  </w:tcBorders>
                  <w:vAlign w:val="center"/>
                </w:tcPr>
                <w:p w14:paraId="499488BA">
                  <w:pPr>
                    <w:autoSpaceDE w:val="0"/>
                    <w:autoSpaceDN w:val="0"/>
                    <w:jc w:val="center"/>
                    <w:rPr>
                      <w:color w:val="auto"/>
                      <w:spacing w:val="9"/>
                      <w:szCs w:val="21"/>
                      <w:u w:val="single"/>
                    </w:rPr>
                  </w:pPr>
                  <w:r>
                    <w:rPr>
                      <w:color w:val="auto"/>
                      <w:spacing w:val="9"/>
                      <w:szCs w:val="21"/>
                      <w:u w:val="single"/>
                    </w:rPr>
                    <w:t>废气</w:t>
                  </w:r>
                </w:p>
              </w:tc>
              <w:tc>
                <w:tcPr>
                  <w:tcW w:w="3027" w:type="dxa"/>
                  <w:tcBorders>
                    <w:tl2br w:val="nil"/>
                    <w:tr2bl w:val="nil"/>
                  </w:tcBorders>
                  <w:vAlign w:val="center"/>
                </w:tcPr>
                <w:p w14:paraId="624E121F">
                  <w:pPr>
                    <w:autoSpaceDE w:val="0"/>
                    <w:autoSpaceDN w:val="0"/>
                    <w:jc w:val="center"/>
                    <w:rPr>
                      <w:color w:val="auto"/>
                      <w:spacing w:val="9"/>
                      <w:szCs w:val="21"/>
                      <w:u w:val="single"/>
                    </w:rPr>
                  </w:pPr>
                  <w:r>
                    <w:rPr>
                      <w:color w:val="auto"/>
                      <w:spacing w:val="9"/>
                      <w:szCs w:val="21"/>
                      <w:u w:val="single"/>
                    </w:rPr>
                    <w:t>/</w:t>
                  </w:r>
                </w:p>
              </w:tc>
              <w:tc>
                <w:tcPr>
                  <w:tcW w:w="1707" w:type="dxa"/>
                  <w:tcBorders>
                    <w:tl2br w:val="nil"/>
                    <w:tr2bl w:val="nil"/>
                  </w:tcBorders>
                  <w:vAlign w:val="center"/>
                </w:tcPr>
                <w:p w14:paraId="681A2532">
                  <w:pPr>
                    <w:autoSpaceDE w:val="0"/>
                    <w:autoSpaceDN w:val="0"/>
                    <w:jc w:val="center"/>
                    <w:rPr>
                      <w:color w:val="auto"/>
                      <w:spacing w:val="9"/>
                      <w:szCs w:val="21"/>
                      <w:u w:val="single"/>
                    </w:rPr>
                  </w:pPr>
                  <w:r>
                    <w:rPr>
                      <w:color w:val="auto"/>
                      <w:spacing w:val="9"/>
                      <w:szCs w:val="21"/>
                      <w:u w:val="single"/>
                    </w:rPr>
                    <w:t>/</w:t>
                  </w:r>
                </w:p>
              </w:tc>
            </w:tr>
            <w:tr w14:paraId="17DB2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2089014A">
                  <w:pPr>
                    <w:autoSpaceDE w:val="0"/>
                    <w:autoSpaceDN w:val="0"/>
                    <w:jc w:val="center"/>
                    <w:rPr>
                      <w:color w:val="auto"/>
                      <w:spacing w:val="9"/>
                      <w:szCs w:val="21"/>
                      <w:u w:val="single"/>
                      <w:lang w:val="zh-CN"/>
                    </w:rPr>
                  </w:pPr>
                  <w:r>
                    <w:rPr>
                      <w:color w:val="auto"/>
                      <w:spacing w:val="9"/>
                      <w:szCs w:val="21"/>
                      <w:u w:val="single"/>
                    </w:rPr>
                    <w:t>7</w:t>
                  </w:r>
                </w:p>
              </w:tc>
              <w:tc>
                <w:tcPr>
                  <w:tcW w:w="955" w:type="dxa"/>
                  <w:vMerge w:val="continue"/>
                  <w:tcBorders>
                    <w:tl2br w:val="nil"/>
                    <w:tr2bl w:val="nil"/>
                  </w:tcBorders>
                  <w:vAlign w:val="center"/>
                </w:tcPr>
                <w:p w14:paraId="43033525">
                  <w:pPr>
                    <w:autoSpaceDE w:val="0"/>
                    <w:autoSpaceDN w:val="0"/>
                    <w:jc w:val="center"/>
                    <w:rPr>
                      <w:color w:val="auto"/>
                      <w:spacing w:val="9"/>
                      <w:szCs w:val="21"/>
                      <w:u w:val="single"/>
                      <w:lang w:val="zh-CN"/>
                    </w:rPr>
                  </w:pPr>
                </w:p>
              </w:tc>
              <w:tc>
                <w:tcPr>
                  <w:tcW w:w="957" w:type="dxa"/>
                  <w:tcBorders>
                    <w:tl2br w:val="nil"/>
                    <w:tr2bl w:val="nil"/>
                  </w:tcBorders>
                  <w:vAlign w:val="center"/>
                </w:tcPr>
                <w:p w14:paraId="6D1AAE4C">
                  <w:pPr>
                    <w:autoSpaceDE w:val="0"/>
                    <w:autoSpaceDN w:val="0"/>
                    <w:jc w:val="center"/>
                    <w:rPr>
                      <w:color w:val="auto"/>
                      <w:spacing w:val="9"/>
                      <w:szCs w:val="21"/>
                      <w:u w:val="single"/>
                    </w:rPr>
                  </w:pPr>
                  <w:r>
                    <w:rPr>
                      <w:color w:val="auto"/>
                      <w:spacing w:val="9"/>
                      <w:szCs w:val="21"/>
                      <w:u w:val="single"/>
                    </w:rPr>
                    <w:t>生态保护措施</w:t>
                  </w:r>
                </w:p>
              </w:tc>
              <w:tc>
                <w:tcPr>
                  <w:tcW w:w="3027" w:type="dxa"/>
                  <w:tcBorders>
                    <w:tl2br w:val="nil"/>
                    <w:tr2bl w:val="nil"/>
                  </w:tcBorders>
                  <w:vAlign w:val="center"/>
                </w:tcPr>
                <w:p w14:paraId="339D7BFE">
                  <w:pPr>
                    <w:autoSpaceDE w:val="0"/>
                    <w:autoSpaceDN w:val="0"/>
                    <w:jc w:val="center"/>
                    <w:rPr>
                      <w:color w:val="auto"/>
                      <w:spacing w:val="9"/>
                      <w:szCs w:val="21"/>
                      <w:u w:val="single"/>
                      <w:lang w:val="zh-CN"/>
                    </w:rPr>
                  </w:pPr>
                  <w:r>
                    <w:rPr>
                      <w:color w:val="auto"/>
                      <w:spacing w:val="9"/>
                      <w:szCs w:val="21"/>
                      <w:u w:val="single"/>
                    </w:rPr>
                    <w:t>挖方全部回用、合理利用原有生态环境</w:t>
                  </w:r>
                </w:p>
              </w:tc>
              <w:tc>
                <w:tcPr>
                  <w:tcW w:w="1707" w:type="dxa"/>
                  <w:tcBorders>
                    <w:tl2br w:val="nil"/>
                    <w:tr2bl w:val="nil"/>
                  </w:tcBorders>
                  <w:vAlign w:val="center"/>
                </w:tcPr>
                <w:p w14:paraId="3BAA85C8">
                  <w:pPr>
                    <w:autoSpaceDE w:val="0"/>
                    <w:autoSpaceDN w:val="0"/>
                    <w:jc w:val="center"/>
                    <w:rPr>
                      <w:color w:val="auto"/>
                      <w:spacing w:val="9"/>
                      <w:szCs w:val="21"/>
                      <w:u w:val="single"/>
                      <w:lang w:val="zh-CN"/>
                    </w:rPr>
                  </w:pPr>
                  <w:r>
                    <w:rPr>
                      <w:color w:val="auto"/>
                      <w:spacing w:val="9"/>
                      <w:szCs w:val="21"/>
                      <w:u w:val="single"/>
                    </w:rPr>
                    <w:t>1</w:t>
                  </w:r>
                </w:p>
              </w:tc>
            </w:tr>
            <w:tr w14:paraId="71E26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4C7D75DA">
                  <w:pPr>
                    <w:autoSpaceDE w:val="0"/>
                    <w:autoSpaceDN w:val="0"/>
                    <w:jc w:val="center"/>
                    <w:rPr>
                      <w:color w:val="auto"/>
                      <w:spacing w:val="9"/>
                      <w:szCs w:val="21"/>
                      <w:u w:val="single"/>
                      <w:lang w:val="zh-CN"/>
                    </w:rPr>
                  </w:pPr>
                  <w:r>
                    <w:rPr>
                      <w:color w:val="auto"/>
                      <w:spacing w:val="9"/>
                      <w:szCs w:val="21"/>
                      <w:u w:val="single"/>
                    </w:rPr>
                    <w:t>8</w:t>
                  </w:r>
                </w:p>
              </w:tc>
              <w:tc>
                <w:tcPr>
                  <w:tcW w:w="955" w:type="dxa"/>
                  <w:vMerge w:val="continue"/>
                  <w:tcBorders>
                    <w:tl2br w:val="nil"/>
                    <w:tr2bl w:val="nil"/>
                  </w:tcBorders>
                  <w:vAlign w:val="center"/>
                </w:tcPr>
                <w:p w14:paraId="041F0CDB">
                  <w:pPr>
                    <w:autoSpaceDE w:val="0"/>
                    <w:autoSpaceDN w:val="0"/>
                    <w:jc w:val="center"/>
                    <w:rPr>
                      <w:color w:val="auto"/>
                      <w:spacing w:val="9"/>
                      <w:szCs w:val="21"/>
                      <w:u w:val="single"/>
                      <w:lang w:val="zh-CN"/>
                    </w:rPr>
                  </w:pPr>
                </w:p>
              </w:tc>
              <w:tc>
                <w:tcPr>
                  <w:tcW w:w="957" w:type="dxa"/>
                  <w:tcBorders>
                    <w:tl2br w:val="nil"/>
                    <w:tr2bl w:val="nil"/>
                  </w:tcBorders>
                  <w:vAlign w:val="center"/>
                </w:tcPr>
                <w:p w14:paraId="363CED2C">
                  <w:pPr>
                    <w:autoSpaceDE w:val="0"/>
                    <w:autoSpaceDN w:val="0"/>
                    <w:jc w:val="center"/>
                    <w:rPr>
                      <w:color w:val="auto"/>
                      <w:spacing w:val="9"/>
                      <w:szCs w:val="21"/>
                      <w:u w:val="single"/>
                    </w:rPr>
                  </w:pPr>
                  <w:r>
                    <w:rPr>
                      <w:color w:val="auto"/>
                      <w:spacing w:val="9"/>
                      <w:szCs w:val="21"/>
                      <w:u w:val="single"/>
                    </w:rPr>
                    <w:t>废水</w:t>
                  </w:r>
                </w:p>
              </w:tc>
              <w:tc>
                <w:tcPr>
                  <w:tcW w:w="3027" w:type="dxa"/>
                  <w:tcBorders>
                    <w:tl2br w:val="nil"/>
                    <w:tr2bl w:val="nil"/>
                  </w:tcBorders>
                  <w:vAlign w:val="center"/>
                </w:tcPr>
                <w:p w14:paraId="5A6392FD">
                  <w:pPr>
                    <w:autoSpaceDE w:val="0"/>
                    <w:autoSpaceDN w:val="0"/>
                    <w:jc w:val="center"/>
                    <w:rPr>
                      <w:color w:val="auto"/>
                      <w:spacing w:val="9"/>
                      <w:szCs w:val="21"/>
                      <w:u w:val="single"/>
                      <w:lang w:val="zh-CN"/>
                    </w:rPr>
                  </w:pPr>
                  <w:r>
                    <w:rPr>
                      <w:color w:val="auto"/>
                      <w:spacing w:val="9"/>
                      <w:szCs w:val="21"/>
                      <w:u w:val="single"/>
                    </w:rPr>
                    <w:t>吸污泵+尾水塔+人工湿地</w:t>
                  </w:r>
                </w:p>
              </w:tc>
              <w:tc>
                <w:tcPr>
                  <w:tcW w:w="1707" w:type="dxa"/>
                  <w:tcBorders>
                    <w:tl2br w:val="nil"/>
                    <w:tr2bl w:val="nil"/>
                  </w:tcBorders>
                  <w:vAlign w:val="center"/>
                </w:tcPr>
                <w:p w14:paraId="390AE43A">
                  <w:pPr>
                    <w:autoSpaceDE w:val="0"/>
                    <w:autoSpaceDN w:val="0"/>
                    <w:jc w:val="center"/>
                    <w:rPr>
                      <w:color w:val="auto"/>
                      <w:spacing w:val="9"/>
                      <w:szCs w:val="21"/>
                      <w:u w:val="single"/>
                    </w:rPr>
                  </w:pPr>
                  <w:r>
                    <w:rPr>
                      <w:color w:val="auto"/>
                      <w:spacing w:val="9"/>
                      <w:szCs w:val="21"/>
                      <w:u w:val="single"/>
                    </w:rPr>
                    <w:t>20</w:t>
                  </w:r>
                </w:p>
              </w:tc>
            </w:tr>
            <w:tr w14:paraId="7A50C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15FAEFD3">
                  <w:pPr>
                    <w:autoSpaceDE w:val="0"/>
                    <w:autoSpaceDN w:val="0"/>
                    <w:jc w:val="center"/>
                    <w:rPr>
                      <w:color w:val="auto"/>
                      <w:spacing w:val="9"/>
                      <w:szCs w:val="21"/>
                      <w:u w:val="single"/>
                      <w:lang w:val="zh-CN"/>
                    </w:rPr>
                  </w:pPr>
                  <w:r>
                    <w:rPr>
                      <w:color w:val="auto"/>
                      <w:spacing w:val="9"/>
                      <w:szCs w:val="21"/>
                      <w:u w:val="single"/>
                    </w:rPr>
                    <w:t>9</w:t>
                  </w:r>
                </w:p>
              </w:tc>
              <w:tc>
                <w:tcPr>
                  <w:tcW w:w="955" w:type="dxa"/>
                  <w:vMerge w:val="continue"/>
                  <w:tcBorders>
                    <w:tl2br w:val="nil"/>
                    <w:tr2bl w:val="nil"/>
                  </w:tcBorders>
                  <w:vAlign w:val="center"/>
                </w:tcPr>
                <w:p w14:paraId="56CF3D41">
                  <w:pPr>
                    <w:autoSpaceDE w:val="0"/>
                    <w:autoSpaceDN w:val="0"/>
                    <w:jc w:val="center"/>
                    <w:rPr>
                      <w:color w:val="auto"/>
                      <w:spacing w:val="9"/>
                      <w:szCs w:val="21"/>
                      <w:u w:val="single"/>
                      <w:lang w:val="zh-CN"/>
                    </w:rPr>
                  </w:pPr>
                </w:p>
              </w:tc>
              <w:tc>
                <w:tcPr>
                  <w:tcW w:w="957" w:type="dxa"/>
                  <w:tcBorders>
                    <w:tl2br w:val="nil"/>
                    <w:tr2bl w:val="nil"/>
                  </w:tcBorders>
                  <w:vAlign w:val="center"/>
                </w:tcPr>
                <w:p w14:paraId="676DCB04">
                  <w:pPr>
                    <w:autoSpaceDE w:val="0"/>
                    <w:autoSpaceDN w:val="0"/>
                    <w:jc w:val="center"/>
                    <w:rPr>
                      <w:color w:val="auto"/>
                      <w:spacing w:val="9"/>
                      <w:szCs w:val="21"/>
                      <w:u w:val="single"/>
                    </w:rPr>
                  </w:pPr>
                  <w:r>
                    <w:rPr>
                      <w:color w:val="auto"/>
                      <w:spacing w:val="9"/>
                      <w:szCs w:val="21"/>
                      <w:u w:val="single"/>
                    </w:rPr>
                    <w:t>噪声</w:t>
                  </w:r>
                </w:p>
              </w:tc>
              <w:tc>
                <w:tcPr>
                  <w:tcW w:w="3027" w:type="dxa"/>
                  <w:tcBorders>
                    <w:tl2br w:val="nil"/>
                    <w:tr2bl w:val="nil"/>
                  </w:tcBorders>
                  <w:vAlign w:val="center"/>
                </w:tcPr>
                <w:p w14:paraId="7A124193">
                  <w:pPr>
                    <w:autoSpaceDE w:val="0"/>
                    <w:autoSpaceDN w:val="0"/>
                    <w:jc w:val="center"/>
                    <w:rPr>
                      <w:color w:val="auto"/>
                      <w:spacing w:val="9"/>
                      <w:szCs w:val="21"/>
                      <w:u w:val="single"/>
                      <w:lang w:val="zh-CN"/>
                    </w:rPr>
                  </w:pPr>
                  <w:r>
                    <w:rPr>
                      <w:color w:val="auto"/>
                      <w:spacing w:val="9"/>
                      <w:szCs w:val="21"/>
                      <w:u w:val="single"/>
                    </w:rPr>
                    <w:t>低噪设备、加强管理</w:t>
                  </w:r>
                </w:p>
              </w:tc>
              <w:tc>
                <w:tcPr>
                  <w:tcW w:w="1707" w:type="dxa"/>
                  <w:tcBorders>
                    <w:tl2br w:val="nil"/>
                    <w:tr2bl w:val="nil"/>
                  </w:tcBorders>
                  <w:vAlign w:val="center"/>
                </w:tcPr>
                <w:p w14:paraId="296A9E8A">
                  <w:pPr>
                    <w:autoSpaceDE w:val="0"/>
                    <w:autoSpaceDN w:val="0"/>
                    <w:jc w:val="center"/>
                    <w:rPr>
                      <w:color w:val="auto"/>
                      <w:spacing w:val="9"/>
                      <w:szCs w:val="21"/>
                      <w:u w:val="single"/>
                      <w:lang w:val="zh-CN"/>
                    </w:rPr>
                  </w:pPr>
                  <w:r>
                    <w:rPr>
                      <w:color w:val="auto"/>
                      <w:spacing w:val="9"/>
                      <w:szCs w:val="21"/>
                      <w:u w:val="single"/>
                    </w:rPr>
                    <w:t>1</w:t>
                  </w:r>
                </w:p>
              </w:tc>
            </w:tr>
            <w:tr w14:paraId="0C70F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0879782D">
                  <w:pPr>
                    <w:autoSpaceDE w:val="0"/>
                    <w:autoSpaceDN w:val="0"/>
                    <w:jc w:val="center"/>
                    <w:rPr>
                      <w:color w:val="auto"/>
                      <w:spacing w:val="9"/>
                      <w:szCs w:val="21"/>
                      <w:u w:val="single"/>
                      <w:lang w:val="zh-CN" w:bidi="zh-CN"/>
                    </w:rPr>
                  </w:pPr>
                  <w:r>
                    <w:rPr>
                      <w:color w:val="auto"/>
                      <w:spacing w:val="9"/>
                      <w:szCs w:val="21"/>
                      <w:u w:val="single"/>
                    </w:rPr>
                    <w:t>10</w:t>
                  </w:r>
                </w:p>
              </w:tc>
              <w:tc>
                <w:tcPr>
                  <w:tcW w:w="955" w:type="dxa"/>
                  <w:vMerge w:val="continue"/>
                  <w:tcBorders>
                    <w:tl2br w:val="nil"/>
                    <w:tr2bl w:val="nil"/>
                  </w:tcBorders>
                  <w:vAlign w:val="center"/>
                </w:tcPr>
                <w:p w14:paraId="3703FE23">
                  <w:pPr>
                    <w:autoSpaceDE w:val="0"/>
                    <w:autoSpaceDN w:val="0"/>
                    <w:jc w:val="center"/>
                    <w:rPr>
                      <w:color w:val="auto"/>
                      <w:spacing w:val="9"/>
                      <w:szCs w:val="21"/>
                      <w:u w:val="single"/>
                      <w:lang w:val="zh-CN"/>
                    </w:rPr>
                  </w:pPr>
                </w:p>
              </w:tc>
              <w:tc>
                <w:tcPr>
                  <w:tcW w:w="957" w:type="dxa"/>
                  <w:tcBorders>
                    <w:tl2br w:val="nil"/>
                    <w:tr2bl w:val="nil"/>
                  </w:tcBorders>
                  <w:vAlign w:val="center"/>
                </w:tcPr>
                <w:p w14:paraId="2F394980">
                  <w:pPr>
                    <w:autoSpaceDE w:val="0"/>
                    <w:autoSpaceDN w:val="0"/>
                    <w:jc w:val="center"/>
                    <w:rPr>
                      <w:color w:val="auto"/>
                      <w:spacing w:val="9"/>
                      <w:szCs w:val="21"/>
                      <w:u w:val="single"/>
                    </w:rPr>
                  </w:pPr>
                  <w:r>
                    <w:rPr>
                      <w:color w:val="auto"/>
                      <w:spacing w:val="9"/>
                      <w:szCs w:val="21"/>
                      <w:u w:val="single"/>
                    </w:rPr>
                    <w:t>固废</w:t>
                  </w:r>
                </w:p>
              </w:tc>
              <w:tc>
                <w:tcPr>
                  <w:tcW w:w="3027" w:type="dxa"/>
                  <w:tcBorders>
                    <w:tl2br w:val="nil"/>
                    <w:tr2bl w:val="nil"/>
                  </w:tcBorders>
                  <w:vAlign w:val="center"/>
                </w:tcPr>
                <w:p w14:paraId="43C58399">
                  <w:pPr>
                    <w:autoSpaceDE w:val="0"/>
                    <w:autoSpaceDN w:val="0"/>
                    <w:jc w:val="center"/>
                    <w:rPr>
                      <w:color w:val="auto"/>
                      <w:spacing w:val="9"/>
                      <w:szCs w:val="21"/>
                      <w:u w:val="single"/>
                      <w:lang w:val="zh-CN"/>
                    </w:rPr>
                  </w:pPr>
                  <w:r>
                    <w:rPr>
                      <w:color w:val="auto"/>
                      <w:spacing w:val="9"/>
                      <w:szCs w:val="21"/>
                      <w:u w:val="single"/>
                    </w:rPr>
                    <w:t>合理处置</w:t>
                  </w:r>
                </w:p>
              </w:tc>
              <w:tc>
                <w:tcPr>
                  <w:tcW w:w="1707" w:type="dxa"/>
                  <w:tcBorders>
                    <w:tl2br w:val="nil"/>
                    <w:tr2bl w:val="nil"/>
                  </w:tcBorders>
                  <w:vAlign w:val="center"/>
                </w:tcPr>
                <w:p w14:paraId="0B566518">
                  <w:pPr>
                    <w:autoSpaceDE w:val="0"/>
                    <w:autoSpaceDN w:val="0"/>
                    <w:jc w:val="center"/>
                    <w:rPr>
                      <w:color w:val="auto"/>
                      <w:spacing w:val="9"/>
                      <w:szCs w:val="21"/>
                      <w:u w:val="single"/>
                      <w:lang w:val="zh-CN"/>
                    </w:rPr>
                  </w:pPr>
                  <w:r>
                    <w:rPr>
                      <w:color w:val="auto"/>
                      <w:spacing w:val="9"/>
                      <w:szCs w:val="21"/>
                      <w:u w:val="single"/>
                    </w:rPr>
                    <w:t>1</w:t>
                  </w:r>
                </w:p>
              </w:tc>
            </w:tr>
            <w:tr w14:paraId="5C4CC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65693BF0">
                  <w:pPr>
                    <w:autoSpaceDE w:val="0"/>
                    <w:autoSpaceDN w:val="0"/>
                    <w:jc w:val="center"/>
                    <w:rPr>
                      <w:color w:val="auto"/>
                      <w:spacing w:val="9"/>
                      <w:szCs w:val="21"/>
                      <w:u w:val="single"/>
                      <w:lang w:val="zh-CN" w:bidi="zh-CN"/>
                    </w:rPr>
                  </w:pPr>
                  <w:r>
                    <w:rPr>
                      <w:color w:val="auto"/>
                      <w:spacing w:val="9"/>
                      <w:szCs w:val="21"/>
                      <w:u w:val="single"/>
                    </w:rPr>
                    <w:t>11</w:t>
                  </w:r>
                </w:p>
              </w:tc>
              <w:tc>
                <w:tcPr>
                  <w:tcW w:w="1912" w:type="dxa"/>
                  <w:gridSpan w:val="2"/>
                  <w:tcBorders>
                    <w:tl2br w:val="nil"/>
                    <w:tr2bl w:val="nil"/>
                  </w:tcBorders>
                  <w:vAlign w:val="center"/>
                </w:tcPr>
                <w:p w14:paraId="112D55C2">
                  <w:pPr>
                    <w:autoSpaceDE w:val="0"/>
                    <w:autoSpaceDN w:val="0"/>
                    <w:jc w:val="center"/>
                    <w:rPr>
                      <w:color w:val="auto"/>
                      <w:spacing w:val="9"/>
                      <w:szCs w:val="21"/>
                      <w:u w:val="single"/>
                      <w:lang w:val="zh-CN"/>
                    </w:rPr>
                  </w:pPr>
                  <w:r>
                    <w:rPr>
                      <w:color w:val="auto"/>
                      <w:spacing w:val="9"/>
                      <w:szCs w:val="21"/>
                      <w:u w:val="single"/>
                    </w:rPr>
                    <w:t>施工期、运营期</w:t>
                  </w:r>
                </w:p>
              </w:tc>
              <w:tc>
                <w:tcPr>
                  <w:tcW w:w="3027" w:type="dxa"/>
                  <w:tcBorders>
                    <w:tl2br w:val="nil"/>
                    <w:tr2bl w:val="nil"/>
                  </w:tcBorders>
                  <w:vAlign w:val="center"/>
                </w:tcPr>
                <w:p w14:paraId="133FB8B7">
                  <w:pPr>
                    <w:autoSpaceDE w:val="0"/>
                    <w:autoSpaceDN w:val="0"/>
                    <w:jc w:val="center"/>
                    <w:rPr>
                      <w:color w:val="auto"/>
                      <w:spacing w:val="9"/>
                      <w:szCs w:val="21"/>
                      <w:u w:val="single"/>
                      <w:lang w:val="zh-CN"/>
                    </w:rPr>
                  </w:pPr>
                  <w:r>
                    <w:rPr>
                      <w:color w:val="auto"/>
                      <w:spacing w:val="9"/>
                      <w:szCs w:val="21"/>
                      <w:u w:val="single"/>
                    </w:rPr>
                    <w:t>环境管理</w:t>
                  </w:r>
                </w:p>
              </w:tc>
              <w:tc>
                <w:tcPr>
                  <w:tcW w:w="1707" w:type="dxa"/>
                  <w:tcBorders>
                    <w:tl2br w:val="nil"/>
                    <w:tr2bl w:val="nil"/>
                  </w:tcBorders>
                  <w:vAlign w:val="center"/>
                </w:tcPr>
                <w:p w14:paraId="0E9DF1AA">
                  <w:pPr>
                    <w:autoSpaceDE w:val="0"/>
                    <w:autoSpaceDN w:val="0"/>
                    <w:jc w:val="center"/>
                    <w:rPr>
                      <w:color w:val="auto"/>
                      <w:spacing w:val="9"/>
                      <w:szCs w:val="21"/>
                      <w:u w:val="single"/>
                      <w:lang w:val="zh-CN"/>
                    </w:rPr>
                  </w:pPr>
                  <w:r>
                    <w:rPr>
                      <w:color w:val="auto"/>
                      <w:spacing w:val="9"/>
                      <w:szCs w:val="21"/>
                      <w:u w:val="single"/>
                    </w:rPr>
                    <w:t>2</w:t>
                  </w:r>
                </w:p>
              </w:tc>
            </w:tr>
            <w:tr w14:paraId="1E314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1" w:type="dxa"/>
                  <w:tcBorders>
                    <w:tl2br w:val="nil"/>
                    <w:tr2bl w:val="nil"/>
                  </w:tcBorders>
                  <w:vAlign w:val="center"/>
                </w:tcPr>
                <w:p w14:paraId="099C5E6D">
                  <w:pPr>
                    <w:autoSpaceDE w:val="0"/>
                    <w:autoSpaceDN w:val="0"/>
                    <w:jc w:val="center"/>
                    <w:rPr>
                      <w:color w:val="auto"/>
                      <w:spacing w:val="9"/>
                      <w:szCs w:val="21"/>
                      <w:u w:val="single"/>
                    </w:rPr>
                  </w:pPr>
                  <w:r>
                    <w:rPr>
                      <w:color w:val="auto"/>
                      <w:spacing w:val="9"/>
                      <w:szCs w:val="21"/>
                      <w:u w:val="single"/>
                    </w:rPr>
                    <w:t>12</w:t>
                  </w:r>
                </w:p>
              </w:tc>
              <w:tc>
                <w:tcPr>
                  <w:tcW w:w="1912" w:type="dxa"/>
                  <w:gridSpan w:val="2"/>
                  <w:tcBorders>
                    <w:tl2br w:val="nil"/>
                    <w:tr2bl w:val="nil"/>
                  </w:tcBorders>
                  <w:vAlign w:val="center"/>
                </w:tcPr>
                <w:p w14:paraId="4EDF2A5A">
                  <w:pPr>
                    <w:autoSpaceDE w:val="0"/>
                    <w:autoSpaceDN w:val="0"/>
                    <w:jc w:val="center"/>
                    <w:rPr>
                      <w:color w:val="auto"/>
                      <w:spacing w:val="9"/>
                      <w:szCs w:val="21"/>
                      <w:u w:val="single"/>
                      <w:lang w:val="zh-CN"/>
                    </w:rPr>
                  </w:pPr>
                  <w:r>
                    <w:rPr>
                      <w:color w:val="auto"/>
                      <w:spacing w:val="9"/>
                      <w:szCs w:val="21"/>
                      <w:u w:val="single"/>
                    </w:rPr>
                    <w:t>总计</w:t>
                  </w:r>
                </w:p>
              </w:tc>
              <w:tc>
                <w:tcPr>
                  <w:tcW w:w="3027" w:type="dxa"/>
                  <w:tcBorders>
                    <w:tl2br w:val="nil"/>
                    <w:tr2bl w:val="nil"/>
                  </w:tcBorders>
                  <w:vAlign w:val="center"/>
                </w:tcPr>
                <w:p w14:paraId="6268A5B8">
                  <w:pPr>
                    <w:autoSpaceDE w:val="0"/>
                    <w:autoSpaceDN w:val="0"/>
                    <w:jc w:val="center"/>
                    <w:rPr>
                      <w:color w:val="auto"/>
                      <w:spacing w:val="9"/>
                      <w:szCs w:val="21"/>
                      <w:u w:val="single"/>
                    </w:rPr>
                  </w:pPr>
                  <w:r>
                    <w:rPr>
                      <w:color w:val="auto"/>
                      <w:spacing w:val="9"/>
                      <w:szCs w:val="21"/>
                      <w:u w:val="single"/>
                    </w:rPr>
                    <w:t>/</w:t>
                  </w:r>
                </w:p>
              </w:tc>
              <w:tc>
                <w:tcPr>
                  <w:tcW w:w="1707" w:type="dxa"/>
                  <w:tcBorders>
                    <w:tl2br w:val="nil"/>
                    <w:tr2bl w:val="nil"/>
                  </w:tcBorders>
                  <w:vAlign w:val="center"/>
                </w:tcPr>
                <w:p w14:paraId="63AA7AAE">
                  <w:pPr>
                    <w:autoSpaceDE w:val="0"/>
                    <w:autoSpaceDN w:val="0"/>
                    <w:jc w:val="center"/>
                    <w:rPr>
                      <w:color w:val="auto"/>
                      <w:spacing w:val="9"/>
                      <w:szCs w:val="21"/>
                      <w:u w:val="single"/>
                    </w:rPr>
                  </w:pPr>
                  <w:r>
                    <w:rPr>
                      <w:color w:val="auto"/>
                      <w:spacing w:val="9"/>
                      <w:szCs w:val="21"/>
                      <w:u w:val="single"/>
                    </w:rPr>
                    <w:t>32</w:t>
                  </w:r>
                </w:p>
              </w:tc>
            </w:tr>
          </w:tbl>
          <w:p w14:paraId="62C561F6">
            <w:pPr>
              <w:tabs>
                <w:tab w:val="left" w:pos="682"/>
              </w:tabs>
              <w:jc w:val="left"/>
              <w:rPr>
                <w:color w:val="auto"/>
              </w:rPr>
            </w:pPr>
          </w:p>
        </w:tc>
      </w:tr>
    </w:tbl>
    <w:p w14:paraId="04A1C760">
      <w:pPr>
        <w:rPr>
          <w:color w:val="auto"/>
        </w:rPr>
        <w:sectPr>
          <w:headerReference r:id="rId14" w:type="default"/>
          <w:footerReference r:id="rId15" w:type="default"/>
          <w:pgSz w:w="11907" w:h="16840"/>
          <w:pgMar w:top="1440" w:right="1797" w:bottom="1440" w:left="1797" w:header="851" w:footer="1077" w:gutter="0"/>
          <w:cols w:space="720" w:num="1"/>
          <w:docGrid w:linePitch="312" w:charSpace="0"/>
        </w:sectPr>
      </w:pPr>
    </w:p>
    <w:p w14:paraId="4D6A58CF">
      <w:pPr>
        <w:widowControl/>
        <w:tabs>
          <w:tab w:val="left" w:pos="1214"/>
          <w:tab w:val="center" w:pos="5446"/>
        </w:tabs>
        <w:spacing w:before="100" w:beforeAutospacing="1" w:after="100" w:afterAutospacing="1"/>
        <w:jc w:val="center"/>
        <w:outlineLvl w:val="0"/>
        <w:rPr>
          <w:rFonts w:hint="eastAsia" w:ascii="黑体" w:hAnsi="黑体" w:eastAsia="黑体"/>
          <w:snapToGrid w:val="0"/>
          <w:color w:val="auto"/>
          <w:kern w:val="0"/>
          <w:sz w:val="30"/>
          <w:szCs w:val="30"/>
          <w:u w:val="single"/>
        </w:rPr>
      </w:pPr>
      <w:bookmarkStart w:id="50" w:name="_Toc16569"/>
      <w:bookmarkStart w:id="51" w:name="_Toc5283"/>
      <w:bookmarkStart w:id="52" w:name="_Toc4334"/>
      <w:r>
        <w:rPr>
          <w:rFonts w:hint="eastAsia" w:ascii="黑体" w:hAnsi="黑体" w:eastAsia="黑体"/>
          <w:snapToGrid w:val="0"/>
          <w:color w:val="auto"/>
          <w:kern w:val="0"/>
          <w:sz w:val="30"/>
          <w:szCs w:val="30"/>
          <w:u w:val="single"/>
        </w:rPr>
        <w:t>六、生态环境保护措施监督检查清单</w:t>
      </w:r>
      <w:bookmarkEnd w:id="50"/>
      <w:bookmarkEnd w:id="51"/>
      <w:bookmarkEnd w:id="52"/>
    </w:p>
    <w:tbl>
      <w:tblPr>
        <w:tblStyle w:val="27"/>
        <w:tblW w:w="55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918"/>
        <w:gridCol w:w="1562"/>
        <w:gridCol w:w="2250"/>
        <w:gridCol w:w="2284"/>
      </w:tblGrid>
      <w:tr w14:paraId="0363C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Merge w:val="restart"/>
            <w:tcBorders>
              <w:tl2br w:val="single" w:color="auto" w:sz="4" w:space="0"/>
            </w:tcBorders>
            <w:vAlign w:val="center"/>
          </w:tcPr>
          <w:p w14:paraId="03DDDA1D">
            <w:pPr>
              <w:widowControl/>
              <w:adjustRightInd w:val="0"/>
              <w:snapToGrid w:val="0"/>
              <w:spacing w:before="72" w:beforeLines="30"/>
              <w:jc w:val="center"/>
              <w:outlineLvl w:val="0"/>
              <w:rPr>
                <w:color w:val="auto"/>
                <w:szCs w:val="21"/>
                <w:u w:val="single"/>
              </w:rPr>
            </w:pPr>
            <w:bookmarkStart w:id="53" w:name="_Toc24519"/>
            <w:bookmarkStart w:id="54" w:name="_Toc12309"/>
            <w:bookmarkStart w:id="55" w:name="_Toc10950"/>
            <w:bookmarkStart w:id="56" w:name="_Toc18998"/>
            <w:r>
              <w:rPr>
                <w:color w:val="auto"/>
                <w:szCs w:val="21"/>
                <w:u w:val="single"/>
              </w:rPr>
              <w:t>内容</w:t>
            </w:r>
            <w:bookmarkEnd w:id="53"/>
            <w:bookmarkEnd w:id="54"/>
            <w:bookmarkEnd w:id="55"/>
            <w:bookmarkEnd w:id="56"/>
          </w:p>
          <w:p w14:paraId="71054700">
            <w:pPr>
              <w:widowControl/>
              <w:adjustRightInd w:val="0"/>
              <w:snapToGrid w:val="0"/>
              <w:spacing w:line="14" w:lineRule="auto"/>
              <w:jc w:val="center"/>
              <w:outlineLvl w:val="0"/>
              <w:rPr>
                <w:color w:val="auto"/>
                <w:szCs w:val="21"/>
                <w:u w:val="single"/>
              </w:rPr>
            </w:pPr>
          </w:p>
          <w:p w14:paraId="7281BB3D">
            <w:pPr>
              <w:widowControl/>
              <w:adjustRightInd w:val="0"/>
              <w:snapToGrid w:val="0"/>
              <w:jc w:val="center"/>
              <w:outlineLvl w:val="0"/>
              <w:rPr>
                <w:color w:val="auto"/>
                <w:szCs w:val="21"/>
                <w:u w:val="single"/>
              </w:rPr>
            </w:pPr>
            <w:bookmarkStart w:id="57" w:name="_Toc20287"/>
            <w:bookmarkStart w:id="58" w:name="_Toc20766"/>
            <w:bookmarkStart w:id="59" w:name="_Toc32082"/>
            <w:bookmarkStart w:id="60" w:name="_Toc26152"/>
            <w:r>
              <w:rPr>
                <w:color w:val="auto"/>
                <w:szCs w:val="21"/>
                <w:u w:val="single"/>
              </w:rPr>
              <w:t>要素</w:t>
            </w:r>
            <w:bookmarkEnd w:id="57"/>
            <w:bookmarkEnd w:id="58"/>
            <w:bookmarkEnd w:id="59"/>
            <w:bookmarkEnd w:id="60"/>
          </w:p>
        </w:tc>
        <w:tc>
          <w:tcPr>
            <w:tcW w:w="1830" w:type="pct"/>
            <w:gridSpan w:val="2"/>
            <w:vAlign w:val="center"/>
          </w:tcPr>
          <w:p w14:paraId="75F91741">
            <w:pPr>
              <w:widowControl/>
              <w:adjustRightInd w:val="0"/>
              <w:snapToGrid w:val="0"/>
              <w:jc w:val="center"/>
              <w:outlineLvl w:val="0"/>
              <w:rPr>
                <w:color w:val="auto"/>
                <w:szCs w:val="21"/>
                <w:u w:val="single"/>
              </w:rPr>
            </w:pPr>
            <w:bookmarkStart w:id="61" w:name="_Toc8595"/>
            <w:bookmarkStart w:id="62" w:name="_Toc1997"/>
            <w:bookmarkStart w:id="63" w:name="_Toc26764"/>
            <w:bookmarkStart w:id="64" w:name="_Toc13767"/>
            <w:r>
              <w:rPr>
                <w:color w:val="auto"/>
                <w:szCs w:val="21"/>
                <w:u w:val="single"/>
              </w:rPr>
              <w:t>施工期</w:t>
            </w:r>
            <w:bookmarkEnd w:id="61"/>
            <w:bookmarkEnd w:id="62"/>
            <w:bookmarkEnd w:id="63"/>
            <w:bookmarkEnd w:id="64"/>
          </w:p>
        </w:tc>
        <w:tc>
          <w:tcPr>
            <w:tcW w:w="2384" w:type="pct"/>
            <w:gridSpan w:val="2"/>
            <w:vAlign w:val="center"/>
          </w:tcPr>
          <w:p w14:paraId="6FFE21CE">
            <w:pPr>
              <w:widowControl/>
              <w:adjustRightInd w:val="0"/>
              <w:snapToGrid w:val="0"/>
              <w:jc w:val="center"/>
              <w:outlineLvl w:val="0"/>
              <w:rPr>
                <w:color w:val="auto"/>
                <w:szCs w:val="21"/>
                <w:u w:val="single"/>
              </w:rPr>
            </w:pPr>
            <w:bookmarkStart w:id="65" w:name="_Toc11458"/>
            <w:bookmarkStart w:id="66" w:name="_Toc12585"/>
            <w:bookmarkStart w:id="67" w:name="_Toc19318"/>
            <w:bookmarkStart w:id="68" w:name="_Toc32757"/>
            <w:r>
              <w:rPr>
                <w:color w:val="auto"/>
                <w:szCs w:val="21"/>
                <w:u w:val="single"/>
              </w:rPr>
              <w:t>运营期</w:t>
            </w:r>
            <w:bookmarkEnd w:id="65"/>
            <w:bookmarkEnd w:id="66"/>
            <w:bookmarkEnd w:id="67"/>
            <w:bookmarkEnd w:id="68"/>
          </w:p>
        </w:tc>
      </w:tr>
      <w:tr w14:paraId="47C4C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Merge w:val="continue"/>
            <w:vAlign w:val="center"/>
          </w:tcPr>
          <w:p w14:paraId="269BD8CC">
            <w:pPr>
              <w:widowControl/>
              <w:adjustRightInd w:val="0"/>
              <w:snapToGrid w:val="0"/>
              <w:ind w:firstLine="840"/>
              <w:jc w:val="center"/>
              <w:outlineLvl w:val="0"/>
              <w:rPr>
                <w:color w:val="auto"/>
                <w:szCs w:val="21"/>
                <w:u w:val="single"/>
              </w:rPr>
            </w:pPr>
          </w:p>
        </w:tc>
        <w:tc>
          <w:tcPr>
            <w:tcW w:w="1008" w:type="pct"/>
            <w:vAlign w:val="center"/>
          </w:tcPr>
          <w:p w14:paraId="43D8E1C7">
            <w:pPr>
              <w:widowControl/>
              <w:adjustRightInd w:val="0"/>
              <w:snapToGrid w:val="0"/>
              <w:jc w:val="center"/>
              <w:outlineLvl w:val="0"/>
              <w:rPr>
                <w:color w:val="auto"/>
                <w:szCs w:val="21"/>
                <w:u w:val="single"/>
              </w:rPr>
            </w:pPr>
            <w:bookmarkStart w:id="69" w:name="_Toc29089"/>
            <w:bookmarkStart w:id="70" w:name="_Toc7355"/>
            <w:bookmarkStart w:id="71" w:name="_Toc20815"/>
            <w:bookmarkStart w:id="72" w:name="_Toc19941"/>
            <w:r>
              <w:rPr>
                <w:color w:val="auto"/>
                <w:szCs w:val="21"/>
                <w:u w:val="single"/>
              </w:rPr>
              <w:t>环境保护措施</w:t>
            </w:r>
            <w:bookmarkEnd w:id="69"/>
            <w:bookmarkEnd w:id="70"/>
            <w:bookmarkEnd w:id="71"/>
            <w:bookmarkEnd w:id="72"/>
          </w:p>
        </w:tc>
        <w:tc>
          <w:tcPr>
            <w:tcW w:w="821" w:type="pct"/>
            <w:vAlign w:val="center"/>
          </w:tcPr>
          <w:p w14:paraId="725A56B2">
            <w:pPr>
              <w:widowControl/>
              <w:adjustRightInd w:val="0"/>
              <w:snapToGrid w:val="0"/>
              <w:jc w:val="center"/>
              <w:outlineLvl w:val="0"/>
              <w:rPr>
                <w:color w:val="auto"/>
                <w:szCs w:val="21"/>
                <w:u w:val="single"/>
              </w:rPr>
            </w:pPr>
            <w:bookmarkStart w:id="73" w:name="_Toc18320"/>
            <w:bookmarkStart w:id="74" w:name="_Toc26512"/>
            <w:bookmarkStart w:id="75" w:name="_Toc19538"/>
            <w:bookmarkStart w:id="76" w:name="_Toc6089"/>
            <w:r>
              <w:rPr>
                <w:color w:val="auto"/>
                <w:szCs w:val="21"/>
                <w:u w:val="single"/>
              </w:rPr>
              <w:t>验收要求</w:t>
            </w:r>
            <w:bookmarkEnd w:id="73"/>
            <w:bookmarkEnd w:id="74"/>
            <w:bookmarkEnd w:id="75"/>
            <w:bookmarkEnd w:id="76"/>
          </w:p>
        </w:tc>
        <w:tc>
          <w:tcPr>
            <w:tcW w:w="1183" w:type="pct"/>
            <w:vAlign w:val="center"/>
          </w:tcPr>
          <w:p w14:paraId="0EBCEED7">
            <w:pPr>
              <w:widowControl/>
              <w:adjustRightInd w:val="0"/>
              <w:snapToGrid w:val="0"/>
              <w:jc w:val="center"/>
              <w:outlineLvl w:val="0"/>
              <w:rPr>
                <w:color w:val="auto"/>
                <w:szCs w:val="21"/>
                <w:u w:val="single"/>
              </w:rPr>
            </w:pPr>
            <w:bookmarkStart w:id="77" w:name="_Toc3102"/>
            <w:bookmarkStart w:id="78" w:name="_Toc22148"/>
            <w:bookmarkStart w:id="79" w:name="_Toc1296"/>
            <w:bookmarkStart w:id="80" w:name="_Toc23087"/>
            <w:r>
              <w:rPr>
                <w:color w:val="auto"/>
                <w:szCs w:val="21"/>
                <w:u w:val="single"/>
              </w:rPr>
              <w:t>环境保护措施</w:t>
            </w:r>
            <w:bookmarkEnd w:id="77"/>
            <w:bookmarkEnd w:id="78"/>
            <w:bookmarkEnd w:id="79"/>
            <w:bookmarkEnd w:id="80"/>
          </w:p>
        </w:tc>
        <w:tc>
          <w:tcPr>
            <w:tcW w:w="1201" w:type="pct"/>
            <w:vAlign w:val="center"/>
          </w:tcPr>
          <w:p w14:paraId="01237178">
            <w:pPr>
              <w:widowControl/>
              <w:adjustRightInd w:val="0"/>
              <w:snapToGrid w:val="0"/>
              <w:jc w:val="center"/>
              <w:outlineLvl w:val="0"/>
              <w:rPr>
                <w:color w:val="auto"/>
                <w:szCs w:val="21"/>
                <w:u w:val="single"/>
              </w:rPr>
            </w:pPr>
            <w:bookmarkStart w:id="81" w:name="_Toc17604"/>
            <w:bookmarkStart w:id="82" w:name="_Toc15413"/>
            <w:bookmarkStart w:id="83" w:name="_Toc16699"/>
            <w:bookmarkStart w:id="84" w:name="_Toc12432"/>
            <w:r>
              <w:rPr>
                <w:color w:val="auto"/>
                <w:szCs w:val="21"/>
                <w:u w:val="single"/>
              </w:rPr>
              <w:t>验收要求</w:t>
            </w:r>
            <w:bookmarkEnd w:id="81"/>
            <w:bookmarkEnd w:id="82"/>
            <w:bookmarkEnd w:id="83"/>
            <w:bookmarkEnd w:id="84"/>
          </w:p>
        </w:tc>
      </w:tr>
      <w:tr w14:paraId="23901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6321DCAF">
            <w:pPr>
              <w:adjustRightInd w:val="0"/>
              <w:snapToGrid w:val="0"/>
              <w:jc w:val="center"/>
              <w:rPr>
                <w:color w:val="auto"/>
                <w:szCs w:val="21"/>
                <w:u w:val="single"/>
              </w:rPr>
            </w:pPr>
            <w:r>
              <w:rPr>
                <w:color w:val="auto"/>
                <w:szCs w:val="21"/>
                <w:u w:val="single"/>
              </w:rPr>
              <w:t>陆生生态</w:t>
            </w:r>
          </w:p>
        </w:tc>
        <w:tc>
          <w:tcPr>
            <w:tcW w:w="1008" w:type="pct"/>
            <w:vAlign w:val="center"/>
          </w:tcPr>
          <w:p w14:paraId="251C01F6">
            <w:pPr>
              <w:adjustRightInd w:val="0"/>
              <w:snapToGrid w:val="0"/>
              <w:jc w:val="center"/>
              <w:rPr>
                <w:color w:val="auto"/>
                <w:szCs w:val="21"/>
                <w:u w:val="single"/>
              </w:rPr>
            </w:pPr>
            <w:r>
              <w:rPr>
                <w:color w:val="auto"/>
                <w:szCs w:val="21"/>
                <w:u w:val="single"/>
              </w:rPr>
              <w:t>时对临时占地和永久占地中可绿化区域进行植被恢复</w:t>
            </w:r>
            <w:r>
              <w:rPr>
                <w:rFonts w:hint="eastAsia"/>
                <w:color w:val="auto"/>
                <w:szCs w:val="21"/>
                <w:u w:val="single"/>
              </w:rPr>
              <w:t>、选用低噪声设备施工等</w:t>
            </w:r>
          </w:p>
        </w:tc>
        <w:tc>
          <w:tcPr>
            <w:tcW w:w="821" w:type="pct"/>
            <w:vAlign w:val="center"/>
          </w:tcPr>
          <w:p w14:paraId="3E8412C8">
            <w:pPr>
              <w:adjustRightInd w:val="0"/>
              <w:snapToGrid w:val="0"/>
              <w:jc w:val="center"/>
              <w:rPr>
                <w:color w:val="auto"/>
                <w:szCs w:val="21"/>
                <w:u w:val="single"/>
              </w:rPr>
            </w:pPr>
            <w:r>
              <w:rPr>
                <w:color w:val="auto"/>
                <w:szCs w:val="21"/>
                <w:u w:val="single"/>
              </w:rPr>
              <w:t>/</w:t>
            </w:r>
          </w:p>
        </w:tc>
        <w:tc>
          <w:tcPr>
            <w:tcW w:w="1183" w:type="pct"/>
            <w:vAlign w:val="center"/>
          </w:tcPr>
          <w:p w14:paraId="6BD16961">
            <w:pPr>
              <w:adjustRightInd w:val="0"/>
              <w:snapToGrid w:val="0"/>
              <w:jc w:val="center"/>
              <w:rPr>
                <w:color w:val="auto"/>
                <w:szCs w:val="21"/>
                <w:u w:val="single"/>
              </w:rPr>
            </w:pPr>
            <w:r>
              <w:rPr>
                <w:rFonts w:hint="eastAsia"/>
                <w:color w:val="auto"/>
                <w:szCs w:val="21"/>
                <w:u w:val="single"/>
              </w:rPr>
              <w:t>定期对池塘护坡植被进行巡查与养护、</w:t>
            </w:r>
            <w:r>
              <w:rPr>
                <w:color w:val="auto"/>
                <w:szCs w:val="21"/>
                <w:u w:val="single"/>
              </w:rPr>
              <w:t>严禁捕杀野生动物</w:t>
            </w:r>
          </w:p>
        </w:tc>
        <w:tc>
          <w:tcPr>
            <w:tcW w:w="1201" w:type="pct"/>
            <w:vAlign w:val="center"/>
          </w:tcPr>
          <w:p w14:paraId="5BC4AF90">
            <w:pPr>
              <w:adjustRightInd w:val="0"/>
              <w:snapToGrid w:val="0"/>
              <w:jc w:val="center"/>
              <w:rPr>
                <w:color w:val="auto"/>
                <w:szCs w:val="21"/>
                <w:u w:val="single"/>
              </w:rPr>
            </w:pPr>
            <w:r>
              <w:rPr>
                <w:color w:val="auto"/>
                <w:szCs w:val="21"/>
                <w:u w:val="single"/>
              </w:rPr>
              <w:t>/</w:t>
            </w:r>
          </w:p>
        </w:tc>
      </w:tr>
      <w:tr w14:paraId="407BF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697FE4B2">
            <w:pPr>
              <w:adjustRightInd w:val="0"/>
              <w:snapToGrid w:val="0"/>
              <w:jc w:val="center"/>
              <w:rPr>
                <w:color w:val="auto"/>
                <w:szCs w:val="21"/>
                <w:u w:val="single"/>
              </w:rPr>
            </w:pPr>
            <w:r>
              <w:rPr>
                <w:color w:val="auto"/>
                <w:szCs w:val="21"/>
                <w:u w:val="single"/>
              </w:rPr>
              <w:t>水生生态</w:t>
            </w:r>
          </w:p>
        </w:tc>
        <w:tc>
          <w:tcPr>
            <w:tcW w:w="1008" w:type="pct"/>
            <w:vAlign w:val="center"/>
          </w:tcPr>
          <w:p w14:paraId="6A7572A1">
            <w:pPr>
              <w:adjustRightInd w:val="0"/>
              <w:snapToGrid w:val="0"/>
              <w:jc w:val="center"/>
              <w:rPr>
                <w:color w:val="auto"/>
                <w:szCs w:val="21"/>
                <w:u w:val="single"/>
              </w:rPr>
            </w:pPr>
            <w:r>
              <w:rPr>
                <w:color w:val="auto"/>
                <w:szCs w:val="21"/>
                <w:u w:val="single"/>
              </w:rPr>
              <w:t>避免在水生植物生长旺盛期和繁殖期进行施工，严格控制施工废水排放</w:t>
            </w:r>
          </w:p>
        </w:tc>
        <w:tc>
          <w:tcPr>
            <w:tcW w:w="821" w:type="pct"/>
            <w:vAlign w:val="center"/>
          </w:tcPr>
          <w:p w14:paraId="36BB6EE5">
            <w:pPr>
              <w:adjustRightInd w:val="0"/>
              <w:snapToGrid w:val="0"/>
              <w:jc w:val="center"/>
              <w:rPr>
                <w:color w:val="auto"/>
                <w:szCs w:val="21"/>
                <w:u w:val="single"/>
              </w:rPr>
            </w:pPr>
            <w:r>
              <w:rPr>
                <w:color w:val="auto"/>
                <w:szCs w:val="21"/>
                <w:u w:val="single"/>
              </w:rPr>
              <w:t>/</w:t>
            </w:r>
          </w:p>
        </w:tc>
        <w:tc>
          <w:tcPr>
            <w:tcW w:w="1183" w:type="pct"/>
            <w:vAlign w:val="center"/>
          </w:tcPr>
          <w:p w14:paraId="4F9A09F4">
            <w:pPr>
              <w:adjustRightInd w:val="0"/>
              <w:snapToGrid w:val="0"/>
              <w:jc w:val="center"/>
              <w:rPr>
                <w:color w:val="auto"/>
                <w:szCs w:val="21"/>
                <w:u w:val="single"/>
              </w:rPr>
            </w:pPr>
            <w:r>
              <w:rPr>
                <w:color w:val="auto"/>
                <w:szCs w:val="21"/>
                <w:u w:val="single"/>
              </w:rPr>
              <w:t>定期检查并维护原有水系通道</w:t>
            </w:r>
            <w:r>
              <w:rPr>
                <w:rFonts w:hint="eastAsia"/>
                <w:color w:val="auto"/>
                <w:szCs w:val="21"/>
                <w:u w:val="single"/>
              </w:rPr>
              <w:t>、加强养殖水体水质监测与净化处理</w:t>
            </w:r>
          </w:p>
        </w:tc>
        <w:tc>
          <w:tcPr>
            <w:tcW w:w="1201" w:type="pct"/>
            <w:vAlign w:val="center"/>
          </w:tcPr>
          <w:p w14:paraId="637CA969">
            <w:pPr>
              <w:adjustRightInd w:val="0"/>
              <w:snapToGrid w:val="0"/>
              <w:jc w:val="center"/>
              <w:rPr>
                <w:color w:val="auto"/>
                <w:szCs w:val="21"/>
                <w:u w:val="single"/>
              </w:rPr>
            </w:pPr>
            <w:r>
              <w:rPr>
                <w:color w:val="auto"/>
                <w:szCs w:val="21"/>
                <w:u w:val="single"/>
              </w:rPr>
              <w:t>/</w:t>
            </w:r>
          </w:p>
        </w:tc>
      </w:tr>
      <w:tr w14:paraId="31282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6FC5A24D">
            <w:pPr>
              <w:adjustRightInd w:val="0"/>
              <w:snapToGrid w:val="0"/>
              <w:jc w:val="center"/>
              <w:rPr>
                <w:color w:val="auto"/>
                <w:szCs w:val="21"/>
                <w:u w:val="single"/>
              </w:rPr>
            </w:pPr>
            <w:r>
              <w:rPr>
                <w:color w:val="auto"/>
                <w:szCs w:val="21"/>
                <w:u w:val="single"/>
              </w:rPr>
              <w:t>地表水环境</w:t>
            </w:r>
          </w:p>
        </w:tc>
        <w:tc>
          <w:tcPr>
            <w:tcW w:w="1008" w:type="pct"/>
            <w:vAlign w:val="center"/>
          </w:tcPr>
          <w:p w14:paraId="310B97D3">
            <w:pPr>
              <w:adjustRightInd w:val="0"/>
              <w:snapToGrid w:val="0"/>
              <w:jc w:val="center"/>
              <w:rPr>
                <w:color w:val="auto"/>
                <w:szCs w:val="21"/>
                <w:u w:val="single"/>
              </w:rPr>
            </w:pPr>
            <w:r>
              <w:rPr>
                <w:rFonts w:hint="eastAsia"/>
                <w:color w:val="auto"/>
                <w:szCs w:val="21"/>
                <w:u w:val="single"/>
                <w:lang w:val="en-US" w:eastAsia="zh-CN"/>
              </w:rPr>
              <w:t>清淤淤泥堆存溢流的泥浆水，</w:t>
            </w:r>
            <w:r>
              <w:rPr>
                <w:color w:val="auto"/>
                <w:szCs w:val="21"/>
                <w:u w:val="single"/>
              </w:rPr>
              <w:t>通过沉淀池</w:t>
            </w:r>
            <w:r>
              <w:rPr>
                <w:rFonts w:hint="eastAsia"/>
                <w:color w:val="auto"/>
                <w:szCs w:val="21"/>
                <w:u w:val="single"/>
                <w:lang w:val="en-US" w:eastAsia="zh-CN"/>
              </w:rPr>
              <w:t>沉淀</w:t>
            </w:r>
            <w:r>
              <w:rPr>
                <w:color w:val="auto"/>
                <w:szCs w:val="21"/>
                <w:u w:val="single"/>
              </w:rPr>
              <w:t>处理后</w:t>
            </w:r>
            <w:r>
              <w:rPr>
                <w:rFonts w:hint="eastAsia"/>
                <w:color w:val="auto"/>
                <w:szCs w:val="21"/>
                <w:u w:val="single"/>
              </w:rPr>
              <w:t>回排至池塘内</w:t>
            </w:r>
          </w:p>
        </w:tc>
        <w:tc>
          <w:tcPr>
            <w:tcW w:w="821" w:type="pct"/>
            <w:vAlign w:val="center"/>
          </w:tcPr>
          <w:p w14:paraId="1FB5EA4E">
            <w:pPr>
              <w:adjustRightInd w:val="0"/>
              <w:snapToGrid w:val="0"/>
              <w:jc w:val="center"/>
              <w:rPr>
                <w:color w:val="auto"/>
                <w:szCs w:val="21"/>
                <w:u w:val="single"/>
              </w:rPr>
            </w:pPr>
            <w:r>
              <w:rPr>
                <w:color w:val="auto"/>
                <w:szCs w:val="21"/>
                <w:u w:val="single"/>
              </w:rPr>
              <w:t>废水不外排</w:t>
            </w:r>
          </w:p>
        </w:tc>
        <w:tc>
          <w:tcPr>
            <w:tcW w:w="1183" w:type="pct"/>
            <w:vAlign w:val="center"/>
          </w:tcPr>
          <w:p w14:paraId="18E7E9CF">
            <w:pPr>
              <w:adjustRightInd w:val="0"/>
              <w:snapToGrid w:val="0"/>
              <w:jc w:val="center"/>
              <w:rPr>
                <w:color w:val="0000FF"/>
                <w:szCs w:val="21"/>
                <w:u w:val="single"/>
              </w:rPr>
            </w:pPr>
            <w:r>
              <w:rPr>
                <w:rFonts w:hint="default"/>
                <w:color w:val="0000FF"/>
                <w:szCs w:val="21"/>
                <w:u w:val="single"/>
              </w:rPr>
              <w:t>马口鱼养殖黑水经尾水塔+人工湿地处理满足《渔业水质标准》（GB11607-89)限值要求后回用。后续抽出的其他养殖尾水（包括观赏鱼养殖桶全部养殖水）直接进入人工湿地处理满足《渔业水质标准》（GB11607-89)限值要求后回用到养殖水域。</w:t>
            </w:r>
          </w:p>
        </w:tc>
        <w:tc>
          <w:tcPr>
            <w:tcW w:w="1201" w:type="pct"/>
            <w:vAlign w:val="center"/>
          </w:tcPr>
          <w:p w14:paraId="5D30B8A3">
            <w:pPr>
              <w:adjustRightInd w:val="0"/>
              <w:snapToGrid w:val="0"/>
              <w:jc w:val="center"/>
              <w:rPr>
                <w:rFonts w:hint="eastAsia" w:eastAsia="宋体"/>
                <w:color w:val="0000FF"/>
                <w:szCs w:val="21"/>
                <w:u w:val="single"/>
                <w:lang w:eastAsia="zh-CN"/>
              </w:rPr>
            </w:pPr>
            <w:r>
              <w:rPr>
                <w:rFonts w:hint="default"/>
                <w:color w:val="0000FF"/>
                <w:szCs w:val="21"/>
                <w:u w:val="single"/>
                <w:lang w:val="en-US" w:eastAsia="zh-CN"/>
              </w:rPr>
              <w:t>满足</w:t>
            </w:r>
            <w:r>
              <w:rPr>
                <w:color w:val="0000FF"/>
                <w:szCs w:val="21"/>
                <w:u w:val="single"/>
              </w:rPr>
              <w:t>《渔业用水标准》（GB11607-89）限值要求</w:t>
            </w:r>
            <w:r>
              <w:rPr>
                <w:rFonts w:hint="eastAsia"/>
                <w:color w:val="0000FF"/>
                <w:szCs w:val="21"/>
                <w:u w:val="single"/>
                <w:lang w:eastAsia="zh-CN"/>
              </w:rPr>
              <w:t>（</w:t>
            </w:r>
            <w:r>
              <w:rPr>
                <w:rFonts w:hint="eastAsia"/>
                <w:color w:val="0000FF"/>
                <w:szCs w:val="21"/>
                <w:u w:val="single"/>
                <w:lang w:val="en-US" w:eastAsia="zh-CN"/>
              </w:rPr>
              <w:t>BOD：5.0</w:t>
            </w:r>
            <w:r>
              <w:rPr>
                <w:rFonts w:hint="eastAsia" w:ascii="Times New Roman" w:hAnsi="Times New Roman" w:cs="Times New Roman"/>
                <w:color w:val="0000FF"/>
                <w:sz w:val="21"/>
                <w:szCs w:val="21"/>
                <w:u w:val="single"/>
                <w:lang w:bidi="zh-CN"/>
              </w:rPr>
              <w:t>mg/L</w:t>
            </w:r>
            <w:r>
              <w:rPr>
                <w:rFonts w:hint="eastAsia" w:cs="Times New Roman"/>
                <w:color w:val="0000FF"/>
                <w:sz w:val="21"/>
                <w:szCs w:val="21"/>
                <w:u w:val="single"/>
                <w:lang w:bidi="zh-CN"/>
              </w:rPr>
              <w:t>，</w:t>
            </w:r>
            <w:r>
              <w:rPr>
                <w:rFonts w:hint="eastAsia"/>
                <w:color w:val="0000FF"/>
                <w:szCs w:val="21"/>
                <w:u w:val="single"/>
                <w:lang w:val="en-US" w:eastAsia="zh-CN"/>
              </w:rPr>
              <w:t>总大肠菌群</w:t>
            </w:r>
            <w:r>
              <w:rPr>
                <w:rFonts w:hint="eastAsia" w:ascii="Times New Roman" w:eastAsia="宋体"/>
                <w:color w:val="0000FF"/>
                <w:szCs w:val="21"/>
                <w:u w:val="single"/>
                <w:lang w:val="en-US" w:eastAsia="zh-CN"/>
              </w:rPr>
              <w:t>：</w:t>
            </w:r>
            <w:r>
              <w:rPr>
                <w:rFonts w:hint="eastAsia"/>
                <w:color w:val="0000FF"/>
                <w:kern w:val="0"/>
                <w:szCs w:val="21"/>
                <w:u w:val="single"/>
                <w:lang w:bidi="ar"/>
              </w:rPr>
              <w:t>5000个/L</w:t>
            </w:r>
            <w:r>
              <w:rPr>
                <w:rFonts w:hint="eastAsia"/>
                <w:color w:val="0000FF"/>
                <w:szCs w:val="21"/>
                <w:u w:val="single"/>
                <w:lang w:eastAsia="zh-CN"/>
              </w:rPr>
              <w:t>）</w:t>
            </w:r>
          </w:p>
        </w:tc>
      </w:tr>
      <w:tr w14:paraId="67DED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6B840A86">
            <w:pPr>
              <w:adjustRightInd w:val="0"/>
              <w:snapToGrid w:val="0"/>
              <w:jc w:val="center"/>
              <w:rPr>
                <w:color w:val="auto"/>
                <w:szCs w:val="21"/>
                <w:u w:val="single"/>
              </w:rPr>
            </w:pPr>
            <w:r>
              <w:rPr>
                <w:color w:val="auto"/>
                <w:szCs w:val="21"/>
                <w:u w:val="single"/>
              </w:rPr>
              <w:t>地下水及土壤环境</w:t>
            </w:r>
          </w:p>
        </w:tc>
        <w:tc>
          <w:tcPr>
            <w:tcW w:w="1008" w:type="pct"/>
            <w:vAlign w:val="center"/>
          </w:tcPr>
          <w:p w14:paraId="43949C22">
            <w:pPr>
              <w:autoSpaceDE w:val="0"/>
              <w:autoSpaceDN w:val="0"/>
              <w:spacing w:line="360" w:lineRule="exact"/>
              <w:jc w:val="center"/>
              <w:rPr>
                <w:color w:val="auto"/>
                <w:szCs w:val="21"/>
                <w:u w:val="single"/>
              </w:rPr>
            </w:pPr>
            <w:r>
              <w:rPr>
                <w:color w:val="auto"/>
                <w:spacing w:val="2"/>
                <w:position w:val="1"/>
                <w:szCs w:val="21"/>
                <w:u w:val="single"/>
              </w:rPr>
              <w:t>/</w:t>
            </w:r>
          </w:p>
        </w:tc>
        <w:tc>
          <w:tcPr>
            <w:tcW w:w="821" w:type="pct"/>
            <w:vAlign w:val="center"/>
          </w:tcPr>
          <w:p w14:paraId="37369C18">
            <w:pPr>
              <w:autoSpaceDE w:val="0"/>
              <w:autoSpaceDN w:val="0"/>
              <w:spacing w:line="360" w:lineRule="exact"/>
              <w:jc w:val="center"/>
              <w:rPr>
                <w:color w:val="auto"/>
                <w:szCs w:val="21"/>
                <w:u w:val="single"/>
              </w:rPr>
            </w:pPr>
            <w:r>
              <w:rPr>
                <w:color w:val="auto"/>
                <w:spacing w:val="2"/>
                <w:position w:val="1"/>
                <w:szCs w:val="21"/>
                <w:u w:val="single"/>
              </w:rPr>
              <w:t>/</w:t>
            </w:r>
          </w:p>
        </w:tc>
        <w:tc>
          <w:tcPr>
            <w:tcW w:w="1183" w:type="pct"/>
            <w:vAlign w:val="center"/>
          </w:tcPr>
          <w:p w14:paraId="450F1318">
            <w:pPr>
              <w:autoSpaceDE w:val="0"/>
              <w:autoSpaceDN w:val="0"/>
              <w:spacing w:line="360" w:lineRule="exact"/>
              <w:jc w:val="center"/>
              <w:rPr>
                <w:color w:val="auto"/>
                <w:szCs w:val="21"/>
                <w:u w:val="single"/>
              </w:rPr>
            </w:pPr>
            <w:r>
              <w:rPr>
                <w:color w:val="auto"/>
                <w:spacing w:val="2"/>
                <w:position w:val="1"/>
                <w:szCs w:val="21"/>
                <w:u w:val="single"/>
              </w:rPr>
              <w:t>/</w:t>
            </w:r>
          </w:p>
        </w:tc>
        <w:tc>
          <w:tcPr>
            <w:tcW w:w="1201" w:type="pct"/>
            <w:vAlign w:val="center"/>
          </w:tcPr>
          <w:p w14:paraId="6E5C5968">
            <w:pPr>
              <w:autoSpaceDE w:val="0"/>
              <w:autoSpaceDN w:val="0"/>
              <w:spacing w:line="360" w:lineRule="exact"/>
              <w:jc w:val="center"/>
              <w:rPr>
                <w:color w:val="auto"/>
                <w:szCs w:val="21"/>
                <w:u w:val="single"/>
              </w:rPr>
            </w:pPr>
            <w:r>
              <w:rPr>
                <w:color w:val="auto"/>
                <w:spacing w:val="2"/>
                <w:position w:val="1"/>
                <w:szCs w:val="21"/>
                <w:u w:val="single"/>
              </w:rPr>
              <w:t>/</w:t>
            </w:r>
          </w:p>
        </w:tc>
      </w:tr>
      <w:tr w14:paraId="7F874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6A999D5E">
            <w:pPr>
              <w:adjustRightInd w:val="0"/>
              <w:snapToGrid w:val="0"/>
              <w:jc w:val="center"/>
              <w:rPr>
                <w:color w:val="auto"/>
                <w:szCs w:val="21"/>
                <w:u w:val="single"/>
              </w:rPr>
            </w:pPr>
            <w:r>
              <w:rPr>
                <w:color w:val="auto"/>
                <w:szCs w:val="21"/>
                <w:u w:val="single"/>
              </w:rPr>
              <w:t>声环境</w:t>
            </w:r>
          </w:p>
        </w:tc>
        <w:tc>
          <w:tcPr>
            <w:tcW w:w="1008" w:type="pct"/>
            <w:vAlign w:val="center"/>
          </w:tcPr>
          <w:p w14:paraId="223712FD">
            <w:pPr>
              <w:adjustRightInd w:val="0"/>
              <w:snapToGrid w:val="0"/>
              <w:jc w:val="center"/>
              <w:rPr>
                <w:color w:val="auto"/>
                <w:szCs w:val="21"/>
                <w:u w:val="single"/>
              </w:rPr>
            </w:pPr>
            <w:r>
              <w:rPr>
                <w:color w:val="auto"/>
                <w:szCs w:val="21"/>
                <w:u w:val="single"/>
              </w:rPr>
              <w:t>低噪设备、加强管理，合理安排施工时间</w:t>
            </w:r>
          </w:p>
        </w:tc>
        <w:tc>
          <w:tcPr>
            <w:tcW w:w="821" w:type="pct"/>
            <w:vAlign w:val="center"/>
          </w:tcPr>
          <w:p w14:paraId="35E046B5">
            <w:pPr>
              <w:adjustRightInd w:val="0"/>
              <w:snapToGrid w:val="0"/>
              <w:jc w:val="center"/>
              <w:rPr>
                <w:color w:val="auto"/>
                <w:szCs w:val="21"/>
                <w:u w:val="single"/>
              </w:rPr>
            </w:pPr>
            <w:r>
              <w:rPr>
                <w:rFonts w:hint="eastAsia" w:ascii="Times New Roman" w:eastAsia="宋体"/>
                <w:color w:val="auto"/>
                <w:szCs w:val="21"/>
                <w:u w:val="single"/>
                <w:lang w:val="en-US" w:eastAsia="zh-CN"/>
              </w:rPr>
              <w:t>满足</w:t>
            </w:r>
            <w:r>
              <w:rPr>
                <w:color w:val="auto"/>
                <w:szCs w:val="21"/>
                <w:u w:val="single"/>
              </w:rPr>
              <w:t>《建筑施工场界环境噪声排放标准（GB12523-2011）</w:t>
            </w:r>
            <w:r>
              <w:rPr>
                <w:rFonts w:hint="default"/>
                <w:color w:val="0000FF"/>
                <w:szCs w:val="21"/>
                <w:u w:val="single"/>
              </w:rPr>
              <w:t>（昼间70dB（A）、夜间55dB（A））</w:t>
            </w:r>
          </w:p>
        </w:tc>
        <w:tc>
          <w:tcPr>
            <w:tcW w:w="1183" w:type="pct"/>
            <w:vAlign w:val="center"/>
          </w:tcPr>
          <w:p w14:paraId="78055C93">
            <w:pPr>
              <w:adjustRightInd w:val="0"/>
              <w:snapToGrid w:val="0"/>
              <w:jc w:val="center"/>
              <w:rPr>
                <w:color w:val="auto"/>
                <w:szCs w:val="21"/>
                <w:u w:val="single"/>
              </w:rPr>
            </w:pPr>
            <w:r>
              <w:rPr>
                <w:color w:val="auto"/>
                <w:szCs w:val="21"/>
                <w:u w:val="single"/>
              </w:rPr>
              <w:t>低噪设备、加强管理</w:t>
            </w:r>
          </w:p>
        </w:tc>
        <w:tc>
          <w:tcPr>
            <w:tcW w:w="1201" w:type="pct"/>
            <w:vAlign w:val="center"/>
          </w:tcPr>
          <w:p w14:paraId="00BD76E8">
            <w:pPr>
              <w:adjustRightInd w:val="0"/>
              <w:snapToGrid w:val="0"/>
              <w:jc w:val="center"/>
              <w:rPr>
                <w:color w:val="auto"/>
                <w:szCs w:val="21"/>
                <w:u w:val="single"/>
              </w:rPr>
            </w:pPr>
            <w:r>
              <w:rPr>
                <w:rFonts w:hint="eastAsia"/>
                <w:color w:val="auto"/>
                <w:szCs w:val="21"/>
                <w:u w:val="single"/>
                <w:lang w:val="en-US" w:eastAsia="zh-CN"/>
              </w:rPr>
              <w:t>满足</w:t>
            </w:r>
            <w:r>
              <w:rPr>
                <w:color w:val="auto"/>
                <w:szCs w:val="21"/>
                <w:u w:val="single"/>
              </w:rPr>
              <w:t>《声环境质量标准》（GB3838-2008）1类</w:t>
            </w:r>
            <w:r>
              <w:rPr>
                <w:rFonts w:hint="default"/>
                <w:color w:val="0000FF"/>
                <w:szCs w:val="21"/>
                <w:u w:val="single"/>
              </w:rPr>
              <w:t>（昼间55dB（A）、夜间45dB（A））</w:t>
            </w:r>
          </w:p>
        </w:tc>
      </w:tr>
      <w:tr w14:paraId="5F2F8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85" w:type="pct"/>
            <w:vAlign w:val="center"/>
          </w:tcPr>
          <w:p w14:paraId="04AFD3A3">
            <w:pPr>
              <w:adjustRightInd w:val="0"/>
              <w:snapToGrid w:val="0"/>
              <w:jc w:val="center"/>
              <w:rPr>
                <w:color w:val="auto"/>
                <w:szCs w:val="21"/>
                <w:u w:val="single"/>
              </w:rPr>
            </w:pPr>
            <w:r>
              <w:rPr>
                <w:color w:val="auto"/>
                <w:szCs w:val="21"/>
                <w:u w:val="single"/>
              </w:rPr>
              <w:t>振动</w:t>
            </w:r>
          </w:p>
        </w:tc>
        <w:tc>
          <w:tcPr>
            <w:tcW w:w="1008" w:type="pct"/>
            <w:vAlign w:val="center"/>
          </w:tcPr>
          <w:p w14:paraId="6856D3FA">
            <w:pPr>
              <w:autoSpaceDE w:val="0"/>
              <w:autoSpaceDN w:val="0"/>
              <w:spacing w:line="360" w:lineRule="exact"/>
              <w:jc w:val="center"/>
              <w:rPr>
                <w:color w:val="auto"/>
                <w:szCs w:val="21"/>
                <w:u w:val="single"/>
              </w:rPr>
            </w:pPr>
            <w:r>
              <w:rPr>
                <w:color w:val="auto"/>
                <w:spacing w:val="2"/>
                <w:position w:val="1"/>
                <w:szCs w:val="21"/>
                <w:u w:val="single"/>
              </w:rPr>
              <w:t>/</w:t>
            </w:r>
          </w:p>
        </w:tc>
        <w:tc>
          <w:tcPr>
            <w:tcW w:w="821" w:type="pct"/>
            <w:vAlign w:val="center"/>
          </w:tcPr>
          <w:p w14:paraId="660F0DC3">
            <w:pPr>
              <w:autoSpaceDE w:val="0"/>
              <w:autoSpaceDN w:val="0"/>
              <w:spacing w:line="360" w:lineRule="exact"/>
              <w:jc w:val="center"/>
              <w:rPr>
                <w:color w:val="auto"/>
                <w:szCs w:val="21"/>
                <w:u w:val="single"/>
              </w:rPr>
            </w:pPr>
            <w:r>
              <w:rPr>
                <w:color w:val="auto"/>
                <w:spacing w:val="2"/>
                <w:position w:val="1"/>
                <w:szCs w:val="21"/>
                <w:u w:val="single"/>
              </w:rPr>
              <w:t>/</w:t>
            </w:r>
          </w:p>
        </w:tc>
        <w:tc>
          <w:tcPr>
            <w:tcW w:w="1183" w:type="pct"/>
            <w:vAlign w:val="center"/>
          </w:tcPr>
          <w:p w14:paraId="6A8FD9EA">
            <w:pPr>
              <w:autoSpaceDE w:val="0"/>
              <w:autoSpaceDN w:val="0"/>
              <w:spacing w:line="360" w:lineRule="exact"/>
              <w:jc w:val="center"/>
              <w:rPr>
                <w:color w:val="auto"/>
                <w:szCs w:val="21"/>
                <w:u w:val="single"/>
              </w:rPr>
            </w:pPr>
            <w:r>
              <w:rPr>
                <w:color w:val="auto"/>
                <w:spacing w:val="2"/>
                <w:position w:val="1"/>
                <w:szCs w:val="21"/>
                <w:u w:val="single"/>
              </w:rPr>
              <w:t>/</w:t>
            </w:r>
          </w:p>
        </w:tc>
        <w:tc>
          <w:tcPr>
            <w:tcW w:w="1201" w:type="pct"/>
            <w:vAlign w:val="center"/>
          </w:tcPr>
          <w:p w14:paraId="2BA7CB50">
            <w:pPr>
              <w:autoSpaceDE w:val="0"/>
              <w:autoSpaceDN w:val="0"/>
              <w:spacing w:line="360" w:lineRule="exact"/>
              <w:jc w:val="center"/>
              <w:rPr>
                <w:color w:val="auto"/>
                <w:szCs w:val="21"/>
                <w:u w:val="single"/>
              </w:rPr>
            </w:pPr>
            <w:r>
              <w:rPr>
                <w:color w:val="auto"/>
                <w:spacing w:val="2"/>
                <w:position w:val="1"/>
                <w:szCs w:val="21"/>
                <w:u w:val="single"/>
              </w:rPr>
              <w:t>/</w:t>
            </w:r>
          </w:p>
        </w:tc>
      </w:tr>
      <w:tr w14:paraId="4037B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3D29AC86">
            <w:pPr>
              <w:adjustRightInd w:val="0"/>
              <w:snapToGrid w:val="0"/>
              <w:jc w:val="center"/>
              <w:rPr>
                <w:color w:val="auto"/>
                <w:szCs w:val="21"/>
                <w:u w:val="single"/>
              </w:rPr>
            </w:pPr>
            <w:r>
              <w:rPr>
                <w:color w:val="auto"/>
                <w:szCs w:val="21"/>
                <w:u w:val="single"/>
              </w:rPr>
              <w:t>大气环境</w:t>
            </w:r>
          </w:p>
        </w:tc>
        <w:tc>
          <w:tcPr>
            <w:tcW w:w="1008" w:type="pct"/>
            <w:vAlign w:val="center"/>
          </w:tcPr>
          <w:p w14:paraId="02CC71DE">
            <w:pPr>
              <w:adjustRightInd w:val="0"/>
              <w:snapToGrid w:val="0"/>
              <w:jc w:val="center"/>
              <w:rPr>
                <w:color w:val="auto"/>
                <w:szCs w:val="21"/>
                <w:u w:val="single"/>
              </w:rPr>
            </w:pPr>
            <w:r>
              <w:rPr>
                <w:color w:val="auto"/>
                <w:szCs w:val="21"/>
                <w:u w:val="single"/>
              </w:rPr>
              <w:t>施工场地设置围挡；对裸露的地面及堆放的易产生扬尘污染的物料进行覆盖</w:t>
            </w:r>
          </w:p>
        </w:tc>
        <w:tc>
          <w:tcPr>
            <w:tcW w:w="821" w:type="pct"/>
            <w:vAlign w:val="center"/>
          </w:tcPr>
          <w:p w14:paraId="7838F550">
            <w:pPr>
              <w:adjustRightInd w:val="0"/>
              <w:snapToGrid w:val="0"/>
              <w:jc w:val="center"/>
              <w:rPr>
                <w:rFonts w:hint="eastAsia" w:eastAsia="宋体"/>
                <w:color w:val="auto"/>
                <w:szCs w:val="21"/>
                <w:u w:val="single"/>
                <w:lang w:eastAsia="zh-CN"/>
              </w:rPr>
            </w:pPr>
            <w:r>
              <w:rPr>
                <w:color w:val="0000FF"/>
                <w:szCs w:val="21"/>
                <w:u w:val="single"/>
              </w:rPr>
              <w:t>《大气污染物综合排放标准（GB16297-1996）中无组织监控浓度限值</w:t>
            </w:r>
            <w:r>
              <w:rPr>
                <w:rFonts w:hint="eastAsia"/>
                <w:color w:val="0000FF"/>
                <w:szCs w:val="21"/>
                <w:u w:val="single"/>
                <w:lang w:eastAsia="zh-CN"/>
              </w:rPr>
              <w:t>（</w:t>
            </w:r>
            <w:r>
              <w:rPr>
                <w:rFonts w:hint="eastAsia"/>
                <w:color w:val="0000FF"/>
                <w:szCs w:val="21"/>
                <w:u w:val="single"/>
                <w:lang w:val="en-US" w:eastAsia="zh-CN"/>
              </w:rPr>
              <w:t>颗粒物1.0mg/m</w:t>
            </w:r>
            <w:r>
              <w:rPr>
                <w:rFonts w:hint="eastAsia"/>
                <w:color w:val="0000FF"/>
                <w:szCs w:val="21"/>
                <w:u w:val="single"/>
                <w:vertAlign w:val="superscript"/>
                <w:lang w:val="en-US" w:eastAsia="zh-CN"/>
              </w:rPr>
              <w:t>3</w:t>
            </w:r>
            <w:r>
              <w:rPr>
                <w:rFonts w:hint="eastAsia"/>
                <w:color w:val="0000FF"/>
                <w:szCs w:val="21"/>
                <w:u w:val="single"/>
                <w:lang w:eastAsia="zh-CN"/>
              </w:rPr>
              <w:t>）</w:t>
            </w:r>
          </w:p>
        </w:tc>
        <w:tc>
          <w:tcPr>
            <w:tcW w:w="1183" w:type="pct"/>
            <w:vAlign w:val="center"/>
          </w:tcPr>
          <w:p w14:paraId="3C27E996">
            <w:pPr>
              <w:adjustRightInd w:val="0"/>
              <w:snapToGrid w:val="0"/>
              <w:jc w:val="center"/>
              <w:rPr>
                <w:rFonts w:hint="default" w:eastAsia="宋体"/>
                <w:color w:val="auto"/>
                <w:szCs w:val="21"/>
                <w:u w:val="single"/>
                <w:lang w:val="en-US" w:eastAsia="zh-CN"/>
              </w:rPr>
            </w:pPr>
            <w:r>
              <w:rPr>
                <w:color w:val="auto"/>
                <w:szCs w:val="21"/>
                <w:u w:val="single"/>
              </w:rPr>
              <w:t>避免过量投喂</w:t>
            </w:r>
            <w:r>
              <w:rPr>
                <w:rFonts w:hint="eastAsia"/>
                <w:color w:val="auto"/>
                <w:szCs w:val="21"/>
                <w:u w:val="single"/>
              </w:rPr>
              <w:t>、喷洒生物除臭剂、</w:t>
            </w:r>
            <w:r>
              <w:rPr>
                <w:color w:val="auto"/>
                <w:szCs w:val="21"/>
                <w:u w:val="single"/>
              </w:rPr>
              <w:t>养殖水体种植植物</w:t>
            </w:r>
            <w:r>
              <w:rPr>
                <w:rFonts w:hint="eastAsia"/>
                <w:color w:val="auto"/>
                <w:szCs w:val="21"/>
                <w:u w:val="single"/>
                <w:lang w:eastAsia="zh-CN"/>
              </w:rPr>
              <w:t>；</w:t>
            </w:r>
            <w:r>
              <w:rPr>
                <w:rFonts w:hint="eastAsia"/>
                <w:color w:val="auto"/>
                <w:szCs w:val="21"/>
                <w:u w:val="single"/>
                <w:lang w:val="en-US" w:eastAsia="zh-CN"/>
              </w:rPr>
              <w:t>柴油发电机尾气通过专用烟道排放。</w:t>
            </w:r>
          </w:p>
        </w:tc>
        <w:tc>
          <w:tcPr>
            <w:tcW w:w="1201" w:type="pct"/>
            <w:vAlign w:val="center"/>
          </w:tcPr>
          <w:p w14:paraId="1D15C0E0">
            <w:pPr>
              <w:adjustRightInd w:val="0"/>
              <w:snapToGrid w:val="0"/>
              <w:jc w:val="center"/>
              <w:rPr>
                <w:color w:val="auto"/>
                <w:szCs w:val="21"/>
                <w:u w:val="single"/>
              </w:rPr>
            </w:pPr>
            <w:r>
              <w:rPr>
                <w:rFonts w:hint="default"/>
                <w:color w:val="0000FF"/>
                <w:szCs w:val="21"/>
                <w:u w:val="single"/>
              </w:rPr>
              <w:t>恶臭</w:t>
            </w:r>
            <w:r>
              <w:rPr>
                <w:rFonts w:hint="default"/>
                <w:color w:val="0000FF"/>
                <w:szCs w:val="21"/>
                <w:u w:val="single"/>
                <w:lang w:val="en-US" w:eastAsia="zh-CN"/>
              </w:rPr>
              <w:t>满足</w:t>
            </w:r>
            <w:r>
              <w:rPr>
                <w:rFonts w:hint="default"/>
                <w:color w:val="0000FF"/>
                <w:szCs w:val="21"/>
                <w:u w:val="single"/>
              </w:rPr>
              <w:t>《恶臭污染物排放标准》(GB14554-1993）标准</w:t>
            </w:r>
            <w:r>
              <w:rPr>
                <w:rFonts w:hint="eastAsia" w:eastAsia="宋体"/>
                <w:color w:val="0000FF"/>
                <w:szCs w:val="21"/>
                <w:u w:val="single"/>
                <w:lang w:eastAsia="zh-CN"/>
              </w:rPr>
              <w:t>（</w:t>
            </w:r>
            <w:r>
              <w:rPr>
                <w:rFonts w:hint="eastAsia"/>
                <w:color w:val="0000FF"/>
                <w:szCs w:val="21"/>
                <w:u w:val="single"/>
                <w:lang w:val="en-US" w:eastAsia="zh-CN"/>
              </w:rPr>
              <w:t>臭气浓度20；硫化氢0.06</w:t>
            </w:r>
            <w:r>
              <w:rPr>
                <w:rFonts w:hint="eastAsia" w:ascii="Times New Roman" w:eastAsia="宋体"/>
                <w:color w:val="0000FF"/>
                <w:szCs w:val="21"/>
                <w:u w:val="single"/>
                <w:lang w:val="en-US" w:eastAsia="zh-CN"/>
              </w:rPr>
              <w:t>mg/m</w:t>
            </w:r>
            <w:r>
              <w:rPr>
                <w:rFonts w:hint="eastAsia" w:ascii="Times New Roman" w:eastAsia="宋体"/>
                <w:color w:val="0000FF"/>
                <w:szCs w:val="21"/>
                <w:u w:val="single"/>
                <w:vertAlign w:val="superscript"/>
                <w:lang w:val="en-US" w:eastAsia="zh-CN"/>
              </w:rPr>
              <w:t>3</w:t>
            </w:r>
            <w:r>
              <w:rPr>
                <w:rFonts w:hint="eastAsia"/>
                <w:color w:val="0000FF"/>
                <w:szCs w:val="21"/>
                <w:u w:val="single"/>
                <w:vertAlign w:val="baseline"/>
                <w:lang w:val="en-US" w:eastAsia="zh-CN"/>
              </w:rPr>
              <w:t>，氨1.5</w:t>
            </w:r>
            <w:r>
              <w:rPr>
                <w:rFonts w:hint="eastAsia" w:ascii="Times New Roman" w:eastAsia="宋体"/>
                <w:color w:val="0000FF"/>
                <w:szCs w:val="21"/>
                <w:u w:val="single"/>
                <w:lang w:val="en-US" w:eastAsia="zh-CN"/>
              </w:rPr>
              <w:t>mg/m</w:t>
            </w:r>
            <w:r>
              <w:rPr>
                <w:rFonts w:hint="eastAsia" w:ascii="Times New Roman" w:eastAsia="宋体"/>
                <w:color w:val="0000FF"/>
                <w:szCs w:val="21"/>
                <w:u w:val="single"/>
                <w:vertAlign w:val="superscript"/>
                <w:lang w:val="en-US" w:eastAsia="zh-CN"/>
              </w:rPr>
              <w:t>3</w:t>
            </w:r>
            <w:r>
              <w:rPr>
                <w:rFonts w:hint="eastAsia" w:eastAsia="宋体"/>
                <w:color w:val="0000FF"/>
                <w:szCs w:val="21"/>
                <w:u w:val="single"/>
                <w:lang w:eastAsia="zh-CN"/>
              </w:rPr>
              <w:t>）</w:t>
            </w:r>
            <w:r>
              <w:rPr>
                <w:rFonts w:hint="eastAsia"/>
                <w:color w:val="0000FF"/>
                <w:szCs w:val="21"/>
                <w:u w:val="single"/>
                <w:lang w:eastAsia="zh-CN"/>
              </w:rPr>
              <w:t>；</w:t>
            </w:r>
            <w:r>
              <w:rPr>
                <w:rFonts w:hint="default"/>
                <w:color w:val="0000FF"/>
                <w:szCs w:val="21"/>
                <w:u w:val="single"/>
              </w:rPr>
              <w:t>柴油发电机废气</w:t>
            </w:r>
            <w:r>
              <w:rPr>
                <w:rFonts w:hint="default"/>
                <w:color w:val="0000FF"/>
                <w:szCs w:val="21"/>
                <w:u w:val="single"/>
                <w:lang w:val="en-US" w:eastAsia="zh-CN"/>
              </w:rPr>
              <w:t>满足</w:t>
            </w:r>
            <w:r>
              <w:rPr>
                <w:rFonts w:hint="default"/>
                <w:color w:val="0000FF"/>
                <w:szCs w:val="21"/>
                <w:u w:val="single"/>
              </w:rPr>
              <w:t>《大气污染物综合排放标准》表2中无组织排放限值排放</w:t>
            </w:r>
            <w:r>
              <w:rPr>
                <w:rFonts w:hint="eastAsia" w:eastAsia="宋体"/>
                <w:color w:val="0000FF"/>
                <w:szCs w:val="21"/>
                <w:u w:val="single"/>
                <w:lang w:eastAsia="zh-CN"/>
              </w:rPr>
              <w:t>（</w:t>
            </w:r>
            <w:r>
              <w:rPr>
                <w:rFonts w:hint="eastAsia"/>
                <w:color w:val="0000FF"/>
                <w:szCs w:val="21"/>
                <w:u w:val="single"/>
                <w:lang w:val="en-US" w:eastAsia="zh-CN"/>
              </w:rPr>
              <w:t>SO</w:t>
            </w:r>
            <w:r>
              <w:rPr>
                <w:rFonts w:hint="eastAsia"/>
                <w:color w:val="0000FF"/>
                <w:szCs w:val="21"/>
                <w:u w:val="single"/>
                <w:vertAlign w:val="subscript"/>
                <w:lang w:val="en-US" w:eastAsia="zh-CN"/>
              </w:rPr>
              <w:t>2</w:t>
            </w:r>
            <w:r>
              <w:rPr>
                <w:rFonts w:hint="eastAsia"/>
                <w:color w:val="0000FF"/>
                <w:szCs w:val="21"/>
                <w:u w:val="single"/>
                <w:lang w:val="en-US" w:eastAsia="zh-CN"/>
              </w:rPr>
              <w:t>：0.5</w:t>
            </w:r>
            <w:r>
              <w:rPr>
                <w:rFonts w:hint="eastAsia" w:ascii="Times New Roman" w:eastAsia="宋体"/>
                <w:color w:val="0000FF"/>
                <w:szCs w:val="21"/>
                <w:u w:val="single"/>
                <w:lang w:val="en-US" w:eastAsia="zh-CN"/>
              </w:rPr>
              <w:t>mg/m</w:t>
            </w:r>
            <w:r>
              <w:rPr>
                <w:rFonts w:hint="eastAsia" w:ascii="Times New Roman" w:eastAsia="宋体"/>
                <w:color w:val="0000FF"/>
                <w:szCs w:val="21"/>
                <w:u w:val="single"/>
                <w:vertAlign w:val="superscript"/>
                <w:lang w:val="en-US" w:eastAsia="zh-CN"/>
              </w:rPr>
              <w:t>3</w:t>
            </w:r>
            <w:r>
              <w:rPr>
                <w:rFonts w:hint="eastAsia" w:ascii="Times New Roman" w:eastAsia="宋体"/>
                <w:color w:val="0000FF"/>
                <w:szCs w:val="21"/>
                <w:u w:val="single"/>
                <w:vertAlign w:val="baseline"/>
                <w:lang w:val="en-US" w:eastAsia="zh-CN"/>
              </w:rPr>
              <w:t>，</w:t>
            </w:r>
            <w:r>
              <w:rPr>
                <w:rFonts w:hint="eastAsia"/>
                <w:color w:val="0000FF"/>
                <w:szCs w:val="21"/>
                <w:u w:val="single"/>
                <w:vertAlign w:val="baseline"/>
                <w:lang w:val="en-US" w:eastAsia="zh-CN"/>
              </w:rPr>
              <w:t>NO</w:t>
            </w:r>
            <w:r>
              <w:rPr>
                <w:rFonts w:hint="eastAsia"/>
                <w:color w:val="0000FF"/>
                <w:szCs w:val="21"/>
                <w:u w:val="single"/>
                <w:vertAlign w:val="subscript"/>
                <w:lang w:val="en-US" w:eastAsia="zh-CN"/>
              </w:rPr>
              <w:t>X</w:t>
            </w:r>
            <w:r>
              <w:rPr>
                <w:rFonts w:hint="eastAsia"/>
                <w:color w:val="0000FF"/>
                <w:szCs w:val="21"/>
                <w:u w:val="single"/>
                <w:vertAlign w:val="baseline"/>
                <w:lang w:val="en-US" w:eastAsia="zh-CN"/>
              </w:rPr>
              <w:t>：</w:t>
            </w:r>
            <w:r>
              <w:rPr>
                <w:rFonts w:hint="eastAsia"/>
                <w:color w:val="0000FF"/>
                <w:szCs w:val="21"/>
                <w:u w:val="single"/>
                <w:lang w:val="en-US" w:eastAsia="zh-CN"/>
              </w:rPr>
              <w:t>0.15</w:t>
            </w:r>
            <w:r>
              <w:rPr>
                <w:rFonts w:hint="eastAsia" w:ascii="Times New Roman" w:eastAsia="宋体"/>
                <w:color w:val="0000FF"/>
                <w:szCs w:val="21"/>
                <w:u w:val="single"/>
                <w:lang w:val="en-US" w:eastAsia="zh-CN"/>
              </w:rPr>
              <w:t>mg/m</w:t>
            </w:r>
            <w:r>
              <w:rPr>
                <w:rFonts w:hint="eastAsia" w:ascii="Times New Roman" w:eastAsia="宋体"/>
                <w:color w:val="0000FF"/>
                <w:szCs w:val="21"/>
                <w:u w:val="single"/>
                <w:vertAlign w:val="superscript"/>
                <w:lang w:val="en-US" w:eastAsia="zh-CN"/>
              </w:rPr>
              <w:t>3</w:t>
            </w:r>
            <w:r>
              <w:rPr>
                <w:rFonts w:hint="eastAsia" w:eastAsia="宋体"/>
                <w:color w:val="0000FF"/>
                <w:szCs w:val="21"/>
                <w:u w:val="single"/>
                <w:lang w:eastAsia="zh-CN"/>
              </w:rPr>
              <w:t>）</w:t>
            </w:r>
          </w:p>
        </w:tc>
      </w:tr>
      <w:tr w14:paraId="57A03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785" w:type="pct"/>
            <w:vAlign w:val="center"/>
          </w:tcPr>
          <w:p w14:paraId="33D0D766">
            <w:pPr>
              <w:adjustRightInd w:val="0"/>
              <w:snapToGrid w:val="0"/>
              <w:jc w:val="center"/>
              <w:rPr>
                <w:color w:val="auto"/>
                <w:szCs w:val="21"/>
                <w:u w:val="single"/>
              </w:rPr>
            </w:pPr>
            <w:r>
              <w:rPr>
                <w:color w:val="auto"/>
                <w:szCs w:val="21"/>
                <w:u w:val="single"/>
              </w:rPr>
              <w:t>固体废物</w:t>
            </w:r>
          </w:p>
        </w:tc>
        <w:tc>
          <w:tcPr>
            <w:tcW w:w="1008" w:type="pct"/>
            <w:vAlign w:val="center"/>
          </w:tcPr>
          <w:p w14:paraId="6DE43C9E">
            <w:pPr>
              <w:adjustRightInd w:val="0"/>
              <w:snapToGrid w:val="0"/>
              <w:jc w:val="center"/>
              <w:rPr>
                <w:color w:val="auto"/>
                <w:szCs w:val="21"/>
                <w:u w:val="single"/>
              </w:rPr>
            </w:pPr>
            <w:r>
              <w:rPr>
                <w:color w:val="auto"/>
                <w:szCs w:val="21"/>
                <w:u w:val="single"/>
              </w:rPr>
              <w:t>清淤淤泥</w:t>
            </w:r>
            <w:r>
              <w:rPr>
                <w:rFonts w:hint="eastAsia"/>
                <w:color w:val="auto"/>
                <w:szCs w:val="21"/>
                <w:u w:val="single"/>
              </w:rPr>
              <w:t>处理后回</w:t>
            </w:r>
            <w:r>
              <w:rPr>
                <w:color w:val="auto"/>
                <w:szCs w:val="21"/>
                <w:u w:val="single"/>
              </w:rPr>
              <w:t>用于池塘边坡回填等</w:t>
            </w:r>
            <w:r>
              <w:rPr>
                <w:rFonts w:hint="eastAsia"/>
                <w:color w:val="auto"/>
                <w:szCs w:val="21"/>
                <w:u w:val="single"/>
              </w:rPr>
              <w:t>；</w:t>
            </w:r>
            <w:r>
              <w:rPr>
                <w:color w:val="auto"/>
                <w:szCs w:val="21"/>
                <w:u w:val="single"/>
              </w:rPr>
              <w:t>施工废弃物及生活垃圾经收集后交环卫部门清运</w:t>
            </w:r>
          </w:p>
        </w:tc>
        <w:tc>
          <w:tcPr>
            <w:tcW w:w="821" w:type="pct"/>
            <w:vAlign w:val="center"/>
          </w:tcPr>
          <w:p w14:paraId="67F66E0F">
            <w:pPr>
              <w:adjustRightInd w:val="0"/>
              <w:snapToGrid w:val="0"/>
              <w:jc w:val="center"/>
              <w:rPr>
                <w:color w:val="auto"/>
                <w:szCs w:val="21"/>
                <w:u w:val="single"/>
              </w:rPr>
            </w:pPr>
            <w:r>
              <w:rPr>
                <w:color w:val="auto"/>
                <w:szCs w:val="21"/>
                <w:u w:val="single"/>
              </w:rPr>
              <w:t>无害化、资源化处置</w:t>
            </w:r>
          </w:p>
        </w:tc>
        <w:tc>
          <w:tcPr>
            <w:tcW w:w="1183" w:type="pct"/>
            <w:vAlign w:val="center"/>
          </w:tcPr>
          <w:p w14:paraId="73E92E9B">
            <w:pPr>
              <w:adjustRightInd w:val="0"/>
              <w:snapToGrid w:val="0"/>
              <w:jc w:val="center"/>
              <w:rPr>
                <w:color w:val="auto"/>
                <w:szCs w:val="21"/>
                <w:u w:val="single"/>
              </w:rPr>
            </w:pPr>
            <w:r>
              <w:rPr>
                <w:rFonts w:hint="eastAsia"/>
                <w:color w:val="auto"/>
                <w:szCs w:val="21"/>
                <w:u w:val="single"/>
              </w:rPr>
              <w:t>尾水罐污泥</w:t>
            </w:r>
            <w:r>
              <w:rPr>
                <w:color w:val="auto"/>
                <w:szCs w:val="21"/>
                <w:u w:val="single"/>
              </w:rPr>
              <w:t>运送给附近村民作农肥</w:t>
            </w:r>
            <w:r>
              <w:rPr>
                <w:rFonts w:hint="eastAsia"/>
                <w:color w:val="auto"/>
                <w:szCs w:val="21"/>
                <w:u w:val="single"/>
              </w:rPr>
              <w:t>；</w:t>
            </w:r>
            <w:r>
              <w:rPr>
                <w:color w:val="auto"/>
                <w:szCs w:val="21"/>
                <w:u w:val="single"/>
              </w:rPr>
              <w:t>病死鱼委托第三方公司无害化处理</w:t>
            </w:r>
            <w:r>
              <w:rPr>
                <w:rFonts w:hint="eastAsia"/>
                <w:color w:val="auto"/>
                <w:szCs w:val="21"/>
                <w:u w:val="single"/>
              </w:rPr>
              <w:t>；废包装此阿里及</w:t>
            </w:r>
            <w:r>
              <w:rPr>
                <w:color w:val="auto"/>
                <w:szCs w:val="21"/>
                <w:u w:val="single"/>
              </w:rPr>
              <w:t>生活垃圾收集后由环卫部门清运</w:t>
            </w:r>
          </w:p>
        </w:tc>
        <w:tc>
          <w:tcPr>
            <w:tcW w:w="1201" w:type="pct"/>
            <w:vAlign w:val="center"/>
          </w:tcPr>
          <w:p w14:paraId="22454CCE">
            <w:pPr>
              <w:adjustRightInd w:val="0"/>
              <w:snapToGrid w:val="0"/>
              <w:jc w:val="center"/>
              <w:rPr>
                <w:color w:val="auto"/>
                <w:szCs w:val="21"/>
                <w:u w:val="single"/>
              </w:rPr>
            </w:pPr>
            <w:r>
              <w:rPr>
                <w:color w:val="auto"/>
                <w:szCs w:val="21"/>
                <w:u w:val="single"/>
              </w:rPr>
              <w:t>/</w:t>
            </w:r>
          </w:p>
        </w:tc>
      </w:tr>
      <w:tr w14:paraId="1C852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389EB368">
            <w:pPr>
              <w:adjustRightInd w:val="0"/>
              <w:snapToGrid w:val="0"/>
              <w:jc w:val="center"/>
              <w:rPr>
                <w:color w:val="auto"/>
                <w:szCs w:val="21"/>
                <w:u w:val="single"/>
              </w:rPr>
            </w:pPr>
            <w:r>
              <w:rPr>
                <w:color w:val="auto"/>
                <w:szCs w:val="21"/>
                <w:u w:val="single"/>
              </w:rPr>
              <w:t>电磁环境</w:t>
            </w:r>
          </w:p>
        </w:tc>
        <w:tc>
          <w:tcPr>
            <w:tcW w:w="1008" w:type="pct"/>
            <w:vAlign w:val="center"/>
          </w:tcPr>
          <w:p w14:paraId="3B556709">
            <w:pPr>
              <w:adjustRightInd w:val="0"/>
              <w:snapToGrid w:val="0"/>
              <w:jc w:val="center"/>
              <w:rPr>
                <w:color w:val="auto"/>
                <w:szCs w:val="21"/>
                <w:u w:val="single"/>
              </w:rPr>
            </w:pPr>
            <w:r>
              <w:rPr>
                <w:color w:val="auto"/>
                <w:szCs w:val="21"/>
                <w:u w:val="single"/>
              </w:rPr>
              <w:t>/</w:t>
            </w:r>
          </w:p>
        </w:tc>
        <w:tc>
          <w:tcPr>
            <w:tcW w:w="821" w:type="pct"/>
            <w:vAlign w:val="center"/>
          </w:tcPr>
          <w:p w14:paraId="565E9E55">
            <w:pPr>
              <w:adjustRightInd w:val="0"/>
              <w:snapToGrid w:val="0"/>
              <w:jc w:val="center"/>
              <w:rPr>
                <w:color w:val="auto"/>
                <w:szCs w:val="21"/>
                <w:u w:val="single"/>
              </w:rPr>
            </w:pPr>
            <w:r>
              <w:rPr>
                <w:color w:val="auto"/>
                <w:szCs w:val="21"/>
                <w:u w:val="single"/>
              </w:rPr>
              <w:t>/</w:t>
            </w:r>
          </w:p>
        </w:tc>
        <w:tc>
          <w:tcPr>
            <w:tcW w:w="1183" w:type="pct"/>
            <w:vAlign w:val="center"/>
          </w:tcPr>
          <w:p w14:paraId="06ED0976">
            <w:pPr>
              <w:adjustRightInd w:val="0"/>
              <w:snapToGrid w:val="0"/>
              <w:jc w:val="center"/>
              <w:rPr>
                <w:color w:val="auto"/>
                <w:szCs w:val="21"/>
                <w:u w:val="single"/>
              </w:rPr>
            </w:pPr>
            <w:r>
              <w:rPr>
                <w:color w:val="auto"/>
                <w:szCs w:val="21"/>
                <w:u w:val="single"/>
              </w:rPr>
              <w:t>/</w:t>
            </w:r>
          </w:p>
        </w:tc>
        <w:tc>
          <w:tcPr>
            <w:tcW w:w="1201" w:type="pct"/>
            <w:vAlign w:val="center"/>
          </w:tcPr>
          <w:p w14:paraId="4E909A88">
            <w:pPr>
              <w:adjustRightInd w:val="0"/>
              <w:snapToGrid w:val="0"/>
              <w:jc w:val="center"/>
              <w:rPr>
                <w:color w:val="auto"/>
                <w:szCs w:val="21"/>
                <w:u w:val="single"/>
              </w:rPr>
            </w:pPr>
            <w:r>
              <w:rPr>
                <w:color w:val="auto"/>
                <w:szCs w:val="21"/>
                <w:u w:val="single"/>
              </w:rPr>
              <w:t>/</w:t>
            </w:r>
          </w:p>
        </w:tc>
      </w:tr>
      <w:tr w14:paraId="0FF98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3A932DAA">
            <w:pPr>
              <w:adjustRightInd w:val="0"/>
              <w:snapToGrid w:val="0"/>
              <w:jc w:val="center"/>
              <w:rPr>
                <w:color w:val="auto"/>
                <w:szCs w:val="21"/>
                <w:u w:val="single"/>
              </w:rPr>
            </w:pPr>
            <w:r>
              <w:rPr>
                <w:color w:val="auto"/>
                <w:szCs w:val="21"/>
                <w:u w:val="single"/>
              </w:rPr>
              <w:t>环境风险</w:t>
            </w:r>
          </w:p>
        </w:tc>
        <w:tc>
          <w:tcPr>
            <w:tcW w:w="1008" w:type="pct"/>
            <w:vAlign w:val="center"/>
          </w:tcPr>
          <w:p w14:paraId="3B4BADA5">
            <w:pPr>
              <w:autoSpaceDE w:val="0"/>
              <w:autoSpaceDN w:val="0"/>
              <w:spacing w:line="360" w:lineRule="exact"/>
              <w:jc w:val="center"/>
              <w:rPr>
                <w:color w:val="auto"/>
                <w:szCs w:val="21"/>
                <w:u w:val="single"/>
              </w:rPr>
            </w:pPr>
            <w:r>
              <w:rPr>
                <w:color w:val="auto"/>
                <w:szCs w:val="21"/>
                <w:u w:val="single"/>
              </w:rPr>
              <w:t>/</w:t>
            </w:r>
          </w:p>
        </w:tc>
        <w:tc>
          <w:tcPr>
            <w:tcW w:w="821" w:type="pct"/>
            <w:vAlign w:val="center"/>
          </w:tcPr>
          <w:p w14:paraId="61517971">
            <w:pPr>
              <w:autoSpaceDE w:val="0"/>
              <w:autoSpaceDN w:val="0"/>
              <w:spacing w:line="360" w:lineRule="exact"/>
              <w:jc w:val="center"/>
              <w:rPr>
                <w:color w:val="auto"/>
                <w:szCs w:val="21"/>
                <w:u w:val="single"/>
              </w:rPr>
            </w:pPr>
            <w:r>
              <w:rPr>
                <w:color w:val="auto"/>
                <w:szCs w:val="21"/>
                <w:u w:val="single"/>
              </w:rPr>
              <w:t>/</w:t>
            </w:r>
          </w:p>
        </w:tc>
        <w:tc>
          <w:tcPr>
            <w:tcW w:w="1183" w:type="pct"/>
            <w:vAlign w:val="center"/>
          </w:tcPr>
          <w:p w14:paraId="0DACD07A">
            <w:pPr>
              <w:autoSpaceDE w:val="0"/>
              <w:autoSpaceDN w:val="0"/>
              <w:spacing w:line="360" w:lineRule="exact"/>
              <w:jc w:val="center"/>
              <w:rPr>
                <w:color w:val="auto"/>
                <w:szCs w:val="21"/>
                <w:u w:val="single"/>
              </w:rPr>
            </w:pPr>
            <w:r>
              <w:rPr>
                <w:color w:val="auto"/>
                <w:szCs w:val="21"/>
                <w:u w:val="single"/>
              </w:rPr>
              <w:t>/</w:t>
            </w:r>
          </w:p>
        </w:tc>
        <w:tc>
          <w:tcPr>
            <w:tcW w:w="1201" w:type="pct"/>
            <w:vAlign w:val="center"/>
          </w:tcPr>
          <w:p w14:paraId="39C6856E">
            <w:pPr>
              <w:autoSpaceDE w:val="0"/>
              <w:autoSpaceDN w:val="0"/>
              <w:spacing w:line="360" w:lineRule="exact"/>
              <w:jc w:val="center"/>
              <w:rPr>
                <w:color w:val="auto"/>
                <w:szCs w:val="21"/>
                <w:u w:val="single"/>
              </w:rPr>
            </w:pPr>
            <w:r>
              <w:rPr>
                <w:color w:val="auto"/>
                <w:szCs w:val="21"/>
                <w:u w:val="single"/>
              </w:rPr>
              <w:t>/</w:t>
            </w:r>
          </w:p>
        </w:tc>
      </w:tr>
      <w:tr w14:paraId="057B3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Merge w:val="restart"/>
            <w:vAlign w:val="center"/>
          </w:tcPr>
          <w:p w14:paraId="73C0C356">
            <w:pPr>
              <w:adjustRightInd w:val="0"/>
              <w:snapToGrid w:val="0"/>
              <w:jc w:val="center"/>
              <w:rPr>
                <w:color w:val="auto"/>
                <w:szCs w:val="21"/>
                <w:u w:val="single"/>
              </w:rPr>
            </w:pPr>
            <w:r>
              <w:rPr>
                <w:color w:val="auto"/>
                <w:szCs w:val="21"/>
                <w:u w:val="single"/>
              </w:rPr>
              <w:t>环境监测</w:t>
            </w:r>
          </w:p>
        </w:tc>
        <w:tc>
          <w:tcPr>
            <w:tcW w:w="1008" w:type="pct"/>
            <w:vAlign w:val="center"/>
          </w:tcPr>
          <w:p w14:paraId="4512B559">
            <w:pPr>
              <w:adjustRightInd w:val="0"/>
              <w:snapToGrid w:val="0"/>
              <w:jc w:val="center"/>
              <w:rPr>
                <w:color w:val="auto"/>
                <w:szCs w:val="21"/>
                <w:highlight w:val="red"/>
                <w:u w:val="single"/>
              </w:rPr>
            </w:pPr>
          </w:p>
        </w:tc>
        <w:tc>
          <w:tcPr>
            <w:tcW w:w="821" w:type="pct"/>
            <w:vAlign w:val="center"/>
          </w:tcPr>
          <w:p w14:paraId="79C401F4">
            <w:pPr>
              <w:adjustRightInd w:val="0"/>
              <w:snapToGrid w:val="0"/>
              <w:jc w:val="center"/>
              <w:rPr>
                <w:color w:val="auto"/>
                <w:szCs w:val="21"/>
                <w:highlight w:val="red"/>
                <w:u w:val="single"/>
              </w:rPr>
            </w:pPr>
          </w:p>
        </w:tc>
        <w:tc>
          <w:tcPr>
            <w:tcW w:w="1183" w:type="pct"/>
            <w:tcBorders>
              <w:bottom w:val="single" w:color="000000" w:sz="8" w:space="0"/>
            </w:tcBorders>
            <w:vAlign w:val="center"/>
          </w:tcPr>
          <w:p w14:paraId="6F8BD9AF">
            <w:pPr>
              <w:adjustRightInd w:val="0"/>
              <w:snapToGrid w:val="0"/>
              <w:jc w:val="center"/>
              <w:rPr>
                <w:color w:val="auto"/>
                <w:kern w:val="0"/>
                <w:szCs w:val="21"/>
                <w:u w:val="single"/>
              </w:rPr>
            </w:pPr>
            <w:r>
              <w:rPr>
                <w:color w:val="auto"/>
                <w:szCs w:val="21"/>
                <w:u w:val="single"/>
              </w:rPr>
              <w:t>/</w:t>
            </w:r>
          </w:p>
        </w:tc>
        <w:tc>
          <w:tcPr>
            <w:tcW w:w="1201" w:type="pct"/>
            <w:tcBorders>
              <w:bottom w:val="single" w:color="000000" w:sz="8" w:space="0"/>
            </w:tcBorders>
            <w:vAlign w:val="center"/>
          </w:tcPr>
          <w:p w14:paraId="632B0C14">
            <w:pPr>
              <w:adjustRightInd w:val="0"/>
              <w:snapToGrid w:val="0"/>
              <w:jc w:val="center"/>
              <w:rPr>
                <w:color w:val="auto"/>
                <w:kern w:val="0"/>
                <w:szCs w:val="21"/>
                <w:u w:val="single"/>
              </w:rPr>
            </w:pPr>
            <w:r>
              <w:rPr>
                <w:color w:val="auto"/>
                <w:szCs w:val="21"/>
                <w:u w:val="single"/>
              </w:rPr>
              <w:t>/</w:t>
            </w:r>
          </w:p>
        </w:tc>
      </w:tr>
      <w:tr w14:paraId="75683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Merge w:val="continue"/>
            <w:vAlign w:val="center"/>
          </w:tcPr>
          <w:p w14:paraId="64210DED">
            <w:pPr>
              <w:adjustRightInd w:val="0"/>
              <w:snapToGrid w:val="0"/>
              <w:jc w:val="center"/>
              <w:rPr>
                <w:color w:val="auto"/>
                <w:szCs w:val="21"/>
                <w:u w:val="single"/>
              </w:rPr>
            </w:pPr>
          </w:p>
        </w:tc>
        <w:tc>
          <w:tcPr>
            <w:tcW w:w="1008" w:type="pct"/>
            <w:vAlign w:val="center"/>
          </w:tcPr>
          <w:p w14:paraId="63202013">
            <w:pPr>
              <w:autoSpaceDE w:val="0"/>
              <w:autoSpaceDN w:val="0"/>
              <w:spacing w:line="360" w:lineRule="exact"/>
              <w:jc w:val="center"/>
              <w:rPr>
                <w:color w:val="auto"/>
                <w:szCs w:val="21"/>
                <w:highlight w:val="red"/>
                <w:u w:val="single"/>
              </w:rPr>
            </w:pPr>
          </w:p>
        </w:tc>
        <w:tc>
          <w:tcPr>
            <w:tcW w:w="821" w:type="pct"/>
            <w:vAlign w:val="center"/>
          </w:tcPr>
          <w:p w14:paraId="627B7714">
            <w:pPr>
              <w:autoSpaceDE w:val="0"/>
              <w:autoSpaceDN w:val="0"/>
              <w:spacing w:line="360" w:lineRule="exact"/>
              <w:jc w:val="center"/>
              <w:rPr>
                <w:color w:val="auto"/>
                <w:szCs w:val="21"/>
                <w:highlight w:val="red"/>
                <w:u w:val="single"/>
              </w:rPr>
            </w:pPr>
          </w:p>
        </w:tc>
        <w:tc>
          <w:tcPr>
            <w:tcW w:w="1183" w:type="pct"/>
            <w:tcBorders>
              <w:top w:val="single" w:color="000000" w:sz="8" w:space="0"/>
              <w:bottom w:val="single" w:color="000000" w:sz="8" w:space="0"/>
            </w:tcBorders>
            <w:vAlign w:val="center"/>
          </w:tcPr>
          <w:p w14:paraId="359435F9">
            <w:pPr>
              <w:autoSpaceDE w:val="0"/>
              <w:autoSpaceDN w:val="0"/>
              <w:spacing w:line="360" w:lineRule="exact"/>
              <w:jc w:val="center"/>
              <w:rPr>
                <w:color w:val="auto"/>
                <w:szCs w:val="21"/>
                <w:u w:val="single"/>
              </w:rPr>
            </w:pPr>
            <w:r>
              <w:rPr>
                <w:color w:val="auto"/>
                <w:szCs w:val="21"/>
                <w:u w:val="single"/>
              </w:rPr>
              <w:t>/</w:t>
            </w:r>
          </w:p>
        </w:tc>
        <w:tc>
          <w:tcPr>
            <w:tcW w:w="1201" w:type="pct"/>
            <w:tcBorders>
              <w:top w:val="single" w:color="000000" w:sz="8" w:space="0"/>
            </w:tcBorders>
            <w:vAlign w:val="center"/>
          </w:tcPr>
          <w:p w14:paraId="11E76707">
            <w:pPr>
              <w:autoSpaceDE w:val="0"/>
              <w:autoSpaceDN w:val="0"/>
              <w:spacing w:line="360" w:lineRule="exact"/>
              <w:jc w:val="center"/>
              <w:rPr>
                <w:color w:val="auto"/>
                <w:kern w:val="0"/>
                <w:szCs w:val="21"/>
                <w:u w:val="single"/>
              </w:rPr>
            </w:pPr>
            <w:r>
              <w:rPr>
                <w:color w:val="auto"/>
                <w:szCs w:val="21"/>
                <w:u w:val="single"/>
              </w:rPr>
              <w:t>/</w:t>
            </w:r>
          </w:p>
        </w:tc>
      </w:tr>
      <w:tr w14:paraId="578AE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5" w:type="pct"/>
            <w:vAlign w:val="center"/>
          </w:tcPr>
          <w:p w14:paraId="3AC553C7">
            <w:pPr>
              <w:adjustRightInd w:val="0"/>
              <w:snapToGrid w:val="0"/>
              <w:jc w:val="center"/>
              <w:rPr>
                <w:color w:val="auto"/>
                <w:szCs w:val="21"/>
                <w:u w:val="single"/>
              </w:rPr>
            </w:pPr>
            <w:r>
              <w:rPr>
                <w:color w:val="auto"/>
                <w:szCs w:val="21"/>
                <w:u w:val="single"/>
              </w:rPr>
              <w:t>其他</w:t>
            </w:r>
          </w:p>
        </w:tc>
        <w:tc>
          <w:tcPr>
            <w:tcW w:w="1008" w:type="pct"/>
            <w:vAlign w:val="center"/>
          </w:tcPr>
          <w:p w14:paraId="3F2BD887">
            <w:pPr>
              <w:autoSpaceDE w:val="0"/>
              <w:autoSpaceDN w:val="0"/>
              <w:spacing w:line="360" w:lineRule="exact"/>
              <w:jc w:val="center"/>
              <w:rPr>
                <w:color w:val="auto"/>
                <w:szCs w:val="21"/>
                <w:u w:val="single"/>
              </w:rPr>
            </w:pPr>
            <w:r>
              <w:rPr>
                <w:color w:val="auto"/>
                <w:szCs w:val="21"/>
                <w:u w:val="single"/>
              </w:rPr>
              <w:t>/</w:t>
            </w:r>
          </w:p>
        </w:tc>
        <w:tc>
          <w:tcPr>
            <w:tcW w:w="821" w:type="pct"/>
            <w:vAlign w:val="center"/>
          </w:tcPr>
          <w:p w14:paraId="101E87B7">
            <w:pPr>
              <w:autoSpaceDE w:val="0"/>
              <w:autoSpaceDN w:val="0"/>
              <w:spacing w:line="360" w:lineRule="exact"/>
              <w:jc w:val="center"/>
              <w:rPr>
                <w:color w:val="auto"/>
                <w:szCs w:val="21"/>
                <w:u w:val="single"/>
              </w:rPr>
            </w:pPr>
            <w:r>
              <w:rPr>
                <w:color w:val="auto"/>
                <w:szCs w:val="21"/>
                <w:u w:val="single"/>
              </w:rPr>
              <w:t>/</w:t>
            </w:r>
          </w:p>
        </w:tc>
        <w:tc>
          <w:tcPr>
            <w:tcW w:w="1183" w:type="pct"/>
            <w:tcBorders>
              <w:top w:val="single" w:color="000000" w:sz="8" w:space="0"/>
            </w:tcBorders>
            <w:vAlign w:val="center"/>
          </w:tcPr>
          <w:p w14:paraId="7E4934B2">
            <w:pPr>
              <w:autoSpaceDE w:val="0"/>
              <w:autoSpaceDN w:val="0"/>
              <w:spacing w:line="360" w:lineRule="exact"/>
              <w:jc w:val="center"/>
              <w:rPr>
                <w:color w:val="auto"/>
                <w:szCs w:val="21"/>
                <w:u w:val="single"/>
              </w:rPr>
            </w:pPr>
            <w:r>
              <w:rPr>
                <w:color w:val="auto"/>
                <w:szCs w:val="21"/>
                <w:u w:val="single"/>
              </w:rPr>
              <w:t>/</w:t>
            </w:r>
          </w:p>
        </w:tc>
        <w:tc>
          <w:tcPr>
            <w:tcW w:w="1201" w:type="pct"/>
            <w:vAlign w:val="center"/>
          </w:tcPr>
          <w:p w14:paraId="597779DD">
            <w:pPr>
              <w:autoSpaceDE w:val="0"/>
              <w:autoSpaceDN w:val="0"/>
              <w:spacing w:line="360" w:lineRule="exact"/>
              <w:jc w:val="center"/>
              <w:rPr>
                <w:color w:val="auto"/>
                <w:szCs w:val="21"/>
                <w:u w:val="single"/>
              </w:rPr>
            </w:pPr>
            <w:r>
              <w:rPr>
                <w:color w:val="auto"/>
                <w:szCs w:val="21"/>
                <w:u w:val="single"/>
              </w:rPr>
              <w:t>/</w:t>
            </w:r>
          </w:p>
        </w:tc>
      </w:tr>
    </w:tbl>
    <w:p w14:paraId="07DA34C0">
      <w:pPr>
        <w:rPr>
          <w:rFonts w:hint="eastAsia" w:ascii="黑体" w:hAnsi="黑体" w:eastAsia="黑体"/>
          <w:snapToGrid w:val="0"/>
          <w:color w:val="auto"/>
          <w:kern w:val="0"/>
          <w:sz w:val="30"/>
          <w:szCs w:val="30"/>
        </w:rPr>
      </w:pPr>
      <w:bookmarkStart w:id="85" w:name="_Toc23912"/>
      <w:bookmarkStart w:id="86" w:name="_Toc5646"/>
      <w:r>
        <w:rPr>
          <w:rFonts w:hint="eastAsia" w:ascii="黑体" w:hAnsi="黑体" w:eastAsia="黑体"/>
          <w:snapToGrid w:val="0"/>
          <w:color w:val="auto"/>
          <w:kern w:val="0"/>
          <w:sz w:val="30"/>
          <w:szCs w:val="30"/>
        </w:rPr>
        <w:br w:type="page"/>
      </w:r>
    </w:p>
    <w:p w14:paraId="592651B0">
      <w:pPr>
        <w:widowControl/>
        <w:spacing w:before="192" w:beforeLines="80" w:after="100" w:afterAutospacing="1"/>
        <w:jc w:val="center"/>
        <w:outlineLvl w:val="0"/>
        <w:rPr>
          <w:rFonts w:hint="eastAsia" w:ascii="黑体" w:hAnsi="黑体" w:eastAsia="黑体"/>
          <w:snapToGrid w:val="0"/>
          <w:color w:val="auto"/>
          <w:kern w:val="0"/>
          <w:sz w:val="30"/>
          <w:szCs w:val="30"/>
        </w:rPr>
      </w:pPr>
      <w:bookmarkStart w:id="87" w:name="_Toc23656"/>
      <w:r>
        <w:rPr>
          <w:rFonts w:hint="eastAsia" w:ascii="黑体" w:hAnsi="黑体" w:eastAsia="黑体"/>
          <w:snapToGrid w:val="0"/>
          <w:color w:val="auto"/>
          <w:kern w:val="0"/>
          <w:sz w:val="30"/>
          <w:szCs w:val="30"/>
        </w:rPr>
        <w:t>七、结论</w:t>
      </w:r>
      <w:bookmarkEnd w:id="85"/>
      <w:bookmarkEnd w:id="86"/>
      <w:bookmarkEnd w:id="87"/>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14:paraId="01B1D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14:paraId="2E189FA9">
            <w:pPr>
              <w:adjustRightInd w:val="0"/>
              <w:snapToGrid w:val="0"/>
              <w:spacing w:line="360" w:lineRule="auto"/>
              <w:ind w:firstLine="600" w:firstLineChars="250"/>
              <w:rPr>
                <w:rFonts w:hint="eastAsia" w:ascii="宋体" w:hAnsi="宋体" w:cs="宋体"/>
                <w:color w:val="auto"/>
                <w:szCs w:val="21"/>
              </w:rPr>
            </w:pPr>
            <w:r>
              <w:rPr>
                <w:rFonts w:hint="eastAsia" w:ascii="宋体" w:cs="宋体"/>
                <w:color w:val="auto"/>
                <w:sz w:val="24"/>
                <w:highlight w:val="none"/>
              </w:rPr>
              <w:t>综上所述，本项目的建设符合国家和地方产业政策，选址合理，没有明显的环境制约因素。所在区域环境质量较好，有一定的环境容量。项目</w:t>
            </w:r>
            <w:r>
              <w:rPr>
                <w:rFonts w:hint="eastAsia" w:ascii="宋体" w:cs="宋体"/>
                <w:color w:val="auto"/>
                <w:sz w:val="24"/>
              </w:rPr>
              <w:t>在营运过程中要充分落实完善好本评价提出的各项环保措施，有效地防治废气、废水、噪声及固体废物带来的污染和危害，确保各项污染物达到国家规定的排放标准，污染物对环境保护目标及周围环境影响较小。从环保的角度来说，君山区方台湖设施渔业水基项目（一期）建设是可行的。</w:t>
            </w:r>
          </w:p>
        </w:tc>
      </w:tr>
    </w:tbl>
    <w:p w14:paraId="1FA81E82">
      <w:pPr>
        <w:pStyle w:val="9"/>
        <w:rPr>
          <w:color w:val="auto"/>
        </w:rPr>
        <w:sectPr>
          <w:pgSz w:w="11907" w:h="16840"/>
          <w:pgMar w:top="1440" w:right="1797" w:bottom="1440" w:left="1797" w:header="851" w:footer="1077" w:gutter="0"/>
          <w:cols w:space="720" w:num="1"/>
          <w:docGrid w:linePitch="312" w:charSpace="0"/>
        </w:sectPr>
      </w:pPr>
    </w:p>
    <w:p w14:paraId="0FA7323B">
      <w:pPr>
        <w:adjustRightInd w:val="0"/>
        <w:snapToGrid w:val="0"/>
        <w:spacing w:line="360" w:lineRule="auto"/>
        <w:jc w:val="center"/>
        <w:rPr>
          <w:rFonts w:eastAsiaTheme="minorEastAsia"/>
          <w:b/>
          <w:color w:val="auto"/>
          <w:kern w:val="0"/>
          <w:sz w:val="52"/>
          <w:szCs w:val="52"/>
        </w:rPr>
      </w:pPr>
    </w:p>
    <w:p w14:paraId="1C3EB31D">
      <w:pPr>
        <w:adjustRightInd w:val="0"/>
        <w:snapToGrid w:val="0"/>
        <w:spacing w:line="360" w:lineRule="auto"/>
        <w:jc w:val="center"/>
        <w:rPr>
          <w:rFonts w:eastAsiaTheme="minorEastAsia"/>
          <w:b/>
          <w:color w:val="auto"/>
          <w:kern w:val="0"/>
          <w:sz w:val="24"/>
        </w:rPr>
      </w:pPr>
    </w:p>
    <w:p w14:paraId="2C6A236C">
      <w:pPr>
        <w:adjustRightInd w:val="0"/>
        <w:snapToGrid w:val="0"/>
        <w:spacing w:line="480" w:lineRule="auto"/>
        <w:jc w:val="center"/>
        <w:rPr>
          <w:rFonts w:eastAsiaTheme="minorEastAsia"/>
          <w:b/>
          <w:color w:val="auto"/>
          <w:kern w:val="0"/>
          <w:sz w:val="52"/>
          <w:szCs w:val="52"/>
        </w:rPr>
      </w:pPr>
      <w:bookmarkStart w:id="88" w:name="_Hlk76499524"/>
      <w:bookmarkStart w:id="89" w:name="_Hlk76499602"/>
      <w:r>
        <w:rPr>
          <w:rFonts w:hint="eastAsia" w:eastAsiaTheme="minorEastAsia"/>
          <w:b/>
          <w:color w:val="auto"/>
          <w:kern w:val="0"/>
          <w:sz w:val="52"/>
          <w:szCs w:val="52"/>
        </w:rPr>
        <w:t>君山区方台湖设施渔业水基项目</w:t>
      </w:r>
    </w:p>
    <w:p w14:paraId="7EDDAF70">
      <w:pPr>
        <w:adjustRightInd w:val="0"/>
        <w:snapToGrid w:val="0"/>
        <w:spacing w:line="480" w:lineRule="auto"/>
        <w:jc w:val="center"/>
        <w:rPr>
          <w:rFonts w:eastAsiaTheme="minorEastAsia"/>
          <w:b/>
          <w:color w:val="auto"/>
          <w:kern w:val="0"/>
          <w:sz w:val="52"/>
          <w:szCs w:val="52"/>
        </w:rPr>
      </w:pPr>
      <w:r>
        <w:rPr>
          <w:rFonts w:hint="eastAsia" w:eastAsiaTheme="minorEastAsia"/>
          <w:b/>
          <w:color w:val="auto"/>
          <w:kern w:val="0"/>
          <w:sz w:val="52"/>
          <w:szCs w:val="52"/>
        </w:rPr>
        <w:t>（一期）</w:t>
      </w:r>
    </w:p>
    <w:bookmarkEnd w:id="88"/>
    <w:p w14:paraId="19A0474A">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生</w:t>
      </w:r>
    </w:p>
    <w:p w14:paraId="34DB8F11">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态</w:t>
      </w:r>
    </w:p>
    <w:p w14:paraId="660C46F5">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影</w:t>
      </w:r>
    </w:p>
    <w:p w14:paraId="000AFF4C">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响</w:t>
      </w:r>
    </w:p>
    <w:p w14:paraId="40F0B55D">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专</w:t>
      </w:r>
    </w:p>
    <w:p w14:paraId="6D6A97CF">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项</w:t>
      </w:r>
    </w:p>
    <w:p w14:paraId="2D4EE4AD">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评</w:t>
      </w:r>
    </w:p>
    <w:p w14:paraId="46A779B8">
      <w:pPr>
        <w:adjustRightInd w:val="0"/>
        <w:snapToGrid w:val="0"/>
        <w:spacing w:line="360" w:lineRule="auto"/>
        <w:jc w:val="center"/>
        <w:rPr>
          <w:rFonts w:eastAsiaTheme="minorEastAsia"/>
          <w:b/>
          <w:color w:val="auto"/>
          <w:kern w:val="0"/>
          <w:sz w:val="52"/>
          <w:szCs w:val="52"/>
        </w:rPr>
      </w:pPr>
      <w:r>
        <w:rPr>
          <w:rFonts w:hint="eastAsia" w:eastAsiaTheme="minorEastAsia"/>
          <w:b/>
          <w:color w:val="auto"/>
          <w:kern w:val="0"/>
          <w:sz w:val="52"/>
          <w:szCs w:val="52"/>
        </w:rPr>
        <w:t>价</w:t>
      </w:r>
      <w:bookmarkEnd w:id="89"/>
      <w:bookmarkStart w:id="90" w:name="_Toc58927558"/>
    </w:p>
    <w:p w14:paraId="21F55C84">
      <w:pPr>
        <w:adjustRightInd w:val="0"/>
        <w:snapToGrid w:val="0"/>
        <w:spacing w:line="480" w:lineRule="auto"/>
        <w:jc w:val="center"/>
        <w:rPr>
          <w:rFonts w:eastAsiaTheme="minorEastAsia"/>
          <w:b/>
          <w:color w:val="auto"/>
          <w:kern w:val="0"/>
          <w:sz w:val="36"/>
          <w:szCs w:val="36"/>
        </w:rPr>
      </w:pPr>
    </w:p>
    <w:p w14:paraId="5CEAF12B">
      <w:pPr>
        <w:adjustRightInd w:val="0"/>
        <w:snapToGrid w:val="0"/>
        <w:spacing w:line="480" w:lineRule="auto"/>
        <w:jc w:val="center"/>
        <w:rPr>
          <w:rFonts w:eastAsiaTheme="minorEastAsia"/>
          <w:b/>
          <w:color w:val="auto"/>
          <w:kern w:val="0"/>
          <w:sz w:val="36"/>
          <w:szCs w:val="36"/>
        </w:rPr>
      </w:pPr>
      <w:r>
        <w:rPr>
          <w:rFonts w:hint="eastAsia" w:eastAsiaTheme="minorEastAsia"/>
          <w:b/>
          <w:color w:val="auto"/>
          <w:kern w:val="0"/>
          <w:sz w:val="36"/>
          <w:szCs w:val="36"/>
        </w:rPr>
        <w:t>二〇二五年十一月</w:t>
      </w:r>
    </w:p>
    <w:p w14:paraId="3C32E7D2">
      <w:pPr>
        <w:keepNext/>
        <w:keepLines/>
        <w:widowControl/>
        <w:adjustRightInd w:val="0"/>
        <w:snapToGrid w:val="0"/>
        <w:jc w:val="center"/>
        <w:rPr>
          <w:rFonts w:eastAsiaTheme="minorEastAsia"/>
          <w:b/>
          <w:color w:val="auto"/>
          <w:sz w:val="32"/>
        </w:rPr>
        <w:sectPr>
          <w:headerReference r:id="rId16" w:type="default"/>
          <w:footerReference r:id="rId17" w:type="default"/>
          <w:pgSz w:w="11907" w:h="16840"/>
          <w:pgMar w:top="1418" w:right="1803" w:bottom="1418" w:left="1803" w:header="851" w:footer="992" w:gutter="0"/>
          <w:cols w:space="720" w:num="1"/>
          <w:docGrid w:linePitch="312" w:charSpace="0"/>
        </w:sectPr>
      </w:pPr>
    </w:p>
    <w:p w14:paraId="07F43E08">
      <w:pPr>
        <w:adjustRightInd w:val="0"/>
        <w:snapToGrid w:val="0"/>
        <w:spacing w:line="360" w:lineRule="auto"/>
        <w:ind w:firstLine="723" w:firstLineChars="200"/>
        <w:jc w:val="center"/>
        <w:rPr>
          <w:bCs/>
          <w:color w:val="auto"/>
          <w:sz w:val="28"/>
          <w:szCs w:val="28"/>
        </w:rPr>
      </w:pPr>
      <w:r>
        <w:rPr>
          <w:b/>
          <w:color w:val="auto"/>
          <w:kern w:val="0"/>
          <w:sz w:val="36"/>
          <w:szCs w:val="36"/>
        </w:rPr>
        <w:t>目 录</w:t>
      </w:r>
      <w:r>
        <w:rPr>
          <w:bCs/>
          <w:color w:val="auto"/>
          <w:kern w:val="0"/>
          <w:sz w:val="28"/>
          <w:szCs w:val="28"/>
        </w:rPr>
        <w:fldChar w:fldCharType="begin"/>
      </w:r>
      <w:r>
        <w:rPr>
          <w:rStyle w:val="32"/>
          <w:bCs/>
          <w:color w:val="auto"/>
          <w:kern w:val="0"/>
          <w:sz w:val="28"/>
          <w:szCs w:val="28"/>
          <w:u w:val="none"/>
        </w:rPr>
        <w:instrText xml:space="preserve"> TOC \o "1-2" \h \z \u </w:instrText>
      </w:r>
      <w:r>
        <w:rPr>
          <w:bCs/>
          <w:color w:val="auto"/>
          <w:kern w:val="0"/>
          <w:sz w:val="28"/>
          <w:szCs w:val="28"/>
        </w:rPr>
        <w:fldChar w:fldCharType="separate"/>
      </w:r>
    </w:p>
    <w:p w14:paraId="3FFC6B1C">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"_Toc11562" </w:instrText>
      </w:r>
      <w:r>
        <w:rPr>
          <w:color w:val="auto"/>
        </w:rPr>
        <w:fldChar w:fldCharType="separate"/>
      </w:r>
      <w:r>
        <w:rPr>
          <w:rFonts w:ascii="Times New Roman" w:hAnsi="Times New Roman" w:cs="Times New Roman"/>
          <w:color w:val="auto"/>
          <w:sz w:val="28"/>
          <w:szCs w:val="28"/>
        </w:rPr>
        <w:t>前 言</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_Toc11562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91</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51A5DF79">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"_Toc30535" </w:instrText>
      </w:r>
      <w:r>
        <w:rPr>
          <w:color w:val="auto"/>
        </w:rPr>
        <w:fldChar w:fldCharType="separate"/>
      </w:r>
      <w:r>
        <w:rPr>
          <w:rFonts w:ascii="Times New Roman" w:hAnsi="Times New Roman" w:cs="Times New Roman"/>
          <w:color w:val="auto"/>
          <w:sz w:val="28"/>
          <w:szCs w:val="28"/>
          <w:lang w:val="en-US"/>
        </w:rPr>
        <w:t>1总则</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_Toc30535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92</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637AF7AD">
      <w:pPr>
        <w:pStyle w:val="21"/>
        <w:tabs>
          <w:tab w:val="right" w:leader="dot" w:pos="8301"/>
        </w:tabs>
        <w:rPr>
          <w:color w:val="auto"/>
          <w:sz w:val="28"/>
          <w:szCs w:val="28"/>
        </w:rPr>
      </w:pPr>
      <w:r>
        <w:rPr>
          <w:color w:val="auto"/>
        </w:rPr>
        <w:fldChar w:fldCharType="begin"/>
      </w:r>
      <w:r>
        <w:rPr>
          <w:color w:val="auto"/>
        </w:rPr>
        <w:instrText xml:space="preserve"> HYPERLINK \l "_Toc12915" </w:instrText>
      </w:r>
      <w:r>
        <w:rPr>
          <w:color w:val="auto"/>
        </w:rPr>
        <w:fldChar w:fldCharType="separate"/>
      </w:r>
      <w:r>
        <w:rPr>
          <w:color w:val="auto"/>
          <w:sz w:val="28"/>
          <w:szCs w:val="28"/>
        </w:rPr>
        <w:t>1.1编制依据</w:t>
      </w:r>
      <w:r>
        <w:rPr>
          <w:color w:val="auto"/>
          <w:sz w:val="28"/>
          <w:szCs w:val="28"/>
        </w:rPr>
        <w:tab/>
      </w:r>
      <w:r>
        <w:rPr>
          <w:color w:val="auto"/>
          <w:sz w:val="28"/>
          <w:szCs w:val="28"/>
        </w:rPr>
        <w:fldChar w:fldCharType="begin"/>
      </w:r>
      <w:r>
        <w:rPr>
          <w:color w:val="auto"/>
          <w:sz w:val="28"/>
          <w:szCs w:val="28"/>
        </w:rPr>
        <w:instrText xml:space="preserve"> PAGEREF _Toc12915 \h </w:instrText>
      </w:r>
      <w:r>
        <w:rPr>
          <w:color w:val="auto"/>
          <w:sz w:val="28"/>
          <w:szCs w:val="28"/>
        </w:rPr>
        <w:fldChar w:fldCharType="separate"/>
      </w:r>
      <w:r>
        <w:rPr>
          <w:color w:val="auto"/>
          <w:sz w:val="28"/>
          <w:szCs w:val="28"/>
        </w:rPr>
        <w:t>92</w:t>
      </w:r>
      <w:r>
        <w:rPr>
          <w:color w:val="auto"/>
          <w:sz w:val="28"/>
          <w:szCs w:val="28"/>
        </w:rPr>
        <w:fldChar w:fldCharType="end"/>
      </w:r>
      <w:r>
        <w:rPr>
          <w:color w:val="auto"/>
          <w:sz w:val="28"/>
          <w:szCs w:val="28"/>
        </w:rPr>
        <w:fldChar w:fldCharType="end"/>
      </w:r>
    </w:p>
    <w:p w14:paraId="7F7C9610">
      <w:pPr>
        <w:pStyle w:val="21"/>
        <w:tabs>
          <w:tab w:val="right" w:leader="dot" w:pos="8301"/>
        </w:tabs>
        <w:rPr>
          <w:color w:val="auto"/>
          <w:sz w:val="28"/>
          <w:szCs w:val="28"/>
        </w:rPr>
      </w:pPr>
      <w:r>
        <w:rPr>
          <w:color w:val="auto"/>
        </w:rPr>
        <w:fldChar w:fldCharType="begin"/>
      </w:r>
      <w:r>
        <w:rPr>
          <w:color w:val="auto"/>
        </w:rPr>
        <w:instrText xml:space="preserve"> HYPERLINK \l "_Toc2133" </w:instrText>
      </w:r>
      <w:r>
        <w:rPr>
          <w:color w:val="auto"/>
        </w:rPr>
        <w:fldChar w:fldCharType="separate"/>
      </w:r>
      <w:r>
        <w:rPr>
          <w:color w:val="auto"/>
          <w:sz w:val="28"/>
          <w:szCs w:val="28"/>
        </w:rPr>
        <w:t>1.2评价原则</w:t>
      </w:r>
      <w:r>
        <w:rPr>
          <w:color w:val="auto"/>
          <w:sz w:val="28"/>
          <w:szCs w:val="28"/>
        </w:rPr>
        <w:tab/>
      </w:r>
      <w:r>
        <w:rPr>
          <w:color w:val="auto"/>
          <w:sz w:val="28"/>
          <w:szCs w:val="28"/>
        </w:rPr>
        <w:fldChar w:fldCharType="begin"/>
      </w:r>
      <w:r>
        <w:rPr>
          <w:color w:val="auto"/>
          <w:sz w:val="28"/>
          <w:szCs w:val="28"/>
        </w:rPr>
        <w:instrText xml:space="preserve"> PAGEREF _Toc2133 \h </w:instrText>
      </w:r>
      <w:r>
        <w:rPr>
          <w:color w:val="auto"/>
          <w:sz w:val="28"/>
          <w:szCs w:val="28"/>
        </w:rPr>
        <w:fldChar w:fldCharType="separate"/>
      </w:r>
      <w:r>
        <w:rPr>
          <w:color w:val="auto"/>
          <w:sz w:val="28"/>
          <w:szCs w:val="28"/>
        </w:rPr>
        <w:t>94</w:t>
      </w:r>
      <w:r>
        <w:rPr>
          <w:color w:val="auto"/>
          <w:sz w:val="28"/>
          <w:szCs w:val="28"/>
        </w:rPr>
        <w:fldChar w:fldCharType="end"/>
      </w:r>
      <w:r>
        <w:rPr>
          <w:color w:val="auto"/>
          <w:sz w:val="28"/>
          <w:szCs w:val="28"/>
        </w:rPr>
        <w:fldChar w:fldCharType="end"/>
      </w:r>
    </w:p>
    <w:p w14:paraId="6995EB6E">
      <w:pPr>
        <w:pStyle w:val="21"/>
        <w:tabs>
          <w:tab w:val="right" w:leader="dot" w:pos="8301"/>
        </w:tabs>
        <w:rPr>
          <w:color w:val="auto"/>
          <w:sz w:val="28"/>
          <w:szCs w:val="28"/>
        </w:rPr>
      </w:pPr>
      <w:r>
        <w:rPr>
          <w:color w:val="auto"/>
        </w:rPr>
        <w:fldChar w:fldCharType="begin"/>
      </w:r>
      <w:r>
        <w:rPr>
          <w:color w:val="auto"/>
        </w:rPr>
        <w:instrText xml:space="preserve"> HYPERLINK \l "_Toc13492" </w:instrText>
      </w:r>
      <w:r>
        <w:rPr>
          <w:color w:val="auto"/>
        </w:rPr>
        <w:fldChar w:fldCharType="separate"/>
      </w:r>
      <w:r>
        <w:rPr>
          <w:color w:val="auto"/>
          <w:sz w:val="28"/>
          <w:szCs w:val="28"/>
        </w:rPr>
        <w:t>1.3评价工作等级</w:t>
      </w:r>
      <w:r>
        <w:rPr>
          <w:color w:val="auto"/>
          <w:sz w:val="28"/>
          <w:szCs w:val="28"/>
        </w:rPr>
        <w:tab/>
      </w:r>
      <w:r>
        <w:rPr>
          <w:color w:val="auto"/>
          <w:sz w:val="28"/>
          <w:szCs w:val="28"/>
        </w:rPr>
        <w:fldChar w:fldCharType="begin"/>
      </w:r>
      <w:r>
        <w:rPr>
          <w:color w:val="auto"/>
          <w:sz w:val="28"/>
          <w:szCs w:val="28"/>
        </w:rPr>
        <w:instrText xml:space="preserve"> PAGEREF _Toc13492 \h </w:instrText>
      </w:r>
      <w:r>
        <w:rPr>
          <w:color w:val="auto"/>
          <w:sz w:val="28"/>
          <w:szCs w:val="28"/>
        </w:rPr>
        <w:fldChar w:fldCharType="separate"/>
      </w:r>
      <w:r>
        <w:rPr>
          <w:color w:val="auto"/>
          <w:sz w:val="28"/>
          <w:szCs w:val="28"/>
        </w:rPr>
        <w:t>95</w:t>
      </w:r>
      <w:r>
        <w:rPr>
          <w:color w:val="auto"/>
          <w:sz w:val="28"/>
          <w:szCs w:val="28"/>
        </w:rPr>
        <w:fldChar w:fldCharType="end"/>
      </w:r>
      <w:r>
        <w:rPr>
          <w:color w:val="auto"/>
          <w:sz w:val="28"/>
          <w:szCs w:val="28"/>
        </w:rPr>
        <w:fldChar w:fldCharType="end"/>
      </w:r>
    </w:p>
    <w:p w14:paraId="3775D279">
      <w:pPr>
        <w:pStyle w:val="21"/>
        <w:tabs>
          <w:tab w:val="right" w:leader="dot" w:pos="8301"/>
        </w:tabs>
        <w:rPr>
          <w:color w:val="auto"/>
          <w:sz w:val="28"/>
          <w:szCs w:val="28"/>
        </w:rPr>
      </w:pPr>
      <w:r>
        <w:rPr>
          <w:color w:val="auto"/>
        </w:rPr>
        <w:fldChar w:fldCharType="begin"/>
      </w:r>
      <w:r>
        <w:rPr>
          <w:color w:val="auto"/>
        </w:rPr>
        <w:instrText xml:space="preserve"> HYPERLINK \l "_Toc6387" </w:instrText>
      </w:r>
      <w:r>
        <w:rPr>
          <w:color w:val="auto"/>
        </w:rPr>
        <w:fldChar w:fldCharType="separate"/>
      </w:r>
      <w:r>
        <w:rPr>
          <w:color w:val="auto"/>
          <w:sz w:val="28"/>
          <w:szCs w:val="28"/>
        </w:rPr>
        <w:t>1.4评价范围与评价时段</w:t>
      </w:r>
      <w:r>
        <w:rPr>
          <w:color w:val="auto"/>
          <w:sz w:val="28"/>
          <w:szCs w:val="28"/>
        </w:rPr>
        <w:tab/>
      </w:r>
      <w:r>
        <w:rPr>
          <w:color w:val="auto"/>
          <w:sz w:val="28"/>
          <w:szCs w:val="28"/>
        </w:rPr>
        <w:fldChar w:fldCharType="begin"/>
      </w:r>
      <w:r>
        <w:rPr>
          <w:color w:val="auto"/>
          <w:sz w:val="28"/>
          <w:szCs w:val="28"/>
        </w:rPr>
        <w:instrText xml:space="preserve"> PAGEREF _Toc6387 \h </w:instrText>
      </w:r>
      <w:r>
        <w:rPr>
          <w:color w:val="auto"/>
          <w:sz w:val="28"/>
          <w:szCs w:val="28"/>
        </w:rPr>
        <w:fldChar w:fldCharType="separate"/>
      </w:r>
      <w:r>
        <w:rPr>
          <w:color w:val="auto"/>
          <w:sz w:val="28"/>
          <w:szCs w:val="28"/>
        </w:rPr>
        <w:t>95</w:t>
      </w:r>
      <w:r>
        <w:rPr>
          <w:color w:val="auto"/>
          <w:sz w:val="28"/>
          <w:szCs w:val="28"/>
        </w:rPr>
        <w:fldChar w:fldCharType="end"/>
      </w:r>
      <w:r>
        <w:rPr>
          <w:color w:val="auto"/>
          <w:sz w:val="28"/>
          <w:szCs w:val="28"/>
        </w:rPr>
        <w:fldChar w:fldCharType="end"/>
      </w:r>
    </w:p>
    <w:p w14:paraId="3E183AEF">
      <w:pPr>
        <w:pStyle w:val="21"/>
        <w:tabs>
          <w:tab w:val="right" w:leader="dot" w:pos="8301"/>
        </w:tabs>
        <w:rPr>
          <w:color w:val="auto"/>
          <w:sz w:val="28"/>
          <w:szCs w:val="28"/>
        </w:rPr>
      </w:pPr>
      <w:r>
        <w:rPr>
          <w:color w:val="auto"/>
        </w:rPr>
        <w:fldChar w:fldCharType="begin"/>
      </w:r>
      <w:r>
        <w:rPr>
          <w:color w:val="auto"/>
        </w:rPr>
        <w:instrText xml:space="preserve"> HYPERLINK \l "_Toc5581" </w:instrText>
      </w:r>
      <w:r>
        <w:rPr>
          <w:color w:val="auto"/>
        </w:rPr>
        <w:fldChar w:fldCharType="separate"/>
      </w:r>
      <w:r>
        <w:rPr>
          <w:color w:val="auto"/>
          <w:sz w:val="28"/>
          <w:szCs w:val="28"/>
        </w:rPr>
        <w:t>1.5生态敏感点与保护目标</w:t>
      </w:r>
      <w:r>
        <w:rPr>
          <w:color w:val="auto"/>
          <w:sz w:val="28"/>
          <w:szCs w:val="28"/>
        </w:rPr>
        <w:tab/>
      </w:r>
      <w:r>
        <w:rPr>
          <w:color w:val="auto"/>
          <w:sz w:val="28"/>
          <w:szCs w:val="28"/>
        </w:rPr>
        <w:fldChar w:fldCharType="begin"/>
      </w:r>
      <w:r>
        <w:rPr>
          <w:color w:val="auto"/>
          <w:sz w:val="28"/>
          <w:szCs w:val="28"/>
        </w:rPr>
        <w:instrText xml:space="preserve"> PAGEREF _Toc5581 \h </w:instrText>
      </w:r>
      <w:r>
        <w:rPr>
          <w:color w:val="auto"/>
          <w:sz w:val="28"/>
          <w:szCs w:val="28"/>
        </w:rPr>
        <w:fldChar w:fldCharType="separate"/>
      </w:r>
      <w:r>
        <w:rPr>
          <w:color w:val="auto"/>
          <w:sz w:val="28"/>
          <w:szCs w:val="28"/>
        </w:rPr>
        <w:t>96</w:t>
      </w:r>
      <w:r>
        <w:rPr>
          <w:color w:val="auto"/>
          <w:sz w:val="28"/>
          <w:szCs w:val="28"/>
        </w:rPr>
        <w:fldChar w:fldCharType="end"/>
      </w:r>
      <w:r>
        <w:rPr>
          <w:color w:val="auto"/>
          <w:sz w:val="28"/>
          <w:szCs w:val="28"/>
        </w:rPr>
        <w:fldChar w:fldCharType="end"/>
      </w:r>
    </w:p>
    <w:p w14:paraId="4299A789">
      <w:pPr>
        <w:pStyle w:val="21"/>
        <w:tabs>
          <w:tab w:val="right" w:leader="dot" w:pos="8301"/>
        </w:tabs>
        <w:rPr>
          <w:color w:val="auto"/>
          <w:sz w:val="28"/>
          <w:szCs w:val="28"/>
        </w:rPr>
      </w:pPr>
      <w:r>
        <w:rPr>
          <w:color w:val="auto"/>
        </w:rPr>
        <w:fldChar w:fldCharType="begin"/>
      </w:r>
      <w:r>
        <w:rPr>
          <w:color w:val="auto"/>
        </w:rPr>
        <w:instrText xml:space="preserve"> HYPERLINK \l "_Toc12651" </w:instrText>
      </w:r>
      <w:r>
        <w:rPr>
          <w:color w:val="auto"/>
        </w:rPr>
        <w:fldChar w:fldCharType="separate"/>
      </w:r>
      <w:r>
        <w:rPr>
          <w:color w:val="auto"/>
          <w:sz w:val="28"/>
          <w:szCs w:val="28"/>
        </w:rPr>
        <w:t>1.6评价内容</w:t>
      </w:r>
      <w:r>
        <w:rPr>
          <w:color w:val="auto"/>
          <w:sz w:val="28"/>
          <w:szCs w:val="28"/>
        </w:rPr>
        <w:tab/>
      </w:r>
      <w:r>
        <w:rPr>
          <w:color w:val="auto"/>
          <w:sz w:val="28"/>
          <w:szCs w:val="28"/>
        </w:rPr>
        <w:fldChar w:fldCharType="begin"/>
      </w:r>
      <w:r>
        <w:rPr>
          <w:color w:val="auto"/>
          <w:sz w:val="28"/>
          <w:szCs w:val="28"/>
        </w:rPr>
        <w:instrText xml:space="preserve"> PAGEREF _Toc12651 \h </w:instrText>
      </w:r>
      <w:r>
        <w:rPr>
          <w:color w:val="auto"/>
          <w:sz w:val="28"/>
          <w:szCs w:val="28"/>
        </w:rPr>
        <w:fldChar w:fldCharType="separate"/>
      </w:r>
      <w:r>
        <w:rPr>
          <w:color w:val="auto"/>
          <w:sz w:val="28"/>
          <w:szCs w:val="28"/>
        </w:rPr>
        <w:t>98</w:t>
      </w:r>
      <w:r>
        <w:rPr>
          <w:color w:val="auto"/>
          <w:sz w:val="28"/>
          <w:szCs w:val="28"/>
        </w:rPr>
        <w:fldChar w:fldCharType="end"/>
      </w:r>
      <w:r>
        <w:rPr>
          <w:color w:val="auto"/>
          <w:sz w:val="28"/>
          <w:szCs w:val="28"/>
        </w:rPr>
        <w:fldChar w:fldCharType="end"/>
      </w:r>
    </w:p>
    <w:p w14:paraId="1BBCFBE7">
      <w:pPr>
        <w:pStyle w:val="21"/>
        <w:tabs>
          <w:tab w:val="right" w:leader="dot" w:pos="8301"/>
        </w:tabs>
        <w:rPr>
          <w:color w:val="auto"/>
          <w:sz w:val="28"/>
          <w:szCs w:val="28"/>
        </w:rPr>
      </w:pPr>
      <w:r>
        <w:rPr>
          <w:color w:val="auto"/>
        </w:rPr>
        <w:fldChar w:fldCharType="begin"/>
      </w:r>
      <w:r>
        <w:rPr>
          <w:color w:val="auto"/>
        </w:rPr>
        <w:instrText xml:space="preserve"> HYPERLINK \l "_Toc15167" </w:instrText>
      </w:r>
      <w:r>
        <w:rPr>
          <w:color w:val="auto"/>
        </w:rPr>
        <w:fldChar w:fldCharType="separate"/>
      </w:r>
      <w:r>
        <w:rPr>
          <w:color w:val="auto"/>
          <w:sz w:val="28"/>
          <w:szCs w:val="28"/>
        </w:rPr>
        <w:t>1.7生态影响评价技术路线</w:t>
      </w:r>
      <w:r>
        <w:rPr>
          <w:color w:val="auto"/>
          <w:sz w:val="28"/>
          <w:szCs w:val="28"/>
        </w:rPr>
        <w:tab/>
      </w:r>
      <w:r>
        <w:rPr>
          <w:color w:val="auto"/>
          <w:sz w:val="28"/>
          <w:szCs w:val="28"/>
        </w:rPr>
        <w:fldChar w:fldCharType="begin"/>
      </w:r>
      <w:r>
        <w:rPr>
          <w:color w:val="auto"/>
          <w:sz w:val="28"/>
          <w:szCs w:val="28"/>
        </w:rPr>
        <w:instrText xml:space="preserve"> PAGEREF _Toc15167 \h </w:instrText>
      </w:r>
      <w:r>
        <w:rPr>
          <w:color w:val="auto"/>
          <w:sz w:val="28"/>
          <w:szCs w:val="28"/>
        </w:rPr>
        <w:fldChar w:fldCharType="separate"/>
      </w:r>
      <w:r>
        <w:rPr>
          <w:color w:val="auto"/>
          <w:sz w:val="28"/>
          <w:szCs w:val="28"/>
        </w:rPr>
        <w:t>99</w:t>
      </w:r>
      <w:r>
        <w:rPr>
          <w:color w:val="auto"/>
          <w:sz w:val="28"/>
          <w:szCs w:val="28"/>
        </w:rPr>
        <w:fldChar w:fldCharType="end"/>
      </w:r>
      <w:r>
        <w:rPr>
          <w:color w:val="auto"/>
          <w:sz w:val="28"/>
          <w:szCs w:val="28"/>
        </w:rPr>
        <w:fldChar w:fldCharType="end"/>
      </w:r>
    </w:p>
    <w:p w14:paraId="3C188B2F">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"_Toc3623" </w:instrText>
      </w:r>
      <w:r>
        <w:rPr>
          <w:color w:val="auto"/>
        </w:rPr>
        <w:fldChar w:fldCharType="separate"/>
      </w:r>
      <w:r>
        <w:rPr>
          <w:rFonts w:ascii="Times New Roman" w:hAnsi="Times New Roman" w:cs="Times New Roman"/>
          <w:color w:val="auto"/>
          <w:sz w:val="28"/>
          <w:szCs w:val="28"/>
          <w:lang w:val="en-US"/>
        </w:rPr>
        <w:t>2</w:t>
      </w:r>
      <w:r>
        <w:rPr>
          <w:rFonts w:ascii="Times New Roman" w:hAnsi="Times New Roman" w:cs="Times New Roman"/>
          <w:color w:val="auto"/>
          <w:sz w:val="28"/>
          <w:szCs w:val="28"/>
        </w:rPr>
        <w:t>建设项目概况</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_Toc3623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100</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14A061BE">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"_Toc28918" </w:instrText>
      </w:r>
      <w:r>
        <w:rPr>
          <w:color w:val="auto"/>
        </w:rPr>
        <w:fldChar w:fldCharType="separate"/>
      </w:r>
      <w:r>
        <w:rPr>
          <w:rFonts w:ascii="Times New Roman" w:hAnsi="Times New Roman" w:cs="Times New Roman"/>
          <w:color w:val="auto"/>
          <w:sz w:val="28"/>
          <w:szCs w:val="28"/>
          <w:lang w:val="en-US"/>
        </w:rPr>
        <w:t>3生态环境现状与评价</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_Toc28918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101</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67D27D6E">
      <w:pPr>
        <w:pStyle w:val="21"/>
        <w:tabs>
          <w:tab w:val="right" w:leader="dot" w:pos="8301"/>
        </w:tabs>
        <w:rPr>
          <w:color w:val="auto"/>
          <w:sz w:val="28"/>
          <w:szCs w:val="28"/>
        </w:rPr>
      </w:pPr>
      <w:r>
        <w:rPr>
          <w:color w:val="auto"/>
        </w:rPr>
        <w:fldChar w:fldCharType="begin"/>
      </w:r>
      <w:r>
        <w:rPr>
          <w:color w:val="auto"/>
        </w:rPr>
        <w:instrText xml:space="preserve"> HYPERLINK \l "_Toc28646" </w:instrText>
      </w:r>
      <w:r>
        <w:rPr>
          <w:color w:val="auto"/>
        </w:rPr>
        <w:fldChar w:fldCharType="separate"/>
      </w:r>
      <w:r>
        <w:rPr>
          <w:color w:val="auto"/>
          <w:sz w:val="28"/>
          <w:szCs w:val="28"/>
        </w:rPr>
        <w:t>3.1生态功能定位</w:t>
      </w:r>
      <w:r>
        <w:rPr>
          <w:color w:val="auto"/>
          <w:sz w:val="28"/>
          <w:szCs w:val="28"/>
        </w:rPr>
        <w:tab/>
      </w:r>
      <w:r>
        <w:rPr>
          <w:color w:val="auto"/>
          <w:sz w:val="28"/>
          <w:szCs w:val="28"/>
        </w:rPr>
        <w:fldChar w:fldCharType="begin"/>
      </w:r>
      <w:r>
        <w:rPr>
          <w:color w:val="auto"/>
          <w:sz w:val="28"/>
          <w:szCs w:val="28"/>
        </w:rPr>
        <w:instrText xml:space="preserve"> PAGEREF _Toc28646 \h </w:instrText>
      </w:r>
      <w:r>
        <w:rPr>
          <w:color w:val="auto"/>
          <w:sz w:val="28"/>
          <w:szCs w:val="28"/>
        </w:rPr>
        <w:fldChar w:fldCharType="separate"/>
      </w:r>
      <w:r>
        <w:rPr>
          <w:color w:val="auto"/>
          <w:sz w:val="28"/>
          <w:szCs w:val="28"/>
        </w:rPr>
        <w:t>101</w:t>
      </w:r>
      <w:r>
        <w:rPr>
          <w:color w:val="auto"/>
          <w:sz w:val="28"/>
          <w:szCs w:val="28"/>
        </w:rPr>
        <w:fldChar w:fldCharType="end"/>
      </w:r>
      <w:r>
        <w:rPr>
          <w:color w:val="auto"/>
          <w:sz w:val="28"/>
          <w:szCs w:val="28"/>
        </w:rPr>
        <w:fldChar w:fldCharType="end"/>
      </w:r>
    </w:p>
    <w:p w14:paraId="1122C2C6">
      <w:pPr>
        <w:pStyle w:val="21"/>
        <w:tabs>
          <w:tab w:val="right" w:leader="dot" w:pos="8301"/>
        </w:tabs>
        <w:rPr>
          <w:color w:val="auto"/>
          <w:sz w:val="28"/>
          <w:szCs w:val="28"/>
        </w:rPr>
      </w:pPr>
      <w:r>
        <w:rPr>
          <w:color w:val="auto"/>
        </w:rPr>
        <w:fldChar w:fldCharType="begin"/>
      </w:r>
      <w:r>
        <w:rPr>
          <w:color w:val="auto"/>
        </w:rPr>
        <w:instrText xml:space="preserve"> HYPERLINK \l "_Toc3883" </w:instrText>
      </w:r>
      <w:r>
        <w:rPr>
          <w:color w:val="auto"/>
        </w:rPr>
        <w:fldChar w:fldCharType="separate"/>
      </w:r>
      <w:r>
        <w:rPr>
          <w:color w:val="auto"/>
          <w:sz w:val="28"/>
          <w:szCs w:val="28"/>
        </w:rPr>
        <w:t>3.2调查范围</w:t>
      </w:r>
      <w:r>
        <w:rPr>
          <w:color w:val="auto"/>
          <w:sz w:val="28"/>
          <w:szCs w:val="28"/>
        </w:rPr>
        <w:tab/>
      </w:r>
      <w:r>
        <w:rPr>
          <w:color w:val="auto"/>
          <w:sz w:val="28"/>
          <w:szCs w:val="28"/>
        </w:rPr>
        <w:fldChar w:fldCharType="begin"/>
      </w:r>
      <w:r>
        <w:rPr>
          <w:color w:val="auto"/>
          <w:sz w:val="28"/>
          <w:szCs w:val="28"/>
        </w:rPr>
        <w:instrText xml:space="preserve"> PAGEREF _Toc3883 \h </w:instrText>
      </w:r>
      <w:r>
        <w:rPr>
          <w:color w:val="auto"/>
          <w:sz w:val="28"/>
          <w:szCs w:val="28"/>
        </w:rPr>
        <w:fldChar w:fldCharType="separate"/>
      </w:r>
      <w:r>
        <w:rPr>
          <w:color w:val="auto"/>
          <w:sz w:val="28"/>
          <w:szCs w:val="28"/>
        </w:rPr>
        <w:t>102</w:t>
      </w:r>
      <w:r>
        <w:rPr>
          <w:color w:val="auto"/>
          <w:sz w:val="28"/>
          <w:szCs w:val="28"/>
        </w:rPr>
        <w:fldChar w:fldCharType="end"/>
      </w:r>
      <w:r>
        <w:rPr>
          <w:color w:val="auto"/>
          <w:sz w:val="28"/>
          <w:szCs w:val="28"/>
        </w:rPr>
        <w:fldChar w:fldCharType="end"/>
      </w:r>
    </w:p>
    <w:p w14:paraId="7D96E949">
      <w:pPr>
        <w:pStyle w:val="21"/>
        <w:tabs>
          <w:tab w:val="right" w:leader="dot" w:pos="8301"/>
        </w:tabs>
        <w:rPr>
          <w:color w:val="auto"/>
          <w:sz w:val="28"/>
          <w:szCs w:val="28"/>
        </w:rPr>
      </w:pPr>
      <w:r>
        <w:rPr>
          <w:color w:val="auto"/>
        </w:rPr>
        <w:fldChar w:fldCharType="begin"/>
      </w:r>
      <w:r>
        <w:rPr>
          <w:color w:val="auto"/>
        </w:rPr>
        <w:instrText xml:space="preserve"> HYPERLINK \l "_Toc26256" </w:instrText>
      </w:r>
      <w:r>
        <w:rPr>
          <w:color w:val="auto"/>
        </w:rPr>
        <w:fldChar w:fldCharType="separate"/>
      </w:r>
      <w:r>
        <w:rPr>
          <w:color w:val="auto"/>
          <w:sz w:val="28"/>
          <w:szCs w:val="28"/>
        </w:rPr>
        <w:t>3.3调查时间与样地样线设置</w:t>
      </w:r>
      <w:r>
        <w:rPr>
          <w:color w:val="auto"/>
          <w:sz w:val="28"/>
          <w:szCs w:val="28"/>
        </w:rPr>
        <w:tab/>
      </w:r>
      <w:r>
        <w:rPr>
          <w:color w:val="auto"/>
          <w:sz w:val="28"/>
          <w:szCs w:val="28"/>
        </w:rPr>
        <w:fldChar w:fldCharType="begin"/>
      </w:r>
      <w:r>
        <w:rPr>
          <w:color w:val="auto"/>
          <w:sz w:val="28"/>
          <w:szCs w:val="28"/>
        </w:rPr>
        <w:instrText xml:space="preserve"> PAGEREF _Toc26256 \h </w:instrText>
      </w:r>
      <w:r>
        <w:rPr>
          <w:color w:val="auto"/>
          <w:sz w:val="28"/>
          <w:szCs w:val="28"/>
        </w:rPr>
        <w:fldChar w:fldCharType="separate"/>
      </w:r>
      <w:r>
        <w:rPr>
          <w:color w:val="auto"/>
          <w:sz w:val="28"/>
          <w:szCs w:val="28"/>
        </w:rPr>
        <w:t>102</w:t>
      </w:r>
      <w:r>
        <w:rPr>
          <w:color w:val="auto"/>
          <w:sz w:val="28"/>
          <w:szCs w:val="28"/>
        </w:rPr>
        <w:fldChar w:fldCharType="end"/>
      </w:r>
      <w:r>
        <w:rPr>
          <w:color w:val="auto"/>
          <w:sz w:val="28"/>
          <w:szCs w:val="28"/>
        </w:rPr>
        <w:fldChar w:fldCharType="end"/>
      </w:r>
    </w:p>
    <w:p w14:paraId="2180A10A">
      <w:pPr>
        <w:pStyle w:val="21"/>
        <w:tabs>
          <w:tab w:val="right" w:leader="dot" w:pos="8301"/>
        </w:tabs>
        <w:rPr>
          <w:color w:val="auto"/>
          <w:sz w:val="28"/>
          <w:szCs w:val="28"/>
        </w:rPr>
      </w:pPr>
      <w:r>
        <w:rPr>
          <w:color w:val="auto"/>
        </w:rPr>
        <w:fldChar w:fldCharType="begin"/>
      </w:r>
      <w:r>
        <w:rPr>
          <w:color w:val="auto"/>
        </w:rPr>
        <w:instrText xml:space="preserve"> HYPERLINK \l "_Toc25715" </w:instrText>
      </w:r>
      <w:r>
        <w:rPr>
          <w:color w:val="auto"/>
        </w:rPr>
        <w:fldChar w:fldCharType="separate"/>
      </w:r>
      <w:r>
        <w:rPr>
          <w:color w:val="auto"/>
          <w:sz w:val="28"/>
          <w:szCs w:val="28"/>
        </w:rPr>
        <w:t>3.4土地利用现状调查</w:t>
      </w:r>
      <w:r>
        <w:rPr>
          <w:color w:val="auto"/>
          <w:sz w:val="28"/>
          <w:szCs w:val="28"/>
        </w:rPr>
        <w:tab/>
      </w:r>
      <w:r>
        <w:rPr>
          <w:color w:val="auto"/>
          <w:sz w:val="28"/>
          <w:szCs w:val="28"/>
        </w:rPr>
        <w:fldChar w:fldCharType="begin"/>
      </w:r>
      <w:r>
        <w:rPr>
          <w:color w:val="auto"/>
          <w:sz w:val="28"/>
          <w:szCs w:val="28"/>
        </w:rPr>
        <w:instrText xml:space="preserve"> PAGEREF _Toc25715 \h </w:instrText>
      </w:r>
      <w:r>
        <w:rPr>
          <w:color w:val="auto"/>
          <w:sz w:val="28"/>
          <w:szCs w:val="28"/>
        </w:rPr>
        <w:fldChar w:fldCharType="separate"/>
      </w:r>
      <w:r>
        <w:rPr>
          <w:color w:val="auto"/>
          <w:sz w:val="28"/>
          <w:szCs w:val="28"/>
        </w:rPr>
        <w:t>106</w:t>
      </w:r>
      <w:r>
        <w:rPr>
          <w:color w:val="auto"/>
          <w:sz w:val="28"/>
          <w:szCs w:val="28"/>
        </w:rPr>
        <w:fldChar w:fldCharType="end"/>
      </w:r>
      <w:r>
        <w:rPr>
          <w:color w:val="auto"/>
          <w:sz w:val="28"/>
          <w:szCs w:val="28"/>
        </w:rPr>
        <w:fldChar w:fldCharType="end"/>
      </w:r>
    </w:p>
    <w:p w14:paraId="5EAEB880">
      <w:pPr>
        <w:pStyle w:val="21"/>
        <w:tabs>
          <w:tab w:val="right" w:leader="dot" w:pos="8301"/>
        </w:tabs>
        <w:rPr>
          <w:color w:val="auto"/>
          <w:sz w:val="28"/>
          <w:szCs w:val="28"/>
        </w:rPr>
      </w:pPr>
      <w:r>
        <w:rPr>
          <w:color w:val="auto"/>
        </w:rPr>
        <w:fldChar w:fldCharType="begin"/>
      </w:r>
      <w:r>
        <w:rPr>
          <w:color w:val="auto"/>
        </w:rPr>
        <w:instrText xml:space="preserve"> HYPERLINK \l "_Toc13192" </w:instrText>
      </w:r>
      <w:r>
        <w:rPr>
          <w:color w:val="auto"/>
        </w:rPr>
        <w:fldChar w:fldCharType="separate"/>
      </w:r>
      <w:r>
        <w:rPr>
          <w:color w:val="auto"/>
          <w:sz w:val="28"/>
          <w:szCs w:val="28"/>
        </w:rPr>
        <w:t>3.5生态系统现状调查</w:t>
      </w:r>
      <w:r>
        <w:rPr>
          <w:color w:val="auto"/>
          <w:sz w:val="28"/>
          <w:szCs w:val="28"/>
        </w:rPr>
        <w:tab/>
      </w:r>
      <w:r>
        <w:rPr>
          <w:color w:val="auto"/>
          <w:sz w:val="28"/>
          <w:szCs w:val="28"/>
        </w:rPr>
        <w:fldChar w:fldCharType="begin"/>
      </w:r>
      <w:r>
        <w:rPr>
          <w:color w:val="auto"/>
          <w:sz w:val="28"/>
          <w:szCs w:val="28"/>
        </w:rPr>
        <w:instrText xml:space="preserve"> PAGEREF _Toc13192 \h </w:instrText>
      </w:r>
      <w:r>
        <w:rPr>
          <w:color w:val="auto"/>
          <w:sz w:val="28"/>
          <w:szCs w:val="28"/>
        </w:rPr>
        <w:fldChar w:fldCharType="separate"/>
      </w:r>
      <w:r>
        <w:rPr>
          <w:color w:val="auto"/>
          <w:sz w:val="28"/>
          <w:szCs w:val="28"/>
        </w:rPr>
        <w:t>106</w:t>
      </w:r>
      <w:r>
        <w:rPr>
          <w:color w:val="auto"/>
          <w:sz w:val="28"/>
          <w:szCs w:val="28"/>
        </w:rPr>
        <w:fldChar w:fldCharType="end"/>
      </w:r>
      <w:r>
        <w:rPr>
          <w:color w:val="auto"/>
          <w:sz w:val="28"/>
          <w:szCs w:val="28"/>
        </w:rPr>
        <w:fldChar w:fldCharType="end"/>
      </w:r>
    </w:p>
    <w:p w14:paraId="6FE8E55B">
      <w:pPr>
        <w:pStyle w:val="21"/>
        <w:tabs>
          <w:tab w:val="right" w:leader="dot" w:pos="8301"/>
        </w:tabs>
        <w:rPr>
          <w:color w:val="auto"/>
          <w:sz w:val="28"/>
          <w:szCs w:val="28"/>
        </w:rPr>
      </w:pPr>
      <w:r>
        <w:rPr>
          <w:color w:val="auto"/>
        </w:rPr>
        <w:fldChar w:fldCharType="begin"/>
      </w:r>
      <w:r>
        <w:rPr>
          <w:color w:val="auto"/>
        </w:rPr>
        <w:instrText xml:space="preserve"> HYPERLINK \l "_Toc11581" </w:instrText>
      </w:r>
      <w:r>
        <w:rPr>
          <w:color w:val="auto"/>
        </w:rPr>
        <w:fldChar w:fldCharType="separate"/>
      </w:r>
      <w:r>
        <w:rPr>
          <w:color w:val="auto"/>
          <w:sz w:val="28"/>
          <w:szCs w:val="28"/>
        </w:rPr>
        <w:t>3.6植被及植物多样性调查</w:t>
      </w:r>
      <w:r>
        <w:rPr>
          <w:color w:val="auto"/>
          <w:sz w:val="28"/>
          <w:szCs w:val="28"/>
        </w:rPr>
        <w:tab/>
      </w:r>
      <w:r>
        <w:rPr>
          <w:color w:val="auto"/>
          <w:sz w:val="28"/>
          <w:szCs w:val="28"/>
        </w:rPr>
        <w:fldChar w:fldCharType="begin"/>
      </w:r>
      <w:r>
        <w:rPr>
          <w:color w:val="auto"/>
          <w:sz w:val="28"/>
          <w:szCs w:val="28"/>
        </w:rPr>
        <w:instrText xml:space="preserve"> PAGEREF _Toc11581 \h </w:instrText>
      </w:r>
      <w:r>
        <w:rPr>
          <w:color w:val="auto"/>
          <w:sz w:val="28"/>
          <w:szCs w:val="28"/>
        </w:rPr>
        <w:fldChar w:fldCharType="separate"/>
      </w:r>
      <w:r>
        <w:rPr>
          <w:color w:val="auto"/>
          <w:sz w:val="28"/>
          <w:szCs w:val="28"/>
        </w:rPr>
        <w:t>109</w:t>
      </w:r>
      <w:r>
        <w:rPr>
          <w:color w:val="auto"/>
          <w:sz w:val="28"/>
          <w:szCs w:val="28"/>
        </w:rPr>
        <w:fldChar w:fldCharType="end"/>
      </w:r>
      <w:r>
        <w:rPr>
          <w:color w:val="auto"/>
          <w:sz w:val="28"/>
          <w:szCs w:val="28"/>
        </w:rPr>
        <w:fldChar w:fldCharType="end"/>
      </w:r>
    </w:p>
    <w:p w14:paraId="54B3D29D">
      <w:pPr>
        <w:pStyle w:val="21"/>
        <w:tabs>
          <w:tab w:val="right" w:leader="dot" w:pos="8301"/>
        </w:tabs>
        <w:rPr>
          <w:color w:val="auto"/>
          <w:sz w:val="28"/>
          <w:szCs w:val="28"/>
        </w:rPr>
      </w:pPr>
      <w:r>
        <w:rPr>
          <w:color w:val="auto"/>
        </w:rPr>
        <w:fldChar w:fldCharType="begin"/>
      </w:r>
      <w:r>
        <w:rPr>
          <w:color w:val="auto"/>
        </w:rPr>
        <w:instrText xml:space="preserve"> HYPERLINK \l "_Toc1969" </w:instrText>
      </w:r>
      <w:r>
        <w:rPr>
          <w:color w:val="auto"/>
        </w:rPr>
        <w:fldChar w:fldCharType="separate"/>
      </w:r>
      <w:r>
        <w:rPr>
          <w:color w:val="auto"/>
          <w:sz w:val="28"/>
          <w:szCs w:val="28"/>
        </w:rPr>
        <w:t>3.7动物多样性调查</w:t>
      </w:r>
      <w:r>
        <w:rPr>
          <w:color w:val="auto"/>
          <w:sz w:val="28"/>
          <w:szCs w:val="28"/>
        </w:rPr>
        <w:tab/>
      </w:r>
      <w:r>
        <w:rPr>
          <w:color w:val="auto"/>
          <w:sz w:val="28"/>
          <w:szCs w:val="28"/>
        </w:rPr>
        <w:fldChar w:fldCharType="begin"/>
      </w:r>
      <w:r>
        <w:rPr>
          <w:color w:val="auto"/>
          <w:sz w:val="28"/>
          <w:szCs w:val="28"/>
        </w:rPr>
        <w:instrText xml:space="preserve"> PAGEREF _Toc1969 \h </w:instrText>
      </w:r>
      <w:r>
        <w:rPr>
          <w:color w:val="auto"/>
          <w:sz w:val="28"/>
          <w:szCs w:val="28"/>
        </w:rPr>
        <w:fldChar w:fldCharType="separate"/>
      </w:r>
      <w:r>
        <w:rPr>
          <w:color w:val="auto"/>
          <w:sz w:val="28"/>
          <w:szCs w:val="28"/>
        </w:rPr>
        <w:t>111</w:t>
      </w:r>
      <w:r>
        <w:rPr>
          <w:color w:val="auto"/>
          <w:sz w:val="28"/>
          <w:szCs w:val="28"/>
        </w:rPr>
        <w:fldChar w:fldCharType="end"/>
      </w:r>
      <w:r>
        <w:rPr>
          <w:color w:val="auto"/>
          <w:sz w:val="28"/>
          <w:szCs w:val="28"/>
        </w:rPr>
        <w:fldChar w:fldCharType="end"/>
      </w:r>
    </w:p>
    <w:p w14:paraId="11A3A2EF">
      <w:pPr>
        <w:pStyle w:val="21"/>
        <w:tabs>
          <w:tab w:val="right" w:leader="dot" w:pos="8301"/>
        </w:tabs>
        <w:rPr>
          <w:color w:val="auto"/>
          <w:sz w:val="28"/>
          <w:szCs w:val="28"/>
        </w:rPr>
      </w:pPr>
      <w:r>
        <w:rPr>
          <w:color w:val="auto"/>
        </w:rPr>
        <w:fldChar w:fldCharType="begin"/>
      </w:r>
      <w:r>
        <w:rPr>
          <w:color w:val="auto"/>
        </w:rPr>
        <w:instrText xml:space="preserve"> HYPERLINK \l "_Toc27725" </w:instrText>
      </w:r>
      <w:r>
        <w:rPr>
          <w:color w:val="auto"/>
        </w:rPr>
        <w:fldChar w:fldCharType="separate"/>
      </w:r>
      <w:r>
        <w:rPr>
          <w:color w:val="auto"/>
          <w:sz w:val="28"/>
          <w:szCs w:val="28"/>
        </w:rPr>
        <w:t>3.8水生生物调查</w:t>
      </w:r>
      <w:r>
        <w:rPr>
          <w:color w:val="auto"/>
          <w:sz w:val="28"/>
          <w:szCs w:val="28"/>
        </w:rPr>
        <w:tab/>
      </w:r>
      <w:r>
        <w:rPr>
          <w:color w:val="auto"/>
          <w:sz w:val="28"/>
          <w:szCs w:val="28"/>
        </w:rPr>
        <w:fldChar w:fldCharType="begin"/>
      </w:r>
      <w:r>
        <w:rPr>
          <w:color w:val="auto"/>
          <w:sz w:val="28"/>
          <w:szCs w:val="28"/>
        </w:rPr>
        <w:instrText xml:space="preserve"> PAGEREF _Toc27725 \h </w:instrText>
      </w:r>
      <w:r>
        <w:rPr>
          <w:color w:val="auto"/>
          <w:sz w:val="28"/>
          <w:szCs w:val="28"/>
        </w:rPr>
        <w:fldChar w:fldCharType="separate"/>
      </w:r>
      <w:r>
        <w:rPr>
          <w:color w:val="auto"/>
          <w:sz w:val="28"/>
          <w:szCs w:val="28"/>
        </w:rPr>
        <w:t>121</w:t>
      </w:r>
      <w:r>
        <w:rPr>
          <w:color w:val="auto"/>
          <w:sz w:val="28"/>
          <w:szCs w:val="28"/>
        </w:rPr>
        <w:fldChar w:fldCharType="end"/>
      </w:r>
      <w:r>
        <w:rPr>
          <w:color w:val="auto"/>
          <w:sz w:val="28"/>
          <w:szCs w:val="28"/>
        </w:rPr>
        <w:fldChar w:fldCharType="end"/>
      </w:r>
    </w:p>
    <w:p w14:paraId="4DAE72C1">
      <w:pPr>
        <w:pStyle w:val="21"/>
        <w:tabs>
          <w:tab w:val="right" w:leader="dot" w:pos="8301"/>
        </w:tabs>
        <w:rPr>
          <w:color w:val="auto"/>
          <w:sz w:val="28"/>
          <w:szCs w:val="28"/>
        </w:rPr>
      </w:pPr>
      <w:r>
        <w:rPr>
          <w:color w:val="auto"/>
        </w:rPr>
        <w:fldChar w:fldCharType="begin"/>
      </w:r>
      <w:r>
        <w:rPr>
          <w:color w:val="auto"/>
        </w:rPr>
        <w:instrText xml:space="preserve"> HYPERLINK \l "_Toc17027" </w:instrText>
      </w:r>
      <w:r>
        <w:rPr>
          <w:color w:val="auto"/>
        </w:rPr>
        <w:fldChar w:fldCharType="separate"/>
      </w:r>
      <w:r>
        <w:rPr>
          <w:color w:val="auto"/>
          <w:sz w:val="28"/>
          <w:szCs w:val="28"/>
        </w:rPr>
        <w:t>3.9主要保护对象</w:t>
      </w:r>
      <w:r>
        <w:rPr>
          <w:color w:val="auto"/>
          <w:sz w:val="28"/>
          <w:szCs w:val="28"/>
        </w:rPr>
        <w:tab/>
      </w:r>
      <w:r>
        <w:rPr>
          <w:color w:val="auto"/>
          <w:sz w:val="28"/>
          <w:szCs w:val="28"/>
        </w:rPr>
        <w:fldChar w:fldCharType="begin"/>
      </w:r>
      <w:r>
        <w:rPr>
          <w:color w:val="auto"/>
          <w:sz w:val="28"/>
          <w:szCs w:val="28"/>
        </w:rPr>
        <w:instrText xml:space="preserve"> PAGEREF _Toc17027 \h </w:instrText>
      </w:r>
      <w:r>
        <w:rPr>
          <w:color w:val="auto"/>
          <w:sz w:val="28"/>
          <w:szCs w:val="28"/>
        </w:rPr>
        <w:fldChar w:fldCharType="separate"/>
      </w:r>
      <w:r>
        <w:rPr>
          <w:color w:val="auto"/>
          <w:sz w:val="28"/>
          <w:szCs w:val="28"/>
        </w:rPr>
        <w:t>135</w:t>
      </w:r>
      <w:r>
        <w:rPr>
          <w:color w:val="auto"/>
          <w:sz w:val="28"/>
          <w:szCs w:val="28"/>
        </w:rPr>
        <w:fldChar w:fldCharType="end"/>
      </w:r>
      <w:r>
        <w:rPr>
          <w:color w:val="auto"/>
          <w:sz w:val="28"/>
          <w:szCs w:val="28"/>
        </w:rPr>
        <w:fldChar w:fldCharType="end"/>
      </w:r>
    </w:p>
    <w:p w14:paraId="38753E57">
      <w:pPr>
        <w:pStyle w:val="21"/>
        <w:tabs>
          <w:tab w:val="right" w:leader="dot" w:pos="8301"/>
        </w:tabs>
        <w:rPr>
          <w:color w:val="auto"/>
          <w:sz w:val="28"/>
          <w:szCs w:val="28"/>
        </w:rPr>
      </w:pPr>
      <w:r>
        <w:rPr>
          <w:color w:val="auto"/>
        </w:rPr>
        <w:fldChar w:fldCharType="begin"/>
      </w:r>
      <w:r>
        <w:rPr>
          <w:color w:val="auto"/>
        </w:rPr>
        <w:instrText xml:space="preserve"> HYPERLINK \l "_Toc21489" </w:instrText>
      </w:r>
      <w:r>
        <w:rPr>
          <w:color w:val="auto"/>
        </w:rPr>
        <w:fldChar w:fldCharType="separate"/>
      </w:r>
      <w:r>
        <w:rPr>
          <w:color w:val="auto"/>
          <w:sz w:val="28"/>
          <w:szCs w:val="28"/>
        </w:rPr>
        <w:t>3.10水土流失现状</w:t>
      </w:r>
      <w:r>
        <w:rPr>
          <w:color w:val="auto"/>
          <w:sz w:val="28"/>
          <w:szCs w:val="28"/>
        </w:rPr>
        <w:tab/>
      </w:r>
      <w:r>
        <w:rPr>
          <w:color w:val="auto"/>
          <w:sz w:val="28"/>
          <w:szCs w:val="28"/>
        </w:rPr>
        <w:fldChar w:fldCharType="begin"/>
      </w:r>
      <w:r>
        <w:rPr>
          <w:color w:val="auto"/>
          <w:sz w:val="28"/>
          <w:szCs w:val="28"/>
        </w:rPr>
        <w:instrText xml:space="preserve"> PAGEREF _Toc21489 \h </w:instrText>
      </w:r>
      <w:r>
        <w:rPr>
          <w:color w:val="auto"/>
          <w:sz w:val="28"/>
          <w:szCs w:val="28"/>
        </w:rPr>
        <w:fldChar w:fldCharType="separate"/>
      </w:r>
      <w:r>
        <w:rPr>
          <w:color w:val="auto"/>
          <w:sz w:val="28"/>
          <w:szCs w:val="28"/>
        </w:rPr>
        <w:t>136</w:t>
      </w:r>
      <w:r>
        <w:rPr>
          <w:color w:val="auto"/>
          <w:sz w:val="28"/>
          <w:szCs w:val="28"/>
        </w:rPr>
        <w:fldChar w:fldCharType="end"/>
      </w:r>
      <w:r>
        <w:rPr>
          <w:color w:val="auto"/>
          <w:sz w:val="28"/>
          <w:szCs w:val="28"/>
        </w:rPr>
        <w:fldChar w:fldCharType="end"/>
      </w:r>
    </w:p>
    <w:p w14:paraId="04E55C7C">
      <w:pPr>
        <w:pStyle w:val="21"/>
        <w:tabs>
          <w:tab w:val="right" w:leader="dot" w:pos="8301"/>
        </w:tabs>
        <w:rPr>
          <w:color w:val="auto"/>
          <w:sz w:val="28"/>
          <w:szCs w:val="28"/>
        </w:rPr>
      </w:pPr>
      <w:r>
        <w:rPr>
          <w:color w:val="auto"/>
        </w:rPr>
        <w:fldChar w:fldCharType="begin"/>
      </w:r>
      <w:r>
        <w:rPr>
          <w:color w:val="auto"/>
        </w:rPr>
        <w:instrText xml:space="preserve"> HYPERLINK \l "_Toc17123" </w:instrText>
      </w:r>
      <w:r>
        <w:rPr>
          <w:color w:val="auto"/>
        </w:rPr>
        <w:fldChar w:fldCharType="separate"/>
      </w:r>
      <w:r>
        <w:rPr>
          <w:color w:val="auto"/>
          <w:sz w:val="28"/>
          <w:szCs w:val="28"/>
        </w:rPr>
        <w:t>3.10自然遗迹调查</w:t>
      </w:r>
      <w:r>
        <w:rPr>
          <w:color w:val="auto"/>
          <w:sz w:val="28"/>
          <w:szCs w:val="28"/>
        </w:rPr>
        <w:tab/>
      </w:r>
      <w:r>
        <w:rPr>
          <w:color w:val="auto"/>
          <w:sz w:val="28"/>
          <w:szCs w:val="28"/>
        </w:rPr>
        <w:fldChar w:fldCharType="begin"/>
      </w:r>
      <w:r>
        <w:rPr>
          <w:color w:val="auto"/>
          <w:sz w:val="28"/>
          <w:szCs w:val="28"/>
        </w:rPr>
        <w:instrText xml:space="preserve"> PAGEREF _Toc17123 \h </w:instrText>
      </w:r>
      <w:r>
        <w:rPr>
          <w:color w:val="auto"/>
          <w:sz w:val="28"/>
          <w:szCs w:val="28"/>
        </w:rPr>
        <w:fldChar w:fldCharType="separate"/>
      </w:r>
      <w:r>
        <w:rPr>
          <w:color w:val="auto"/>
          <w:sz w:val="28"/>
          <w:szCs w:val="28"/>
        </w:rPr>
        <w:t>136</w:t>
      </w:r>
      <w:r>
        <w:rPr>
          <w:color w:val="auto"/>
          <w:sz w:val="28"/>
          <w:szCs w:val="28"/>
        </w:rPr>
        <w:fldChar w:fldCharType="end"/>
      </w:r>
      <w:r>
        <w:rPr>
          <w:color w:val="auto"/>
          <w:sz w:val="28"/>
          <w:szCs w:val="28"/>
        </w:rPr>
        <w:fldChar w:fldCharType="end"/>
      </w:r>
    </w:p>
    <w:p w14:paraId="6E19C275">
      <w:pPr>
        <w:pStyle w:val="21"/>
        <w:tabs>
          <w:tab w:val="right" w:leader="dot" w:pos="8301"/>
        </w:tabs>
        <w:rPr>
          <w:color w:val="auto"/>
          <w:sz w:val="28"/>
          <w:szCs w:val="28"/>
        </w:rPr>
      </w:pPr>
      <w:r>
        <w:rPr>
          <w:color w:val="auto"/>
        </w:rPr>
        <w:fldChar w:fldCharType="begin"/>
      </w:r>
      <w:r>
        <w:rPr>
          <w:color w:val="auto"/>
        </w:rPr>
        <w:instrText xml:space="preserve"> HYPERLINK \l "_Toc11785" </w:instrText>
      </w:r>
      <w:r>
        <w:rPr>
          <w:color w:val="auto"/>
        </w:rPr>
        <w:fldChar w:fldCharType="separate"/>
      </w:r>
      <w:r>
        <w:rPr>
          <w:color w:val="auto"/>
          <w:sz w:val="28"/>
          <w:szCs w:val="28"/>
        </w:rPr>
        <w:t>3.11主要生态问题调查</w:t>
      </w:r>
      <w:r>
        <w:rPr>
          <w:color w:val="auto"/>
          <w:sz w:val="28"/>
          <w:szCs w:val="28"/>
        </w:rPr>
        <w:tab/>
      </w:r>
      <w:r>
        <w:rPr>
          <w:color w:val="auto"/>
          <w:sz w:val="28"/>
          <w:szCs w:val="28"/>
        </w:rPr>
        <w:fldChar w:fldCharType="begin"/>
      </w:r>
      <w:r>
        <w:rPr>
          <w:color w:val="auto"/>
          <w:sz w:val="28"/>
          <w:szCs w:val="28"/>
        </w:rPr>
        <w:instrText xml:space="preserve"> PAGEREF _Toc11785 \h </w:instrText>
      </w:r>
      <w:r>
        <w:rPr>
          <w:color w:val="auto"/>
          <w:sz w:val="28"/>
          <w:szCs w:val="28"/>
        </w:rPr>
        <w:fldChar w:fldCharType="separate"/>
      </w:r>
      <w:r>
        <w:rPr>
          <w:color w:val="auto"/>
          <w:sz w:val="28"/>
          <w:szCs w:val="28"/>
        </w:rPr>
        <w:t>137</w:t>
      </w:r>
      <w:r>
        <w:rPr>
          <w:color w:val="auto"/>
          <w:sz w:val="28"/>
          <w:szCs w:val="28"/>
        </w:rPr>
        <w:fldChar w:fldCharType="end"/>
      </w:r>
      <w:r>
        <w:rPr>
          <w:color w:val="auto"/>
          <w:sz w:val="28"/>
          <w:szCs w:val="28"/>
        </w:rPr>
        <w:fldChar w:fldCharType="end"/>
      </w:r>
    </w:p>
    <w:p w14:paraId="6D45F24B">
      <w:pPr>
        <w:pStyle w:val="21"/>
        <w:tabs>
          <w:tab w:val="right" w:leader="dot" w:pos="8301"/>
        </w:tabs>
        <w:rPr>
          <w:color w:val="auto"/>
          <w:sz w:val="28"/>
          <w:szCs w:val="28"/>
        </w:rPr>
      </w:pPr>
      <w:r>
        <w:rPr>
          <w:color w:val="auto"/>
        </w:rPr>
        <w:fldChar w:fldCharType="begin"/>
      </w:r>
      <w:r>
        <w:rPr>
          <w:color w:val="auto"/>
        </w:rPr>
        <w:instrText xml:space="preserve"> HYPERLINK \l "_Toc8089" </w:instrText>
      </w:r>
      <w:r>
        <w:rPr>
          <w:color w:val="auto"/>
        </w:rPr>
        <w:fldChar w:fldCharType="separate"/>
      </w:r>
      <w:r>
        <w:rPr>
          <w:color w:val="auto"/>
          <w:sz w:val="28"/>
          <w:szCs w:val="28"/>
        </w:rPr>
        <w:t>3.12评价区生态现状综合评价</w:t>
      </w:r>
      <w:r>
        <w:rPr>
          <w:color w:val="auto"/>
          <w:sz w:val="28"/>
          <w:szCs w:val="28"/>
        </w:rPr>
        <w:tab/>
      </w:r>
      <w:r>
        <w:rPr>
          <w:color w:val="auto"/>
          <w:sz w:val="28"/>
          <w:szCs w:val="28"/>
        </w:rPr>
        <w:fldChar w:fldCharType="begin"/>
      </w:r>
      <w:r>
        <w:rPr>
          <w:color w:val="auto"/>
          <w:sz w:val="28"/>
          <w:szCs w:val="28"/>
        </w:rPr>
        <w:instrText xml:space="preserve"> PAGEREF _Toc8089 \h </w:instrText>
      </w:r>
      <w:r>
        <w:rPr>
          <w:color w:val="auto"/>
          <w:sz w:val="28"/>
          <w:szCs w:val="28"/>
        </w:rPr>
        <w:fldChar w:fldCharType="separate"/>
      </w:r>
      <w:r>
        <w:rPr>
          <w:color w:val="auto"/>
          <w:sz w:val="28"/>
          <w:szCs w:val="28"/>
        </w:rPr>
        <w:t>137</w:t>
      </w:r>
      <w:r>
        <w:rPr>
          <w:color w:val="auto"/>
          <w:sz w:val="28"/>
          <w:szCs w:val="28"/>
        </w:rPr>
        <w:fldChar w:fldCharType="end"/>
      </w:r>
      <w:r>
        <w:rPr>
          <w:color w:val="auto"/>
          <w:sz w:val="28"/>
          <w:szCs w:val="28"/>
        </w:rPr>
        <w:fldChar w:fldCharType="end"/>
      </w:r>
    </w:p>
    <w:p w14:paraId="2F6D27C0">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"_Toc24850" </w:instrText>
      </w:r>
      <w:r>
        <w:rPr>
          <w:color w:val="auto"/>
        </w:rPr>
        <w:fldChar w:fldCharType="separate"/>
      </w:r>
      <w:r>
        <w:rPr>
          <w:rFonts w:ascii="Times New Roman" w:hAnsi="Times New Roman" w:cs="Times New Roman"/>
          <w:color w:val="auto"/>
          <w:sz w:val="28"/>
          <w:szCs w:val="28"/>
          <w:lang w:val="en-US"/>
        </w:rPr>
        <w:t>4</w:t>
      </w:r>
      <w:r>
        <w:rPr>
          <w:rFonts w:ascii="Times New Roman" w:hAnsi="Times New Roman" w:cs="Times New Roman"/>
          <w:color w:val="auto"/>
          <w:sz w:val="28"/>
          <w:szCs w:val="28"/>
        </w:rPr>
        <w:t>生态影响预测与评价</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_Toc24850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139</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099AB803">
      <w:pPr>
        <w:pStyle w:val="21"/>
        <w:tabs>
          <w:tab w:val="right" w:leader="dot" w:pos="8301"/>
        </w:tabs>
        <w:rPr>
          <w:color w:val="auto"/>
          <w:sz w:val="28"/>
          <w:szCs w:val="28"/>
        </w:rPr>
      </w:pPr>
      <w:r>
        <w:rPr>
          <w:color w:val="auto"/>
        </w:rPr>
        <w:fldChar w:fldCharType="begin"/>
      </w:r>
      <w:r>
        <w:rPr>
          <w:color w:val="auto"/>
        </w:rPr>
        <w:instrText xml:space="preserve"> HYPERLINK \l "_Toc3226" </w:instrText>
      </w:r>
      <w:r>
        <w:rPr>
          <w:color w:val="auto"/>
        </w:rPr>
        <w:fldChar w:fldCharType="separate"/>
      </w:r>
      <w:r>
        <w:rPr>
          <w:color w:val="auto"/>
          <w:sz w:val="28"/>
          <w:szCs w:val="28"/>
        </w:rPr>
        <w:t>4.1生态影响因子及对象分析</w:t>
      </w:r>
      <w:r>
        <w:rPr>
          <w:color w:val="auto"/>
          <w:sz w:val="28"/>
          <w:szCs w:val="28"/>
        </w:rPr>
        <w:tab/>
      </w:r>
      <w:r>
        <w:rPr>
          <w:color w:val="auto"/>
          <w:sz w:val="28"/>
          <w:szCs w:val="28"/>
        </w:rPr>
        <w:fldChar w:fldCharType="begin"/>
      </w:r>
      <w:r>
        <w:rPr>
          <w:color w:val="auto"/>
          <w:sz w:val="28"/>
          <w:szCs w:val="28"/>
        </w:rPr>
        <w:instrText xml:space="preserve"> PAGEREF _Toc3226 \h </w:instrText>
      </w:r>
      <w:r>
        <w:rPr>
          <w:color w:val="auto"/>
          <w:sz w:val="28"/>
          <w:szCs w:val="28"/>
        </w:rPr>
        <w:fldChar w:fldCharType="separate"/>
      </w:r>
      <w:r>
        <w:rPr>
          <w:color w:val="auto"/>
          <w:sz w:val="28"/>
          <w:szCs w:val="28"/>
        </w:rPr>
        <w:t>139</w:t>
      </w:r>
      <w:r>
        <w:rPr>
          <w:color w:val="auto"/>
          <w:sz w:val="28"/>
          <w:szCs w:val="28"/>
        </w:rPr>
        <w:fldChar w:fldCharType="end"/>
      </w:r>
      <w:r>
        <w:rPr>
          <w:color w:val="auto"/>
          <w:sz w:val="28"/>
          <w:szCs w:val="28"/>
        </w:rPr>
        <w:fldChar w:fldCharType="end"/>
      </w:r>
    </w:p>
    <w:p w14:paraId="0F91F49A">
      <w:pPr>
        <w:pStyle w:val="21"/>
        <w:tabs>
          <w:tab w:val="right" w:leader="dot" w:pos="8301"/>
        </w:tabs>
        <w:rPr>
          <w:color w:val="auto"/>
          <w:sz w:val="28"/>
          <w:szCs w:val="28"/>
        </w:rPr>
      </w:pPr>
      <w:r>
        <w:rPr>
          <w:color w:val="auto"/>
        </w:rPr>
        <w:fldChar w:fldCharType="begin"/>
      </w:r>
      <w:r>
        <w:rPr>
          <w:color w:val="auto"/>
        </w:rPr>
        <w:instrText xml:space="preserve"> HYPERLINK \l "_Toc25305" </w:instrText>
      </w:r>
      <w:r>
        <w:rPr>
          <w:color w:val="auto"/>
        </w:rPr>
        <w:fldChar w:fldCharType="separate"/>
      </w:r>
      <w:r>
        <w:rPr>
          <w:color w:val="auto"/>
          <w:sz w:val="28"/>
          <w:szCs w:val="28"/>
        </w:rPr>
        <w:t>4.2评价区占地对生态环境的影响分析</w:t>
      </w:r>
      <w:r>
        <w:rPr>
          <w:color w:val="auto"/>
          <w:sz w:val="28"/>
          <w:szCs w:val="28"/>
        </w:rPr>
        <w:tab/>
      </w:r>
      <w:r>
        <w:rPr>
          <w:color w:val="auto"/>
          <w:sz w:val="28"/>
          <w:szCs w:val="28"/>
        </w:rPr>
        <w:fldChar w:fldCharType="begin"/>
      </w:r>
      <w:r>
        <w:rPr>
          <w:color w:val="auto"/>
          <w:sz w:val="28"/>
          <w:szCs w:val="28"/>
        </w:rPr>
        <w:instrText xml:space="preserve"> PAGEREF _Toc25305 \h </w:instrText>
      </w:r>
      <w:r>
        <w:rPr>
          <w:color w:val="auto"/>
          <w:sz w:val="28"/>
          <w:szCs w:val="28"/>
        </w:rPr>
        <w:fldChar w:fldCharType="separate"/>
      </w:r>
      <w:r>
        <w:rPr>
          <w:color w:val="auto"/>
          <w:sz w:val="28"/>
          <w:szCs w:val="28"/>
        </w:rPr>
        <w:t>140</w:t>
      </w:r>
      <w:r>
        <w:rPr>
          <w:color w:val="auto"/>
          <w:sz w:val="28"/>
          <w:szCs w:val="28"/>
        </w:rPr>
        <w:fldChar w:fldCharType="end"/>
      </w:r>
      <w:r>
        <w:rPr>
          <w:color w:val="auto"/>
          <w:sz w:val="28"/>
          <w:szCs w:val="28"/>
        </w:rPr>
        <w:fldChar w:fldCharType="end"/>
      </w:r>
    </w:p>
    <w:p w14:paraId="6D61838C">
      <w:pPr>
        <w:pStyle w:val="21"/>
        <w:tabs>
          <w:tab w:val="right" w:leader="dot" w:pos="8301"/>
        </w:tabs>
        <w:rPr>
          <w:color w:val="auto"/>
          <w:sz w:val="28"/>
          <w:szCs w:val="28"/>
        </w:rPr>
      </w:pPr>
      <w:r>
        <w:rPr>
          <w:color w:val="auto"/>
        </w:rPr>
        <w:fldChar w:fldCharType="begin"/>
      </w:r>
      <w:r>
        <w:rPr>
          <w:color w:val="auto"/>
        </w:rPr>
        <w:instrText xml:space="preserve"> HYPERLINK \l "_Toc7042" </w:instrText>
      </w:r>
      <w:r>
        <w:rPr>
          <w:color w:val="auto"/>
        </w:rPr>
        <w:fldChar w:fldCharType="separate"/>
      </w:r>
      <w:r>
        <w:rPr>
          <w:color w:val="auto"/>
          <w:sz w:val="28"/>
          <w:szCs w:val="28"/>
        </w:rPr>
        <w:t>4.3对生态系统的影响</w:t>
      </w:r>
      <w:r>
        <w:rPr>
          <w:color w:val="auto"/>
          <w:sz w:val="28"/>
          <w:szCs w:val="28"/>
        </w:rPr>
        <w:tab/>
      </w:r>
      <w:r>
        <w:rPr>
          <w:color w:val="auto"/>
          <w:sz w:val="28"/>
          <w:szCs w:val="28"/>
        </w:rPr>
        <w:fldChar w:fldCharType="begin"/>
      </w:r>
      <w:r>
        <w:rPr>
          <w:color w:val="auto"/>
          <w:sz w:val="28"/>
          <w:szCs w:val="28"/>
        </w:rPr>
        <w:instrText xml:space="preserve"> PAGEREF _Toc7042 \h </w:instrText>
      </w:r>
      <w:r>
        <w:rPr>
          <w:color w:val="auto"/>
          <w:sz w:val="28"/>
          <w:szCs w:val="28"/>
        </w:rPr>
        <w:fldChar w:fldCharType="separate"/>
      </w:r>
      <w:r>
        <w:rPr>
          <w:color w:val="auto"/>
          <w:sz w:val="28"/>
          <w:szCs w:val="28"/>
        </w:rPr>
        <w:t>141</w:t>
      </w:r>
      <w:r>
        <w:rPr>
          <w:color w:val="auto"/>
          <w:sz w:val="28"/>
          <w:szCs w:val="28"/>
        </w:rPr>
        <w:fldChar w:fldCharType="end"/>
      </w:r>
      <w:r>
        <w:rPr>
          <w:color w:val="auto"/>
          <w:sz w:val="28"/>
          <w:szCs w:val="28"/>
        </w:rPr>
        <w:fldChar w:fldCharType="end"/>
      </w:r>
    </w:p>
    <w:p w14:paraId="51007643">
      <w:pPr>
        <w:pStyle w:val="21"/>
        <w:tabs>
          <w:tab w:val="right" w:leader="dot" w:pos="8301"/>
        </w:tabs>
        <w:rPr>
          <w:color w:val="auto"/>
          <w:sz w:val="28"/>
          <w:szCs w:val="28"/>
        </w:rPr>
      </w:pPr>
      <w:r>
        <w:rPr>
          <w:color w:val="auto"/>
        </w:rPr>
        <w:fldChar w:fldCharType="begin"/>
      </w:r>
      <w:r>
        <w:rPr>
          <w:color w:val="auto"/>
        </w:rPr>
        <w:instrText xml:space="preserve"> HYPERLINK \l "_Toc11655" </w:instrText>
      </w:r>
      <w:r>
        <w:rPr>
          <w:color w:val="auto"/>
        </w:rPr>
        <w:fldChar w:fldCharType="separate"/>
      </w:r>
      <w:r>
        <w:rPr>
          <w:color w:val="auto"/>
          <w:sz w:val="28"/>
          <w:szCs w:val="28"/>
        </w:rPr>
        <w:t>4.4对陆生植物的影响</w:t>
      </w:r>
      <w:r>
        <w:rPr>
          <w:color w:val="auto"/>
          <w:sz w:val="28"/>
          <w:szCs w:val="28"/>
        </w:rPr>
        <w:tab/>
      </w:r>
      <w:r>
        <w:rPr>
          <w:color w:val="auto"/>
          <w:sz w:val="28"/>
          <w:szCs w:val="28"/>
        </w:rPr>
        <w:fldChar w:fldCharType="begin"/>
      </w:r>
      <w:r>
        <w:rPr>
          <w:color w:val="auto"/>
          <w:sz w:val="28"/>
          <w:szCs w:val="28"/>
        </w:rPr>
        <w:instrText xml:space="preserve"> PAGEREF _Toc11655 \h </w:instrText>
      </w:r>
      <w:r>
        <w:rPr>
          <w:color w:val="auto"/>
          <w:sz w:val="28"/>
          <w:szCs w:val="28"/>
        </w:rPr>
        <w:fldChar w:fldCharType="separate"/>
      </w:r>
      <w:r>
        <w:rPr>
          <w:color w:val="auto"/>
          <w:sz w:val="28"/>
          <w:szCs w:val="28"/>
        </w:rPr>
        <w:t>144</w:t>
      </w:r>
      <w:r>
        <w:rPr>
          <w:color w:val="auto"/>
          <w:sz w:val="28"/>
          <w:szCs w:val="28"/>
        </w:rPr>
        <w:fldChar w:fldCharType="end"/>
      </w:r>
      <w:r>
        <w:rPr>
          <w:color w:val="auto"/>
          <w:sz w:val="28"/>
          <w:szCs w:val="28"/>
        </w:rPr>
        <w:fldChar w:fldCharType="end"/>
      </w:r>
    </w:p>
    <w:p w14:paraId="19C5D178">
      <w:pPr>
        <w:pStyle w:val="21"/>
        <w:tabs>
          <w:tab w:val="right" w:leader="dot" w:pos="8301"/>
        </w:tabs>
        <w:rPr>
          <w:color w:val="auto"/>
          <w:sz w:val="28"/>
          <w:szCs w:val="28"/>
        </w:rPr>
      </w:pPr>
      <w:r>
        <w:rPr>
          <w:color w:val="auto"/>
        </w:rPr>
        <w:fldChar w:fldCharType="begin"/>
      </w:r>
      <w:r>
        <w:rPr>
          <w:color w:val="auto"/>
        </w:rPr>
        <w:instrText xml:space="preserve"> HYPERLINK \l "_Toc14571" </w:instrText>
      </w:r>
      <w:r>
        <w:rPr>
          <w:color w:val="auto"/>
        </w:rPr>
        <w:fldChar w:fldCharType="separate"/>
      </w:r>
      <w:r>
        <w:rPr>
          <w:color w:val="auto"/>
          <w:sz w:val="28"/>
          <w:szCs w:val="28"/>
        </w:rPr>
        <w:t>4.5对陆生动物的影响</w:t>
      </w:r>
      <w:r>
        <w:rPr>
          <w:color w:val="auto"/>
          <w:sz w:val="28"/>
          <w:szCs w:val="28"/>
        </w:rPr>
        <w:tab/>
      </w:r>
      <w:r>
        <w:rPr>
          <w:color w:val="auto"/>
          <w:sz w:val="28"/>
          <w:szCs w:val="28"/>
        </w:rPr>
        <w:fldChar w:fldCharType="begin"/>
      </w:r>
      <w:r>
        <w:rPr>
          <w:color w:val="auto"/>
          <w:sz w:val="28"/>
          <w:szCs w:val="28"/>
        </w:rPr>
        <w:instrText xml:space="preserve"> PAGEREF _Toc14571 \h </w:instrText>
      </w:r>
      <w:r>
        <w:rPr>
          <w:color w:val="auto"/>
          <w:sz w:val="28"/>
          <w:szCs w:val="28"/>
        </w:rPr>
        <w:fldChar w:fldCharType="separate"/>
      </w:r>
      <w:r>
        <w:rPr>
          <w:color w:val="auto"/>
          <w:sz w:val="28"/>
          <w:szCs w:val="28"/>
        </w:rPr>
        <w:t>148</w:t>
      </w:r>
      <w:r>
        <w:rPr>
          <w:color w:val="auto"/>
          <w:sz w:val="28"/>
          <w:szCs w:val="28"/>
        </w:rPr>
        <w:fldChar w:fldCharType="end"/>
      </w:r>
      <w:r>
        <w:rPr>
          <w:color w:val="auto"/>
          <w:sz w:val="28"/>
          <w:szCs w:val="28"/>
        </w:rPr>
        <w:fldChar w:fldCharType="end"/>
      </w:r>
    </w:p>
    <w:p w14:paraId="55019600">
      <w:pPr>
        <w:pStyle w:val="21"/>
        <w:tabs>
          <w:tab w:val="right" w:leader="dot" w:pos="8301"/>
        </w:tabs>
        <w:rPr>
          <w:color w:val="auto"/>
          <w:sz w:val="28"/>
          <w:szCs w:val="28"/>
        </w:rPr>
      </w:pPr>
      <w:r>
        <w:rPr>
          <w:color w:val="auto"/>
        </w:rPr>
        <w:fldChar w:fldCharType="begin"/>
      </w:r>
      <w:r>
        <w:rPr>
          <w:color w:val="auto"/>
        </w:rPr>
        <w:instrText xml:space="preserve"> HYPERLINK \l "_Toc12820" </w:instrText>
      </w:r>
      <w:r>
        <w:rPr>
          <w:color w:val="auto"/>
        </w:rPr>
        <w:fldChar w:fldCharType="separate"/>
      </w:r>
      <w:r>
        <w:rPr>
          <w:color w:val="auto"/>
          <w:sz w:val="28"/>
          <w:szCs w:val="28"/>
        </w:rPr>
        <w:t>4.6对水生生物的影响</w:t>
      </w:r>
      <w:r>
        <w:rPr>
          <w:color w:val="auto"/>
          <w:sz w:val="28"/>
          <w:szCs w:val="28"/>
        </w:rPr>
        <w:tab/>
      </w:r>
      <w:r>
        <w:rPr>
          <w:color w:val="auto"/>
          <w:sz w:val="28"/>
          <w:szCs w:val="28"/>
        </w:rPr>
        <w:fldChar w:fldCharType="begin"/>
      </w:r>
      <w:r>
        <w:rPr>
          <w:color w:val="auto"/>
          <w:sz w:val="28"/>
          <w:szCs w:val="28"/>
        </w:rPr>
        <w:instrText xml:space="preserve"> PAGEREF _Toc12820 \h </w:instrText>
      </w:r>
      <w:r>
        <w:rPr>
          <w:color w:val="auto"/>
          <w:sz w:val="28"/>
          <w:szCs w:val="28"/>
        </w:rPr>
        <w:fldChar w:fldCharType="separate"/>
      </w:r>
      <w:r>
        <w:rPr>
          <w:color w:val="auto"/>
          <w:sz w:val="28"/>
          <w:szCs w:val="28"/>
        </w:rPr>
        <w:t>155</w:t>
      </w:r>
      <w:r>
        <w:rPr>
          <w:color w:val="auto"/>
          <w:sz w:val="28"/>
          <w:szCs w:val="28"/>
        </w:rPr>
        <w:fldChar w:fldCharType="end"/>
      </w:r>
      <w:r>
        <w:rPr>
          <w:color w:val="auto"/>
          <w:sz w:val="28"/>
          <w:szCs w:val="28"/>
        </w:rPr>
        <w:fldChar w:fldCharType="end"/>
      </w:r>
    </w:p>
    <w:p w14:paraId="38E45AB0">
      <w:pPr>
        <w:pStyle w:val="21"/>
        <w:tabs>
          <w:tab w:val="right" w:leader="dot" w:pos="8301"/>
        </w:tabs>
        <w:rPr>
          <w:color w:val="auto"/>
          <w:sz w:val="28"/>
          <w:szCs w:val="28"/>
        </w:rPr>
      </w:pPr>
      <w:r>
        <w:rPr>
          <w:color w:val="auto"/>
        </w:rPr>
        <w:fldChar w:fldCharType="begin"/>
      </w:r>
      <w:r>
        <w:rPr>
          <w:color w:val="auto"/>
        </w:rPr>
        <w:instrText xml:space="preserve"> HYPERLINK \l "_Toc5518" </w:instrText>
      </w:r>
      <w:r>
        <w:rPr>
          <w:color w:val="auto"/>
        </w:rPr>
        <w:fldChar w:fldCharType="separate"/>
      </w:r>
      <w:r>
        <w:rPr>
          <w:color w:val="auto"/>
          <w:sz w:val="28"/>
          <w:szCs w:val="28"/>
        </w:rPr>
        <w:t>4.7评价区生态完整性变化</w:t>
      </w:r>
      <w:r>
        <w:rPr>
          <w:color w:val="auto"/>
          <w:sz w:val="28"/>
          <w:szCs w:val="28"/>
        </w:rPr>
        <w:tab/>
      </w:r>
      <w:r>
        <w:rPr>
          <w:color w:val="auto"/>
          <w:sz w:val="28"/>
          <w:szCs w:val="28"/>
        </w:rPr>
        <w:fldChar w:fldCharType="begin"/>
      </w:r>
      <w:r>
        <w:rPr>
          <w:color w:val="auto"/>
          <w:sz w:val="28"/>
          <w:szCs w:val="28"/>
        </w:rPr>
        <w:instrText xml:space="preserve"> PAGEREF _Toc5518 \h </w:instrText>
      </w:r>
      <w:r>
        <w:rPr>
          <w:color w:val="auto"/>
          <w:sz w:val="28"/>
          <w:szCs w:val="28"/>
        </w:rPr>
        <w:fldChar w:fldCharType="separate"/>
      </w:r>
      <w:r>
        <w:rPr>
          <w:color w:val="auto"/>
          <w:sz w:val="28"/>
          <w:szCs w:val="28"/>
        </w:rPr>
        <w:t>158</w:t>
      </w:r>
      <w:r>
        <w:rPr>
          <w:color w:val="auto"/>
          <w:sz w:val="28"/>
          <w:szCs w:val="28"/>
        </w:rPr>
        <w:fldChar w:fldCharType="end"/>
      </w:r>
      <w:r>
        <w:rPr>
          <w:color w:val="auto"/>
          <w:sz w:val="28"/>
          <w:szCs w:val="28"/>
        </w:rPr>
        <w:fldChar w:fldCharType="end"/>
      </w:r>
    </w:p>
    <w:p w14:paraId="2B77DFDD">
      <w:pPr>
        <w:pStyle w:val="21"/>
        <w:tabs>
          <w:tab w:val="right" w:leader="dot" w:pos="8301"/>
        </w:tabs>
        <w:rPr>
          <w:color w:val="auto"/>
          <w:sz w:val="28"/>
          <w:szCs w:val="28"/>
        </w:rPr>
      </w:pPr>
      <w:r>
        <w:rPr>
          <w:color w:val="auto"/>
        </w:rPr>
        <w:fldChar w:fldCharType="begin"/>
      </w:r>
      <w:r>
        <w:rPr>
          <w:color w:val="auto"/>
        </w:rPr>
        <w:instrText xml:space="preserve"> HYPERLINK \l "_Toc23408" </w:instrText>
      </w:r>
      <w:r>
        <w:rPr>
          <w:color w:val="auto"/>
        </w:rPr>
        <w:fldChar w:fldCharType="separate"/>
      </w:r>
      <w:r>
        <w:rPr>
          <w:color w:val="auto"/>
          <w:sz w:val="28"/>
          <w:szCs w:val="28"/>
        </w:rPr>
        <w:t>4.8对生态敏感区的影响分析</w:t>
      </w:r>
      <w:r>
        <w:rPr>
          <w:color w:val="auto"/>
          <w:sz w:val="28"/>
          <w:szCs w:val="28"/>
        </w:rPr>
        <w:tab/>
      </w:r>
      <w:r>
        <w:rPr>
          <w:color w:val="auto"/>
          <w:sz w:val="28"/>
          <w:szCs w:val="28"/>
        </w:rPr>
        <w:fldChar w:fldCharType="begin"/>
      </w:r>
      <w:r>
        <w:rPr>
          <w:color w:val="auto"/>
          <w:sz w:val="28"/>
          <w:szCs w:val="28"/>
        </w:rPr>
        <w:instrText xml:space="preserve"> PAGEREF _Toc23408 \h </w:instrText>
      </w:r>
      <w:r>
        <w:rPr>
          <w:color w:val="auto"/>
          <w:sz w:val="28"/>
          <w:szCs w:val="28"/>
        </w:rPr>
        <w:fldChar w:fldCharType="separate"/>
      </w:r>
      <w:r>
        <w:rPr>
          <w:color w:val="auto"/>
          <w:sz w:val="28"/>
          <w:szCs w:val="28"/>
        </w:rPr>
        <w:t>161</w:t>
      </w:r>
      <w:r>
        <w:rPr>
          <w:color w:val="auto"/>
          <w:sz w:val="28"/>
          <w:szCs w:val="28"/>
        </w:rPr>
        <w:fldChar w:fldCharType="end"/>
      </w:r>
      <w:r>
        <w:rPr>
          <w:color w:val="auto"/>
          <w:sz w:val="28"/>
          <w:szCs w:val="28"/>
        </w:rPr>
        <w:fldChar w:fldCharType="end"/>
      </w:r>
    </w:p>
    <w:p w14:paraId="30D3F787">
      <w:pPr>
        <w:pStyle w:val="21"/>
        <w:tabs>
          <w:tab w:val="right" w:leader="dot" w:pos="8301"/>
        </w:tabs>
        <w:rPr>
          <w:color w:val="auto"/>
          <w:sz w:val="28"/>
          <w:szCs w:val="28"/>
        </w:rPr>
      </w:pPr>
      <w:r>
        <w:rPr>
          <w:color w:val="auto"/>
        </w:rPr>
        <w:fldChar w:fldCharType="begin"/>
      </w:r>
      <w:r>
        <w:rPr>
          <w:color w:val="auto"/>
        </w:rPr>
        <w:instrText xml:space="preserve"> HYPERLINK \l "_Toc24907" </w:instrText>
      </w:r>
      <w:r>
        <w:rPr>
          <w:color w:val="auto"/>
        </w:rPr>
        <w:fldChar w:fldCharType="separate"/>
      </w:r>
      <w:r>
        <w:rPr>
          <w:color w:val="auto"/>
          <w:sz w:val="28"/>
          <w:szCs w:val="28"/>
        </w:rPr>
        <w:t>4.9对生态保护红线的影响</w:t>
      </w:r>
      <w:r>
        <w:rPr>
          <w:color w:val="auto"/>
          <w:sz w:val="28"/>
          <w:szCs w:val="28"/>
        </w:rPr>
        <w:tab/>
      </w:r>
      <w:r>
        <w:rPr>
          <w:color w:val="auto"/>
          <w:sz w:val="28"/>
          <w:szCs w:val="28"/>
        </w:rPr>
        <w:fldChar w:fldCharType="begin"/>
      </w:r>
      <w:r>
        <w:rPr>
          <w:color w:val="auto"/>
          <w:sz w:val="28"/>
          <w:szCs w:val="28"/>
        </w:rPr>
        <w:instrText xml:space="preserve"> PAGEREF _Toc24907 \h </w:instrText>
      </w:r>
      <w:r>
        <w:rPr>
          <w:color w:val="auto"/>
          <w:sz w:val="28"/>
          <w:szCs w:val="28"/>
        </w:rPr>
        <w:fldChar w:fldCharType="separate"/>
      </w:r>
      <w:r>
        <w:rPr>
          <w:color w:val="auto"/>
          <w:sz w:val="28"/>
          <w:szCs w:val="28"/>
        </w:rPr>
        <w:t>163</w:t>
      </w:r>
      <w:r>
        <w:rPr>
          <w:color w:val="auto"/>
          <w:sz w:val="28"/>
          <w:szCs w:val="28"/>
        </w:rPr>
        <w:fldChar w:fldCharType="end"/>
      </w:r>
      <w:r>
        <w:rPr>
          <w:color w:val="auto"/>
          <w:sz w:val="28"/>
          <w:szCs w:val="28"/>
        </w:rPr>
        <w:fldChar w:fldCharType="end"/>
      </w:r>
    </w:p>
    <w:p w14:paraId="4ECBD281">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"_Toc4068" </w:instrText>
      </w:r>
      <w:r>
        <w:rPr>
          <w:color w:val="auto"/>
        </w:rPr>
        <w:fldChar w:fldCharType="separate"/>
      </w:r>
      <w:r>
        <w:rPr>
          <w:rFonts w:ascii="Times New Roman" w:hAnsi="Times New Roman" w:cs="Times New Roman"/>
          <w:color w:val="auto"/>
          <w:sz w:val="28"/>
          <w:szCs w:val="28"/>
          <w:lang w:val="en-US"/>
        </w:rPr>
        <w:t>5生态保护与恢复措施</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_Toc4068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165</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7C577E3E">
      <w:pPr>
        <w:pStyle w:val="21"/>
        <w:tabs>
          <w:tab w:val="right" w:leader="dot" w:pos="8301"/>
        </w:tabs>
        <w:rPr>
          <w:color w:val="auto"/>
          <w:sz w:val="28"/>
          <w:szCs w:val="28"/>
        </w:rPr>
      </w:pPr>
      <w:r>
        <w:rPr>
          <w:color w:val="auto"/>
        </w:rPr>
        <w:fldChar w:fldCharType="begin"/>
      </w:r>
      <w:r>
        <w:rPr>
          <w:color w:val="auto"/>
        </w:rPr>
        <w:instrText xml:space="preserve"> HYPERLINK \l "_Toc12171" </w:instrText>
      </w:r>
      <w:r>
        <w:rPr>
          <w:color w:val="auto"/>
        </w:rPr>
        <w:fldChar w:fldCharType="separate"/>
      </w:r>
      <w:r>
        <w:rPr>
          <w:color w:val="auto"/>
          <w:sz w:val="28"/>
          <w:szCs w:val="28"/>
        </w:rPr>
        <w:t>5.1生态系统的保护措施</w:t>
      </w:r>
      <w:r>
        <w:rPr>
          <w:color w:val="auto"/>
          <w:sz w:val="28"/>
          <w:szCs w:val="28"/>
        </w:rPr>
        <w:tab/>
      </w:r>
      <w:r>
        <w:rPr>
          <w:color w:val="auto"/>
          <w:sz w:val="28"/>
          <w:szCs w:val="28"/>
        </w:rPr>
        <w:fldChar w:fldCharType="begin"/>
      </w:r>
      <w:r>
        <w:rPr>
          <w:color w:val="auto"/>
          <w:sz w:val="28"/>
          <w:szCs w:val="28"/>
        </w:rPr>
        <w:instrText xml:space="preserve"> PAGEREF _Toc12171 \h </w:instrText>
      </w:r>
      <w:r>
        <w:rPr>
          <w:color w:val="auto"/>
          <w:sz w:val="28"/>
          <w:szCs w:val="28"/>
        </w:rPr>
        <w:fldChar w:fldCharType="separate"/>
      </w:r>
      <w:r>
        <w:rPr>
          <w:color w:val="auto"/>
          <w:sz w:val="28"/>
          <w:szCs w:val="28"/>
        </w:rPr>
        <w:t>165</w:t>
      </w:r>
      <w:r>
        <w:rPr>
          <w:color w:val="auto"/>
          <w:sz w:val="28"/>
          <w:szCs w:val="28"/>
        </w:rPr>
        <w:fldChar w:fldCharType="end"/>
      </w:r>
      <w:r>
        <w:rPr>
          <w:color w:val="auto"/>
          <w:sz w:val="28"/>
          <w:szCs w:val="28"/>
        </w:rPr>
        <w:fldChar w:fldCharType="end"/>
      </w:r>
    </w:p>
    <w:p w14:paraId="4393197E">
      <w:pPr>
        <w:pStyle w:val="21"/>
        <w:tabs>
          <w:tab w:val="right" w:leader="dot" w:pos="8301"/>
        </w:tabs>
        <w:rPr>
          <w:color w:val="auto"/>
          <w:sz w:val="28"/>
          <w:szCs w:val="28"/>
        </w:rPr>
      </w:pPr>
      <w:r>
        <w:rPr>
          <w:color w:val="auto"/>
        </w:rPr>
        <w:fldChar w:fldCharType="begin"/>
      </w:r>
      <w:r>
        <w:rPr>
          <w:color w:val="auto"/>
        </w:rPr>
        <w:instrText xml:space="preserve"> HYPERLINK \l "_Toc19058" </w:instrText>
      </w:r>
      <w:r>
        <w:rPr>
          <w:color w:val="auto"/>
        </w:rPr>
        <w:fldChar w:fldCharType="separate"/>
      </w:r>
      <w:r>
        <w:rPr>
          <w:color w:val="auto"/>
          <w:sz w:val="28"/>
          <w:szCs w:val="28"/>
        </w:rPr>
        <w:t>5.2陆生植物的保护措施</w:t>
      </w:r>
      <w:r>
        <w:rPr>
          <w:color w:val="auto"/>
          <w:sz w:val="28"/>
          <w:szCs w:val="28"/>
        </w:rPr>
        <w:tab/>
      </w:r>
      <w:r>
        <w:rPr>
          <w:color w:val="auto"/>
          <w:sz w:val="28"/>
          <w:szCs w:val="28"/>
        </w:rPr>
        <w:fldChar w:fldCharType="begin"/>
      </w:r>
      <w:r>
        <w:rPr>
          <w:color w:val="auto"/>
          <w:sz w:val="28"/>
          <w:szCs w:val="28"/>
        </w:rPr>
        <w:instrText xml:space="preserve"> PAGEREF _Toc19058 \h </w:instrText>
      </w:r>
      <w:r>
        <w:rPr>
          <w:color w:val="auto"/>
          <w:sz w:val="28"/>
          <w:szCs w:val="28"/>
        </w:rPr>
        <w:fldChar w:fldCharType="separate"/>
      </w:r>
      <w:r>
        <w:rPr>
          <w:color w:val="auto"/>
          <w:sz w:val="28"/>
          <w:szCs w:val="28"/>
        </w:rPr>
        <w:t>166</w:t>
      </w:r>
      <w:r>
        <w:rPr>
          <w:color w:val="auto"/>
          <w:sz w:val="28"/>
          <w:szCs w:val="28"/>
        </w:rPr>
        <w:fldChar w:fldCharType="end"/>
      </w:r>
      <w:r>
        <w:rPr>
          <w:color w:val="auto"/>
          <w:sz w:val="28"/>
          <w:szCs w:val="28"/>
        </w:rPr>
        <w:fldChar w:fldCharType="end"/>
      </w:r>
    </w:p>
    <w:p w14:paraId="7D45D21C">
      <w:pPr>
        <w:pStyle w:val="21"/>
        <w:tabs>
          <w:tab w:val="right" w:leader="dot" w:pos="8301"/>
        </w:tabs>
        <w:rPr>
          <w:color w:val="auto"/>
          <w:sz w:val="28"/>
          <w:szCs w:val="28"/>
        </w:rPr>
      </w:pPr>
      <w:r>
        <w:rPr>
          <w:color w:val="auto"/>
        </w:rPr>
        <w:fldChar w:fldCharType="begin"/>
      </w:r>
      <w:r>
        <w:rPr>
          <w:color w:val="auto"/>
        </w:rPr>
        <w:instrText xml:space="preserve"> HYPERLINK \l "_Toc22426" </w:instrText>
      </w:r>
      <w:r>
        <w:rPr>
          <w:color w:val="auto"/>
        </w:rPr>
        <w:fldChar w:fldCharType="separate"/>
      </w:r>
      <w:r>
        <w:rPr>
          <w:color w:val="auto"/>
          <w:sz w:val="28"/>
          <w:szCs w:val="28"/>
        </w:rPr>
        <w:t>5.3陆生动物的保护措施</w:t>
      </w:r>
      <w:r>
        <w:rPr>
          <w:color w:val="auto"/>
          <w:sz w:val="28"/>
          <w:szCs w:val="28"/>
        </w:rPr>
        <w:tab/>
      </w:r>
      <w:r>
        <w:rPr>
          <w:color w:val="auto"/>
          <w:sz w:val="28"/>
          <w:szCs w:val="28"/>
        </w:rPr>
        <w:fldChar w:fldCharType="begin"/>
      </w:r>
      <w:r>
        <w:rPr>
          <w:color w:val="auto"/>
          <w:sz w:val="28"/>
          <w:szCs w:val="28"/>
        </w:rPr>
        <w:instrText xml:space="preserve"> PAGEREF _Toc22426 \h </w:instrText>
      </w:r>
      <w:r>
        <w:rPr>
          <w:color w:val="auto"/>
          <w:sz w:val="28"/>
          <w:szCs w:val="28"/>
        </w:rPr>
        <w:fldChar w:fldCharType="separate"/>
      </w:r>
      <w:r>
        <w:rPr>
          <w:color w:val="auto"/>
          <w:sz w:val="28"/>
          <w:szCs w:val="28"/>
        </w:rPr>
        <w:t>169</w:t>
      </w:r>
      <w:r>
        <w:rPr>
          <w:color w:val="auto"/>
          <w:sz w:val="28"/>
          <w:szCs w:val="28"/>
        </w:rPr>
        <w:fldChar w:fldCharType="end"/>
      </w:r>
      <w:r>
        <w:rPr>
          <w:color w:val="auto"/>
          <w:sz w:val="28"/>
          <w:szCs w:val="28"/>
        </w:rPr>
        <w:fldChar w:fldCharType="end"/>
      </w:r>
    </w:p>
    <w:p w14:paraId="7A9A661E">
      <w:pPr>
        <w:pStyle w:val="21"/>
        <w:tabs>
          <w:tab w:val="right" w:leader="dot" w:pos="8301"/>
        </w:tabs>
        <w:rPr>
          <w:color w:val="auto"/>
          <w:sz w:val="28"/>
          <w:szCs w:val="28"/>
        </w:rPr>
      </w:pPr>
      <w:r>
        <w:rPr>
          <w:color w:val="auto"/>
        </w:rPr>
        <w:fldChar w:fldCharType="begin"/>
      </w:r>
      <w:r>
        <w:rPr>
          <w:color w:val="auto"/>
        </w:rPr>
        <w:instrText xml:space="preserve"> HYPERLINK \l "_Toc29759" </w:instrText>
      </w:r>
      <w:r>
        <w:rPr>
          <w:color w:val="auto"/>
        </w:rPr>
        <w:fldChar w:fldCharType="separate"/>
      </w:r>
      <w:r>
        <w:rPr>
          <w:color w:val="auto"/>
          <w:sz w:val="28"/>
          <w:szCs w:val="28"/>
        </w:rPr>
        <w:t>5.4对水生生物的保护措施</w:t>
      </w:r>
      <w:r>
        <w:rPr>
          <w:color w:val="auto"/>
          <w:sz w:val="28"/>
          <w:szCs w:val="28"/>
        </w:rPr>
        <w:tab/>
      </w:r>
      <w:r>
        <w:rPr>
          <w:color w:val="auto"/>
          <w:sz w:val="28"/>
          <w:szCs w:val="28"/>
        </w:rPr>
        <w:fldChar w:fldCharType="begin"/>
      </w:r>
      <w:r>
        <w:rPr>
          <w:color w:val="auto"/>
          <w:sz w:val="28"/>
          <w:szCs w:val="28"/>
        </w:rPr>
        <w:instrText xml:space="preserve"> PAGEREF _Toc29759 \h </w:instrText>
      </w:r>
      <w:r>
        <w:rPr>
          <w:color w:val="auto"/>
          <w:sz w:val="28"/>
          <w:szCs w:val="28"/>
        </w:rPr>
        <w:fldChar w:fldCharType="separate"/>
      </w:r>
      <w:r>
        <w:rPr>
          <w:color w:val="auto"/>
          <w:sz w:val="28"/>
          <w:szCs w:val="28"/>
        </w:rPr>
        <w:t>174</w:t>
      </w:r>
      <w:r>
        <w:rPr>
          <w:color w:val="auto"/>
          <w:sz w:val="28"/>
          <w:szCs w:val="28"/>
        </w:rPr>
        <w:fldChar w:fldCharType="end"/>
      </w:r>
      <w:r>
        <w:rPr>
          <w:color w:val="auto"/>
          <w:sz w:val="28"/>
          <w:szCs w:val="28"/>
        </w:rPr>
        <w:fldChar w:fldCharType="end"/>
      </w:r>
    </w:p>
    <w:p w14:paraId="104C871C">
      <w:pPr>
        <w:pStyle w:val="21"/>
        <w:tabs>
          <w:tab w:val="right" w:leader="dot" w:pos="8301"/>
        </w:tabs>
        <w:rPr>
          <w:color w:val="auto"/>
          <w:sz w:val="28"/>
          <w:szCs w:val="28"/>
        </w:rPr>
      </w:pPr>
      <w:r>
        <w:rPr>
          <w:color w:val="auto"/>
        </w:rPr>
        <w:fldChar w:fldCharType="begin"/>
      </w:r>
      <w:r>
        <w:rPr>
          <w:color w:val="auto"/>
        </w:rPr>
        <w:instrText xml:space="preserve"> HYPERLINK \l "_Toc30953" </w:instrText>
      </w:r>
      <w:r>
        <w:rPr>
          <w:color w:val="auto"/>
        </w:rPr>
        <w:fldChar w:fldCharType="separate"/>
      </w:r>
      <w:r>
        <w:rPr>
          <w:color w:val="auto"/>
          <w:sz w:val="28"/>
          <w:szCs w:val="28"/>
        </w:rPr>
        <w:t>5.5对生态敏感区的保护措施</w:t>
      </w:r>
      <w:r>
        <w:rPr>
          <w:color w:val="auto"/>
          <w:sz w:val="28"/>
          <w:szCs w:val="28"/>
        </w:rPr>
        <w:tab/>
      </w:r>
      <w:r>
        <w:rPr>
          <w:color w:val="auto"/>
          <w:sz w:val="28"/>
          <w:szCs w:val="28"/>
        </w:rPr>
        <w:fldChar w:fldCharType="begin"/>
      </w:r>
      <w:r>
        <w:rPr>
          <w:color w:val="auto"/>
          <w:sz w:val="28"/>
          <w:szCs w:val="28"/>
        </w:rPr>
        <w:instrText xml:space="preserve"> PAGEREF _Toc30953 \h </w:instrText>
      </w:r>
      <w:r>
        <w:rPr>
          <w:color w:val="auto"/>
          <w:sz w:val="28"/>
          <w:szCs w:val="28"/>
        </w:rPr>
        <w:fldChar w:fldCharType="separate"/>
      </w:r>
      <w:r>
        <w:rPr>
          <w:color w:val="auto"/>
          <w:sz w:val="28"/>
          <w:szCs w:val="28"/>
        </w:rPr>
        <w:t>179</w:t>
      </w:r>
      <w:r>
        <w:rPr>
          <w:color w:val="auto"/>
          <w:sz w:val="28"/>
          <w:szCs w:val="28"/>
        </w:rPr>
        <w:fldChar w:fldCharType="end"/>
      </w:r>
      <w:r>
        <w:rPr>
          <w:color w:val="auto"/>
          <w:sz w:val="28"/>
          <w:szCs w:val="28"/>
        </w:rPr>
        <w:fldChar w:fldCharType="end"/>
      </w:r>
    </w:p>
    <w:p w14:paraId="62E7FA89">
      <w:pPr>
        <w:pStyle w:val="21"/>
        <w:tabs>
          <w:tab w:val="right" w:leader="dot" w:pos="8301"/>
        </w:tabs>
        <w:rPr>
          <w:color w:val="auto"/>
          <w:sz w:val="28"/>
          <w:szCs w:val="28"/>
        </w:rPr>
      </w:pPr>
      <w:r>
        <w:rPr>
          <w:color w:val="auto"/>
        </w:rPr>
        <w:fldChar w:fldCharType="begin"/>
      </w:r>
      <w:r>
        <w:rPr>
          <w:color w:val="auto"/>
        </w:rPr>
        <w:instrText xml:space="preserve"> HYPERLINK \l "_Toc9806" </w:instrText>
      </w:r>
      <w:r>
        <w:rPr>
          <w:color w:val="auto"/>
        </w:rPr>
        <w:fldChar w:fldCharType="separate"/>
      </w:r>
      <w:r>
        <w:rPr>
          <w:color w:val="auto"/>
          <w:sz w:val="28"/>
          <w:szCs w:val="28"/>
        </w:rPr>
        <w:t>5.6对生态保护红线的保护措施</w:t>
      </w:r>
      <w:r>
        <w:rPr>
          <w:color w:val="auto"/>
          <w:sz w:val="28"/>
          <w:szCs w:val="28"/>
        </w:rPr>
        <w:tab/>
      </w:r>
      <w:r>
        <w:rPr>
          <w:color w:val="auto"/>
          <w:sz w:val="28"/>
          <w:szCs w:val="28"/>
        </w:rPr>
        <w:fldChar w:fldCharType="begin"/>
      </w:r>
      <w:r>
        <w:rPr>
          <w:color w:val="auto"/>
          <w:sz w:val="28"/>
          <w:szCs w:val="28"/>
        </w:rPr>
        <w:instrText xml:space="preserve"> PAGEREF _Toc9806 \h </w:instrText>
      </w:r>
      <w:r>
        <w:rPr>
          <w:color w:val="auto"/>
          <w:sz w:val="28"/>
          <w:szCs w:val="28"/>
        </w:rPr>
        <w:fldChar w:fldCharType="separate"/>
      </w:r>
      <w:r>
        <w:rPr>
          <w:color w:val="auto"/>
          <w:sz w:val="28"/>
          <w:szCs w:val="28"/>
        </w:rPr>
        <w:t>180</w:t>
      </w:r>
      <w:r>
        <w:rPr>
          <w:color w:val="auto"/>
          <w:sz w:val="28"/>
          <w:szCs w:val="28"/>
        </w:rPr>
        <w:fldChar w:fldCharType="end"/>
      </w:r>
      <w:r>
        <w:rPr>
          <w:color w:val="auto"/>
          <w:sz w:val="28"/>
          <w:szCs w:val="28"/>
        </w:rPr>
        <w:fldChar w:fldCharType="end"/>
      </w:r>
    </w:p>
    <w:p w14:paraId="788350E7">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"_Toc19040" </w:instrText>
      </w:r>
      <w:r>
        <w:rPr>
          <w:color w:val="auto"/>
        </w:rPr>
        <w:fldChar w:fldCharType="separate"/>
      </w:r>
      <w:r>
        <w:rPr>
          <w:rFonts w:ascii="Times New Roman" w:hAnsi="Times New Roman" w:cs="Times New Roman"/>
          <w:color w:val="auto"/>
          <w:sz w:val="28"/>
          <w:szCs w:val="28"/>
          <w:lang w:val="en-US"/>
        </w:rPr>
        <w:t>6生态监测</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_Toc19040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181</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60C3A6C7">
      <w:pPr>
        <w:pStyle w:val="21"/>
        <w:tabs>
          <w:tab w:val="right" w:leader="dot" w:pos="8301"/>
        </w:tabs>
        <w:rPr>
          <w:color w:val="auto"/>
          <w:sz w:val="28"/>
          <w:szCs w:val="28"/>
        </w:rPr>
      </w:pPr>
      <w:r>
        <w:rPr>
          <w:color w:val="auto"/>
        </w:rPr>
        <w:fldChar w:fldCharType="begin"/>
      </w:r>
      <w:r>
        <w:rPr>
          <w:color w:val="auto"/>
        </w:rPr>
        <w:instrText xml:space="preserve"> HYPERLINK \l "_Toc32280" </w:instrText>
      </w:r>
      <w:r>
        <w:rPr>
          <w:color w:val="auto"/>
        </w:rPr>
        <w:fldChar w:fldCharType="separate"/>
      </w:r>
      <w:r>
        <w:rPr>
          <w:color w:val="auto"/>
          <w:sz w:val="28"/>
          <w:szCs w:val="28"/>
        </w:rPr>
        <w:t>6.1陆生生态监测</w:t>
      </w:r>
      <w:r>
        <w:rPr>
          <w:color w:val="auto"/>
          <w:sz w:val="28"/>
          <w:szCs w:val="28"/>
        </w:rPr>
        <w:tab/>
      </w:r>
      <w:r>
        <w:rPr>
          <w:color w:val="auto"/>
          <w:sz w:val="28"/>
          <w:szCs w:val="28"/>
        </w:rPr>
        <w:fldChar w:fldCharType="begin"/>
      </w:r>
      <w:r>
        <w:rPr>
          <w:color w:val="auto"/>
          <w:sz w:val="28"/>
          <w:szCs w:val="28"/>
        </w:rPr>
        <w:instrText xml:space="preserve"> PAGEREF _Toc32280 \h </w:instrText>
      </w:r>
      <w:r>
        <w:rPr>
          <w:color w:val="auto"/>
          <w:sz w:val="28"/>
          <w:szCs w:val="28"/>
        </w:rPr>
        <w:fldChar w:fldCharType="separate"/>
      </w:r>
      <w:r>
        <w:rPr>
          <w:color w:val="auto"/>
          <w:sz w:val="28"/>
          <w:szCs w:val="28"/>
        </w:rPr>
        <w:t>181</w:t>
      </w:r>
      <w:r>
        <w:rPr>
          <w:color w:val="auto"/>
          <w:sz w:val="28"/>
          <w:szCs w:val="28"/>
        </w:rPr>
        <w:fldChar w:fldCharType="end"/>
      </w:r>
      <w:r>
        <w:rPr>
          <w:color w:val="auto"/>
          <w:sz w:val="28"/>
          <w:szCs w:val="28"/>
        </w:rPr>
        <w:fldChar w:fldCharType="end"/>
      </w:r>
    </w:p>
    <w:p w14:paraId="4CE1F9AF">
      <w:pPr>
        <w:pStyle w:val="21"/>
        <w:tabs>
          <w:tab w:val="right" w:leader="dot" w:pos="8301"/>
        </w:tabs>
        <w:rPr>
          <w:color w:val="auto"/>
          <w:sz w:val="28"/>
          <w:szCs w:val="28"/>
        </w:rPr>
      </w:pPr>
      <w:r>
        <w:rPr>
          <w:color w:val="auto"/>
        </w:rPr>
        <w:fldChar w:fldCharType="begin"/>
      </w:r>
      <w:r>
        <w:rPr>
          <w:color w:val="auto"/>
        </w:rPr>
        <w:instrText xml:space="preserve"> HYPERLINK \l "_Toc21788" </w:instrText>
      </w:r>
      <w:r>
        <w:rPr>
          <w:color w:val="auto"/>
        </w:rPr>
        <w:fldChar w:fldCharType="separate"/>
      </w:r>
      <w:r>
        <w:rPr>
          <w:color w:val="auto"/>
          <w:sz w:val="28"/>
          <w:szCs w:val="28"/>
        </w:rPr>
        <w:t>6.2水生生态监测</w:t>
      </w:r>
      <w:r>
        <w:rPr>
          <w:color w:val="auto"/>
          <w:sz w:val="28"/>
          <w:szCs w:val="28"/>
        </w:rPr>
        <w:tab/>
      </w:r>
      <w:r>
        <w:rPr>
          <w:color w:val="auto"/>
          <w:sz w:val="28"/>
          <w:szCs w:val="28"/>
        </w:rPr>
        <w:fldChar w:fldCharType="begin"/>
      </w:r>
      <w:r>
        <w:rPr>
          <w:color w:val="auto"/>
          <w:sz w:val="28"/>
          <w:szCs w:val="28"/>
        </w:rPr>
        <w:instrText xml:space="preserve"> PAGEREF _Toc21788 \h </w:instrText>
      </w:r>
      <w:r>
        <w:rPr>
          <w:color w:val="auto"/>
          <w:sz w:val="28"/>
          <w:szCs w:val="28"/>
        </w:rPr>
        <w:fldChar w:fldCharType="separate"/>
      </w:r>
      <w:r>
        <w:rPr>
          <w:color w:val="auto"/>
          <w:sz w:val="28"/>
          <w:szCs w:val="28"/>
        </w:rPr>
        <w:t>183</w:t>
      </w:r>
      <w:r>
        <w:rPr>
          <w:color w:val="auto"/>
          <w:sz w:val="28"/>
          <w:szCs w:val="28"/>
        </w:rPr>
        <w:fldChar w:fldCharType="end"/>
      </w:r>
      <w:r>
        <w:rPr>
          <w:color w:val="auto"/>
          <w:sz w:val="28"/>
          <w:szCs w:val="28"/>
        </w:rPr>
        <w:fldChar w:fldCharType="end"/>
      </w:r>
    </w:p>
    <w:p w14:paraId="14347CCD">
      <w:pPr>
        <w:pStyle w:val="21"/>
        <w:tabs>
          <w:tab w:val="right" w:leader="dot" w:pos="8301"/>
        </w:tabs>
        <w:rPr>
          <w:color w:val="auto"/>
          <w:sz w:val="28"/>
          <w:szCs w:val="28"/>
        </w:rPr>
      </w:pPr>
      <w:r>
        <w:rPr>
          <w:color w:val="auto"/>
        </w:rPr>
        <w:fldChar w:fldCharType="begin"/>
      </w:r>
      <w:r>
        <w:rPr>
          <w:color w:val="auto"/>
        </w:rPr>
        <w:instrText xml:space="preserve"> HYPERLINK \l "_Toc17337" </w:instrText>
      </w:r>
      <w:r>
        <w:rPr>
          <w:color w:val="auto"/>
        </w:rPr>
        <w:fldChar w:fldCharType="separate"/>
      </w:r>
      <w:r>
        <w:rPr>
          <w:color w:val="auto"/>
          <w:sz w:val="28"/>
          <w:szCs w:val="28"/>
        </w:rPr>
        <w:t>6.3生态环境保护经费预算</w:t>
      </w:r>
      <w:r>
        <w:rPr>
          <w:color w:val="auto"/>
          <w:sz w:val="28"/>
          <w:szCs w:val="28"/>
        </w:rPr>
        <w:tab/>
      </w:r>
      <w:r>
        <w:rPr>
          <w:color w:val="auto"/>
          <w:sz w:val="28"/>
          <w:szCs w:val="28"/>
        </w:rPr>
        <w:fldChar w:fldCharType="begin"/>
      </w:r>
      <w:r>
        <w:rPr>
          <w:color w:val="auto"/>
          <w:sz w:val="28"/>
          <w:szCs w:val="28"/>
        </w:rPr>
        <w:instrText xml:space="preserve"> PAGEREF _Toc17337 \h </w:instrText>
      </w:r>
      <w:r>
        <w:rPr>
          <w:color w:val="auto"/>
          <w:sz w:val="28"/>
          <w:szCs w:val="28"/>
        </w:rPr>
        <w:fldChar w:fldCharType="separate"/>
      </w:r>
      <w:r>
        <w:rPr>
          <w:color w:val="auto"/>
          <w:sz w:val="28"/>
          <w:szCs w:val="28"/>
        </w:rPr>
        <w:t>184</w:t>
      </w:r>
      <w:r>
        <w:rPr>
          <w:color w:val="auto"/>
          <w:sz w:val="28"/>
          <w:szCs w:val="28"/>
        </w:rPr>
        <w:fldChar w:fldCharType="end"/>
      </w:r>
      <w:r>
        <w:rPr>
          <w:color w:val="auto"/>
          <w:sz w:val="28"/>
          <w:szCs w:val="28"/>
        </w:rPr>
        <w:fldChar w:fldCharType="end"/>
      </w:r>
    </w:p>
    <w:p w14:paraId="3CA4903A">
      <w:pPr>
        <w:pStyle w:val="19"/>
        <w:tabs>
          <w:tab w:val="right" w:leader="dot" w:pos="8301"/>
        </w:tabs>
        <w:rPr>
          <w:rFonts w:ascii="Times New Roman" w:hAnsi="Times New Roman" w:cs="Times New Roman"/>
          <w:color w:val="auto"/>
          <w:sz w:val="28"/>
          <w:szCs w:val="28"/>
        </w:rPr>
      </w:pPr>
      <w:r>
        <w:rPr>
          <w:color w:val="auto"/>
        </w:rPr>
        <w:fldChar w:fldCharType="begin"/>
      </w:r>
      <w:r>
        <w:rPr>
          <w:color w:val="auto"/>
        </w:rPr>
        <w:instrText xml:space="preserve"> HYPERLINK \l "_Toc32342" </w:instrText>
      </w:r>
      <w:r>
        <w:rPr>
          <w:color w:val="auto"/>
        </w:rPr>
        <w:fldChar w:fldCharType="separate"/>
      </w:r>
      <w:r>
        <w:rPr>
          <w:rFonts w:ascii="Times New Roman" w:hAnsi="Times New Roman" w:cs="Times New Roman"/>
          <w:color w:val="auto"/>
          <w:sz w:val="28"/>
          <w:szCs w:val="28"/>
          <w:lang w:val="en-US"/>
        </w:rPr>
        <w:t>7</w:t>
      </w:r>
      <w:r>
        <w:rPr>
          <w:rFonts w:ascii="Times New Roman" w:hAnsi="Times New Roman" w:cs="Times New Roman"/>
          <w:color w:val="auto"/>
          <w:sz w:val="28"/>
          <w:szCs w:val="28"/>
        </w:rPr>
        <w:t>结论与建议</w:t>
      </w:r>
      <w:r>
        <w:rPr>
          <w:rFonts w:ascii="Times New Roman" w:hAnsi="Times New Roman" w:cs="Times New Roman"/>
          <w:color w:val="auto"/>
          <w:sz w:val="28"/>
          <w:szCs w:val="28"/>
        </w:rPr>
        <w:tab/>
      </w: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PAGEREF _Toc32342 \h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t>185</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fldChar w:fldCharType="end"/>
      </w:r>
    </w:p>
    <w:p w14:paraId="103DCD0D">
      <w:pPr>
        <w:pStyle w:val="21"/>
        <w:tabs>
          <w:tab w:val="right" w:leader="dot" w:pos="8301"/>
        </w:tabs>
        <w:rPr>
          <w:color w:val="auto"/>
          <w:sz w:val="28"/>
          <w:szCs w:val="28"/>
        </w:rPr>
      </w:pPr>
      <w:r>
        <w:rPr>
          <w:color w:val="auto"/>
        </w:rPr>
        <w:fldChar w:fldCharType="begin"/>
      </w:r>
      <w:r>
        <w:rPr>
          <w:color w:val="auto"/>
        </w:rPr>
        <w:instrText xml:space="preserve"> HYPERLINK \l "_Toc22230" </w:instrText>
      </w:r>
      <w:r>
        <w:rPr>
          <w:color w:val="auto"/>
        </w:rPr>
        <w:fldChar w:fldCharType="separate"/>
      </w:r>
      <w:r>
        <w:rPr>
          <w:color w:val="auto"/>
          <w:sz w:val="28"/>
          <w:szCs w:val="28"/>
        </w:rPr>
        <w:t>7.1结论</w:t>
      </w:r>
      <w:r>
        <w:rPr>
          <w:color w:val="auto"/>
          <w:sz w:val="28"/>
          <w:szCs w:val="28"/>
        </w:rPr>
        <w:tab/>
      </w:r>
      <w:r>
        <w:rPr>
          <w:color w:val="auto"/>
          <w:sz w:val="28"/>
          <w:szCs w:val="28"/>
        </w:rPr>
        <w:fldChar w:fldCharType="begin"/>
      </w:r>
      <w:r>
        <w:rPr>
          <w:color w:val="auto"/>
          <w:sz w:val="28"/>
          <w:szCs w:val="28"/>
        </w:rPr>
        <w:instrText xml:space="preserve"> PAGEREF _Toc22230 \h </w:instrText>
      </w:r>
      <w:r>
        <w:rPr>
          <w:color w:val="auto"/>
          <w:sz w:val="28"/>
          <w:szCs w:val="28"/>
        </w:rPr>
        <w:fldChar w:fldCharType="separate"/>
      </w:r>
      <w:r>
        <w:rPr>
          <w:color w:val="auto"/>
          <w:sz w:val="28"/>
          <w:szCs w:val="28"/>
        </w:rPr>
        <w:t>185</w:t>
      </w:r>
      <w:r>
        <w:rPr>
          <w:color w:val="auto"/>
          <w:sz w:val="28"/>
          <w:szCs w:val="28"/>
        </w:rPr>
        <w:fldChar w:fldCharType="end"/>
      </w:r>
      <w:r>
        <w:rPr>
          <w:color w:val="auto"/>
          <w:sz w:val="28"/>
          <w:szCs w:val="28"/>
        </w:rPr>
        <w:fldChar w:fldCharType="end"/>
      </w:r>
    </w:p>
    <w:p w14:paraId="2DF0263E">
      <w:pPr>
        <w:pStyle w:val="21"/>
        <w:tabs>
          <w:tab w:val="right" w:leader="dot" w:pos="8301"/>
        </w:tabs>
        <w:rPr>
          <w:color w:val="auto"/>
          <w:sz w:val="28"/>
          <w:szCs w:val="28"/>
        </w:rPr>
      </w:pPr>
      <w:r>
        <w:rPr>
          <w:color w:val="auto"/>
        </w:rPr>
        <w:fldChar w:fldCharType="begin"/>
      </w:r>
      <w:r>
        <w:rPr>
          <w:color w:val="auto"/>
        </w:rPr>
        <w:instrText xml:space="preserve"> HYPERLINK \l "_Toc8514" </w:instrText>
      </w:r>
      <w:r>
        <w:rPr>
          <w:color w:val="auto"/>
        </w:rPr>
        <w:fldChar w:fldCharType="separate"/>
      </w:r>
      <w:r>
        <w:rPr>
          <w:color w:val="auto"/>
          <w:sz w:val="28"/>
          <w:szCs w:val="28"/>
        </w:rPr>
        <w:t>7.2建议</w:t>
      </w:r>
      <w:r>
        <w:rPr>
          <w:color w:val="auto"/>
          <w:sz w:val="28"/>
          <w:szCs w:val="28"/>
        </w:rPr>
        <w:tab/>
      </w:r>
      <w:r>
        <w:rPr>
          <w:color w:val="auto"/>
          <w:sz w:val="28"/>
          <w:szCs w:val="28"/>
        </w:rPr>
        <w:fldChar w:fldCharType="begin"/>
      </w:r>
      <w:r>
        <w:rPr>
          <w:color w:val="auto"/>
          <w:sz w:val="28"/>
          <w:szCs w:val="28"/>
        </w:rPr>
        <w:instrText xml:space="preserve"> PAGEREF _Toc8514 \h </w:instrText>
      </w:r>
      <w:r>
        <w:rPr>
          <w:color w:val="auto"/>
          <w:sz w:val="28"/>
          <w:szCs w:val="28"/>
        </w:rPr>
        <w:fldChar w:fldCharType="separate"/>
      </w:r>
      <w:r>
        <w:rPr>
          <w:color w:val="auto"/>
          <w:sz w:val="28"/>
          <w:szCs w:val="28"/>
        </w:rPr>
        <w:t>186</w:t>
      </w:r>
      <w:r>
        <w:rPr>
          <w:color w:val="auto"/>
          <w:sz w:val="28"/>
          <w:szCs w:val="28"/>
        </w:rPr>
        <w:fldChar w:fldCharType="end"/>
      </w:r>
      <w:r>
        <w:rPr>
          <w:color w:val="auto"/>
          <w:sz w:val="28"/>
          <w:szCs w:val="28"/>
        </w:rPr>
        <w:fldChar w:fldCharType="end"/>
      </w:r>
    </w:p>
    <w:p w14:paraId="70F7ED0A">
      <w:pPr>
        <w:keepNext/>
        <w:keepLines/>
        <w:widowControl/>
        <w:adjustRightInd w:val="0"/>
        <w:snapToGrid w:val="0"/>
        <w:spacing w:line="360" w:lineRule="auto"/>
        <w:ind w:firstLine="560" w:firstLineChars="200"/>
        <w:jc w:val="center"/>
        <w:rPr>
          <w:b/>
          <w:color w:val="auto"/>
          <w:kern w:val="0"/>
          <w:sz w:val="24"/>
          <w:highlight w:val="red"/>
        </w:rPr>
      </w:pPr>
      <w:r>
        <w:rPr>
          <w:bCs/>
          <w:color w:val="auto"/>
          <w:sz w:val="28"/>
          <w:szCs w:val="28"/>
        </w:rPr>
        <w:fldChar w:fldCharType="end"/>
      </w:r>
    </w:p>
    <w:p w14:paraId="724D94A3">
      <w:pPr>
        <w:rPr>
          <w:b/>
          <w:color w:val="auto"/>
          <w:sz w:val="32"/>
          <w:szCs w:val="32"/>
        </w:rPr>
      </w:pPr>
      <w:r>
        <w:rPr>
          <w:b/>
          <w:color w:val="auto"/>
          <w:sz w:val="32"/>
          <w:szCs w:val="32"/>
        </w:rPr>
        <w:br w:type="page"/>
      </w:r>
    </w:p>
    <w:p w14:paraId="254C22BC">
      <w:pPr>
        <w:pStyle w:val="80"/>
        <w:widowControl w:val="0"/>
        <w:adjustRightInd w:val="0"/>
        <w:snapToGrid w:val="0"/>
        <w:spacing w:after="0" w:line="360" w:lineRule="auto"/>
        <w:ind w:firstLine="0" w:firstLineChars="0"/>
        <w:jc w:val="center"/>
        <w:outlineLvl w:val="0"/>
        <w:rPr>
          <w:rFonts w:ascii="Times New Roman" w:hAnsi="Times New Roman" w:cs="Times New Roman"/>
          <w:b/>
          <w:color w:val="auto"/>
          <w:sz w:val="32"/>
          <w:szCs w:val="32"/>
        </w:rPr>
      </w:pPr>
      <w:bookmarkStart w:id="91" w:name="_Toc11562"/>
      <w:r>
        <w:rPr>
          <w:rFonts w:ascii="Times New Roman" w:hAnsi="Times New Roman" w:cs="Times New Roman"/>
          <w:b/>
          <w:color w:val="auto"/>
          <w:sz w:val="32"/>
          <w:szCs w:val="32"/>
        </w:rPr>
        <w:t>前 言</w:t>
      </w:r>
      <w:bookmarkEnd w:id="90"/>
      <w:bookmarkEnd w:id="91"/>
    </w:p>
    <w:p w14:paraId="74DD40F6">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湖南东洞庭湖国家级自然保护区为1982年经湖南省人民政府批准建立省级自然保护区，1994年经国务院批准晋升为国家级自然保护区。该保护区位于长江中下游荆江河段南侧，地处湖南省东北部岳阳市境内，范围在东经112°43′59.5″~113°13′13.4″，北纬29°00′00″~29°37′45.7″之间，南集“四水”（湘、资、沅、澧），北调长江。保护区总面积157628公顷，其中核心区面积33286.2公顷，缓冲区面积32369.8公顷，实验区面积91972公顷。东洞庭湖湿地生物多样性丰富，堪称世界巨大的基因宝库。保护区内有维管束植物159科1186种。东洞庭湖湿地位于我国冬候鸟和夏候鸟迁徙的重叠区域，是亚太鸟类迁徙线路上的主要停歇地和越冬地，有鸟类338种，其中国家Ⅰ级保护动物7种，国家Ⅱ级保护动物38种，具有极高的保护和科研价值。同时，该区域淡水鱼类丰富，有国家Ⅰ级、Ⅱ级保护鱼类各2种。</w:t>
      </w:r>
    </w:p>
    <w:p w14:paraId="6712262F">
      <w:pPr>
        <w:adjustRightInd w:val="0"/>
        <w:snapToGrid w:val="0"/>
        <w:spacing w:line="360" w:lineRule="auto"/>
        <w:ind w:firstLine="480" w:firstLineChars="200"/>
        <w:rPr>
          <w:rFonts w:eastAsiaTheme="minorEastAsia"/>
          <w:color w:val="auto"/>
          <w:kern w:val="0"/>
          <w:sz w:val="24"/>
        </w:rPr>
      </w:pPr>
      <w:r>
        <w:rPr>
          <w:rFonts w:hint="eastAsia" w:eastAsiaTheme="minorEastAsia"/>
          <w:color w:val="auto"/>
          <w:kern w:val="0"/>
          <w:sz w:val="24"/>
        </w:rPr>
        <w:t>君山区方台湖设施渔业水基项目（一期）</w:t>
      </w:r>
      <w:r>
        <w:rPr>
          <w:rFonts w:eastAsiaTheme="minorEastAsia"/>
          <w:color w:val="auto"/>
          <w:kern w:val="0"/>
          <w:sz w:val="24"/>
        </w:rPr>
        <w:t>（简称项目）</w:t>
      </w:r>
      <w:r>
        <w:rPr>
          <w:rFonts w:hint="eastAsia" w:eastAsiaTheme="minorEastAsia"/>
          <w:color w:val="auto"/>
          <w:kern w:val="0"/>
          <w:sz w:val="24"/>
        </w:rPr>
        <w:t>的建设内容为</w:t>
      </w:r>
      <w:r>
        <w:rPr>
          <w:color w:val="auto"/>
          <w:kern w:val="0"/>
          <w:sz w:val="24"/>
          <w:szCs w:val="32"/>
        </w:rPr>
        <w:t>50亩水基食源地</w:t>
      </w:r>
      <w:r>
        <w:rPr>
          <w:rFonts w:hint="eastAsia"/>
          <w:color w:val="auto"/>
          <w:kern w:val="0"/>
          <w:sz w:val="24"/>
          <w:szCs w:val="32"/>
        </w:rPr>
        <w:t>及其配套工程，总占地面积为47073.62m</w:t>
      </w:r>
      <w:r>
        <w:rPr>
          <w:rFonts w:hint="eastAsia"/>
          <w:color w:val="auto"/>
          <w:kern w:val="0"/>
          <w:sz w:val="24"/>
          <w:szCs w:val="32"/>
          <w:vertAlign w:val="superscript"/>
        </w:rPr>
        <w:t>2</w:t>
      </w:r>
      <w:r>
        <w:rPr>
          <w:rFonts w:hint="eastAsia"/>
          <w:color w:val="auto"/>
          <w:kern w:val="0"/>
          <w:sz w:val="24"/>
          <w:szCs w:val="32"/>
        </w:rPr>
        <w:t>（含50亩水域）</w:t>
      </w:r>
      <w:r>
        <w:rPr>
          <w:color w:val="auto"/>
          <w:kern w:val="0"/>
          <w:sz w:val="24"/>
          <w:szCs w:val="32"/>
        </w:rPr>
        <w:t>，</w:t>
      </w:r>
      <w:r>
        <w:rPr>
          <w:rFonts w:eastAsiaTheme="minorEastAsia"/>
          <w:color w:val="auto"/>
          <w:kern w:val="0"/>
          <w:sz w:val="24"/>
        </w:rPr>
        <w:t>项目</w:t>
      </w:r>
      <w:r>
        <w:rPr>
          <w:rFonts w:hint="eastAsia" w:eastAsiaTheme="minorEastAsia"/>
          <w:color w:val="auto"/>
          <w:kern w:val="0"/>
          <w:sz w:val="24"/>
        </w:rPr>
        <w:t>选址</w:t>
      </w:r>
      <w:r>
        <w:rPr>
          <w:rFonts w:hint="eastAsia"/>
          <w:color w:val="auto"/>
          <w:kern w:val="0"/>
          <w:sz w:val="24"/>
          <w:szCs w:val="32"/>
        </w:rPr>
        <w:t>涉及</w:t>
      </w:r>
      <w:r>
        <w:rPr>
          <w:rFonts w:eastAsiaTheme="minorEastAsia"/>
          <w:color w:val="auto"/>
          <w:kern w:val="0"/>
          <w:sz w:val="24"/>
        </w:rPr>
        <w:t>湖南东洞庭湖国家级自然保护区实验区，不涉及保护区的缓冲区和核心区。</w:t>
      </w:r>
      <w:r>
        <w:rPr>
          <w:rFonts w:hint="eastAsia" w:eastAsiaTheme="minorEastAsia"/>
          <w:color w:val="auto"/>
          <w:kern w:val="0"/>
          <w:sz w:val="24"/>
        </w:rPr>
        <w:t>本项目是在原有鱼塘基础上进行改建升级，项目工程本身位于保护区实验区内，因此无法迁出和避绕保护区，符合自然保护区管理的相关要求</w:t>
      </w:r>
      <w:r>
        <w:rPr>
          <w:rFonts w:eastAsiaTheme="minorEastAsia"/>
          <w:color w:val="auto"/>
          <w:kern w:val="0"/>
          <w:sz w:val="24"/>
        </w:rPr>
        <w:t>，湖南东洞庭湖国家级自然保护区管理局已原则支持项目建设。</w:t>
      </w:r>
    </w:p>
    <w:p w14:paraId="3E4FCCFD">
      <w:pPr>
        <w:adjustRightInd w:val="0"/>
        <w:snapToGrid w:val="0"/>
        <w:spacing w:line="360" w:lineRule="auto"/>
        <w:ind w:firstLine="480" w:firstLineChars="200"/>
        <w:rPr>
          <w:rFonts w:eastAsiaTheme="minorEastAsia"/>
          <w:color w:val="auto"/>
        </w:rPr>
        <w:sectPr>
          <w:footerReference r:id="rId18" w:type="default"/>
          <w:pgSz w:w="11907" w:h="16840"/>
          <w:pgMar w:top="1418" w:right="1803" w:bottom="1418" w:left="1803" w:header="851" w:footer="992" w:gutter="0"/>
          <w:cols w:space="720" w:num="1"/>
          <w:docGrid w:linePitch="312" w:charSpace="0"/>
        </w:sectPr>
      </w:pPr>
      <w:r>
        <w:rPr>
          <w:rFonts w:eastAsiaTheme="minorEastAsia"/>
          <w:color w:val="auto"/>
          <w:kern w:val="0"/>
          <w:sz w:val="24"/>
        </w:rPr>
        <w:t>受</w:t>
      </w:r>
      <w:r>
        <w:rPr>
          <w:rFonts w:hint="eastAsia" w:eastAsiaTheme="minorEastAsia"/>
          <w:color w:val="auto"/>
          <w:kern w:val="0"/>
          <w:sz w:val="24"/>
        </w:rPr>
        <w:t>湖南君山生态渔业集团有限公司</w:t>
      </w:r>
      <w:r>
        <w:rPr>
          <w:rFonts w:eastAsiaTheme="minorEastAsia"/>
          <w:color w:val="auto"/>
          <w:kern w:val="0"/>
          <w:sz w:val="24"/>
        </w:rPr>
        <w:t>的委托，湖南京帝环保科技研究院有限公司依照《涉及国家级自然保护区建设项目生态影响专题报告编制指南（试行）》、《环境影响评价技术导则 生态影响》（HJ19-2022）等要求，在收集资料、野外调查等基础上编制了《</w:t>
      </w:r>
      <w:r>
        <w:rPr>
          <w:rFonts w:hint="eastAsia" w:eastAsiaTheme="minorEastAsia"/>
          <w:color w:val="auto"/>
          <w:kern w:val="0"/>
          <w:sz w:val="24"/>
        </w:rPr>
        <w:t>君山区方台湖设施渔业水基项目（一期）</w:t>
      </w:r>
      <w:r>
        <w:rPr>
          <w:rFonts w:eastAsiaTheme="minorEastAsia"/>
          <w:color w:val="auto"/>
          <w:kern w:val="0"/>
          <w:sz w:val="24"/>
        </w:rPr>
        <w:t>生态影响专题报告》。</w:t>
      </w:r>
    </w:p>
    <w:p w14:paraId="1677DFAD">
      <w:pPr>
        <w:pStyle w:val="81"/>
        <w:widowControl w:val="0"/>
        <w:spacing w:beforeLines="0" w:afterLines="0"/>
        <w:ind w:left="0"/>
        <w:jc w:val="both"/>
        <w:rPr>
          <w:rFonts w:ascii="Times New Roman" w:hAnsi="Times New Roman" w:cs="Times New Roman"/>
          <w:color w:val="auto"/>
        </w:rPr>
      </w:pPr>
      <w:bookmarkStart w:id="92" w:name="_Toc30535"/>
      <w:r>
        <w:rPr>
          <w:rFonts w:ascii="Times New Roman" w:hAnsi="Times New Roman" w:cs="Times New Roman"/>
          <w:color w:val="auto"/>
        </w:rPr>
        <w:t>1</w:t>
      </w:r>
      <w:r>
        <w:rPr>
          <w:rFonts w:hint="eastAsia" w:ascii="Times New Roman" w:hAnsi="Times New Roman" w:cs="Times New Roman"/>
          <w:color w:val="auto"/>
        </w:rPr>
        <w:t>总则</w:t>
      </w:r>
      <w:bookmarkEnd w:id="92"/>
    </w:p>
    <w:p w14:paraId="0FCCBA8E">
      <w:pPr>
        <w:pStyle w:val="82"/>
        <w:widowControl w:val="0"/>
        <w:spacing w:line="360" w:lineRule="auto"/>
        <w:outlineLvl w:val="1"/>
        <w:rPr>
          <w:rFonts w:ascii="Times New Roman" w:hAnsi="Times New Roman" w:cs="Times New Roman"/>
          <w:b/>
          <w:color w:val="auto"/>
          <w:sz w:val="30"/>
          <w:szCs w:val="30"/>
        </w:rPr>
      </w:pPr>
      <w:bookmarkStart w:id="93" w:name="_Toc12915"/>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1</w:t>
      </w:r>
      <w:r>
        <w:rPr>
          <w:rFonts w:ascii="Times New Roman" w:hAnsi="Times New Roman" w:cs="Times New Roman"/>
          <w:b/>
          <w:color w:val="auto"/>
          <w:sz w:val="30"/>
          <w:szCs w:val="30"/>
        </w:rPr>
        <w:t>编制依据</w:t>
      </w:r>
      <w:bookmarkEnd w:id="93"/>
    </w:p>
    <w:p w14:paraId="3C1D90BC">
      <w:pPr>
        <w:pStyle w:val="77"/>
        <w:widowControl w:val="0"/>
        <w:tabs>
          <w:tab w:val="left" w:pos="567"/>
          <w:tab w:val="left" w:pos="851"/>
        </w:tabs>
        <w:adjustRightInd w:val="0"/>
        <w:spacing w:line="36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w:t>
      </w:r>
      <w:r>
        <w:rPr>
          <w:rFonts w:ascii="Times New Roman" w:hAnsi="Times New Roman" w:cs="Times New Roman"/>
          <w:b/>
          <w:color w:val="auto"/>
          <w:sz w:val="28"/>
          <w:szCs w:val="28"/>
        </w:rPr>
        <w:t>.1法律</w:t>
      </w:r>
    </w:p>
    <w:p w14:paraId="55464A25">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《中华人民共和国环境保护法》，2015年1月1日施行；</w:t>
      </w:r>
    </w:p>
    <w:p w14:paraId="04976315">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《中华人民共和国环境影响评价法》，2018年12月29日修正施行；</w:t>
      </w:r>
    </w:p>
    <w:p w14:paraId="3EC0D6D9">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《中华人民共和国水污染防治法》，2018年1月1日修正施行；</w:t>
      </w:r>
    </w:p>
    <w:p w14:paraId="06FF21D8">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《中华人民共和国大气污染防治法》，2018年10月26日修订施行；</w:t>
      </w:r>
    </w:p>
    <w:p w14:paraId="04C21B3D">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《中华人民共和国噪声污染防治法》，2022年6月5日起施行；</w:t>
      </w:r>
    </w:p>
    <w:p w14:paraId="259B9661">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《中华人民共和国固体废物污染环境防治法》，2020年4月29日修订；</w:t>
      </w:r>
    </w:p>
    <w:p w14:paraId="5CE4C8F3">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《中华人民共和国土壤污染防治法》，2019年1月1日起施行；</w:t>
      </w:r>
    </w:p>
    <w:p w14:paraId="4FFDF794">
      <w:pPr>
        <w:numPr>
          <w:ilvl w:val="1"/>
          <w:numId w:val="9"/>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《中华人民共和国长江保护法》，2021年3月1日起施行；</w:t>
      </w:r>
    </w:p>
    <w:p w14:paraId="5D0FD8C8">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《中华人民共和国防洪法》，2016年7月2日修正；</w:t>
      </w:r>
    </w:p>
    <w:p w14:paraId="43FC5FB3">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《中华人民共和国水法》，2016年7月2日修订；</w:t>
      </w:r>
    </w:p>
    <w:p w14:paraId="43F03736">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《中华人民共和国水土保持法》，2011年3月1日起修订施行；</w:t>
      </w:r>
    </w:p>
    <w:p w14:paraId="7182DCA5">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《中华人民共和国野生动物保护法》，2018年10月26日修改；</w:t>
      </w:r>
    </w:p>
    <w:p w14:paraId="44579177">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《中华人民共和国渔业法》，2013年12月28日修正；</w:t>
      </w:r>
    </w:p>
    <w:p w14:paraId="6E744EE1">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《中华人民共和国森林法》，2020年7月1日起施行；</w:t>
      </w:r>
    </w:p>
    <w:p w14:paraId="7F0306F8">
      <w:pPr>
        <w:numPr>
          <w:ilvl w:val="1"/>
          <w:numId w:val="9"/>
        </w:numPr>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《中华人民共和国湿地保护法》，2022年6月1日起施行；</w:t>
      </w:r>
    </w:p>
    <w:p w14:paraId="322F5467">
      <w:pPr>
        <w:pStyle w:val="77"/>
        <w:widowControl w:val="0"/>
        <w:tabs>
          <w:tab w:val="left" w:pos="567"/>
          <w:tab w:val="left" w:pos="851"/>
        </w:tabs>
        <w:adjustRightInd w:val="0"/>
        <w:spacing w:line="36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w:t>
      </w:r>
      <w:r>
        <w:rPr>
          <w:rFonts w:ascii="Times New Roman" w:hAnsi="Times New Roman" w:cs="Times New Roman"/>
          <w:b/>
          <w:color w:val="auto"/>
          <w:sz w:val="28"/>
          <w:szCs w:val="28"/>
        </w:rPr>
        <w:t>.2法规及规章</w:t>
      </w:r>
    </w:p>
    <w:p w14:paraId="5CC5B414">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《建设项目环境保护管理条例》，国务院第682号令；</w:t>
      </w:r>
    </w:p>
    <w:p w14:paraId="279A5A1B">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《中华人民共和国自然保护区条例》，2017年10月7日修订；</w:t>
      </w:r>
    </w:p>
    <w:p w14:paraId="677F746E">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《中华人民共和国河道管理条例》，2018年3月19日修正；</w:t>
      </w:r>
    </w:p>
    <w:p w14:paraId="1FA289C3">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《中华人民共和国水生野生动物保护实施条例》，2013年12月7日修订；</w:t>
      </w:r>
    </w:p>
    <w:p w14:paraId="398BC399">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《中华人民共和国陆生野生动物保护实施条例》，2016年2月6日修订；</w:t>
      </w:r>
    </w:p>
    <w:p w14:paraId="41DBA28B">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《中华人民共和国野生植物保护条例》，2017年10月7日修订；</w:t>
      </w:r>
    </w:p>
    <w:p w14:paraId="21F77FCC">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《全国主体功能区规划》（国发[2010]46号）；</w:t>
      </w:r>
    </w:p>
    <w:p w14:paraId="2EEE6BA9">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《中共中央国务院关于全面加强生态环境保护坚决打好污染防治攻坚战的意见》，2018年6月16日；</w:t>
      </w:r>
    </w:p>
    <w:p w14:paraId="0BA4EEDD">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《产业结构调整指导目录（</w:t>
      </w:r>
      <w:r>
        <w:rPr>
          <w:rFonts w:hint="eastAsia" w:eastAsiaTheme="minorEastAsia"/>
          <w:color w:val="auto"/>
          <w:kern w:val="0"/>
          <w:sz w:val="24"/>
        </w:rPr>
        <w:t>2024</w:t>
      </w:r>
      <w:r>
        <w:rPr>
          <w:rFonts w:eastAsiaTheme="minorEastAsia"/>
          <w:color w:val="auto"/>
          <w:kern w:val="0"/>
          <w:sz w:val="24"/>
        </w:rPr>
        <w:t>年本）》；</w:t>
      </w:r>
    </w:p>
    <w:p w14:paraId="516C5E2A">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《长江经济带生态环境保护规划》（环规财[2017]88号）；</w:t>
      </w:r>
    </w:p>
    <w:p w14:paraId="45654ED8">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《全国生态功能区划（修编版）》，环境保护部、中国科学院公告2015年第61号；</w:t>
      </w:r>
    </w:p>
    <w:p w14:paraId="5A8E8949">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《关于印发《长江保护修复攻坚战行动计划》的通知》（环水体[2018]181号）；</w:t>
      </w:r>
    </w:p>
    <w:p w14:paraId="2935A70A">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《关于印发&lt;长江经济带发展负面清单指南（试行，2022年版）&gt;的通知》，长江办[2022]7号；</w:t>
      </w:r>
    </w:p>
    <w:p w14:paraId="0A55E53B">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《关于印发&lt;湖南省长江经济带发展负面清单实施细则（试行，2022年版）&gt;的通知》，湖南省长江办第70号；</w:t>
      </w:r>
    </w:p>
    <w:p w14:paraId="1C47BD8F">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《关于加强生态保护红线管理的通知（试行）》（自然资发〔2022〕142号）；</w:t>
      </w:r>
    </w:p>
    <w:p w14:paraId="073FE87A">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《关于印发&lt;涉及国家级自然保护区建设项目生态影响专题报告编制指南（试行）&gt;的通知（环办》函[2014]1419号）；</w:t>
      </w:r>
    </w:p>
    <w:p w14:paraId="39C63569">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《国家重点保护野生动物名录》（国家林业和草原局农业农村部公告2021年第3号）；</w:t>
      </w:r>
    </w:p>
    <w:p w14:paraId="03FBD39E">
      <w:pPr>
        <w:numPr>
          <w:ilvl w:val="1"/>
          <w:numId w:val="10"/>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《国家重点保护野生植物名录》（国家林业和草原局农业农村部公告2021第15号）。</w:t>
      </w:r>
    </w:p>
    <w:p w14:paraId="6EF1F909">
      <w:pPr>
        <w:pStyle w:val="77"/>
        <w:widowControl w:val="0"/>
        <w:tabs>
          <w:tab w:val="left" w:pos="567"/>
          <w:tab w:val="left" w:pos="851"/>
        </w:tabs>
        <w:adjustRightInd w:val="0"/>
        <w:snapToGrid w:val="0"/>
        <w:spacing w:line="36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w:t>
      </w:r>
      <w:r>
        <w:rPr>
          <w:rFonts w:ascii="Times New Roman" w:hAnsi="Times New Roman" w:cs="Times New Roman"/>
          <w:b/>
          <w:color w:val="auto"/>
          <w:sz w:val="28"/>
          <w:szCs w:val="28"/>
        </w:rPr>
        <w:t>.3地方有关法规及相关政策文件</w:t>
      </w:r>
    </w:p>
    <w:p w14:paraId="53EBC7A7">
      <w:pPr>
        <w:numPr>
          <w:ilvl w:val="0"/>
          <w:numId w:val="11"/>
        </w:numPr>
        <w:tabs>
          <w:tab w:val="left" w:pos="426"/>
          <w:tab w:val="left" w:pos="567"/>
          <w:tab w:val="left" w:pos="709"/>
        </w:tabs>
        <w:snapToGrid w:val="0"/>
        <w:spacing w:line="360" w:lineRule="auto"/>
        <w:ind w:left="0" w:firstLine="480" w:firstLineChars="200"/>
        <w:rPr>
          <w:rFonts w:eastAsiaTheme="minorEastAsia"/>
          <w:color w:val="auto"/>
          <w:kern w:val="0"/>
          <w:sz w:val="24"/>
        </w:rPr>
      </w:pPr>
      <w:r>
        <w:rPr>
          <w:rFonts w:eastAsiaTheme="minorEastAsia"/>
          <w:color w:val="auto"/>
          <w:kern w:val="0"/>
          <w:sz w:val="24"/>
        </w:rPr>
        <w:t>《湖南省环境保护条例》（2019年修正）；</w:t>
      </w:r>
    </w:p>
    <w:p w14:paraId="17573566">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《湖南省洞庭湖保护条例》，2021年9月1日起施行；</w:t>
      </w:r>
    </w:p>
    <w:p w14:paraId="07A85AD5">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《湖南省湿地保护条例》，2005年10月1日起施行；</w:t>
      </w:r>
    </w:p>
    <w:p w14:paraId="60B14983">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《湖南省野生动植物资源保护条例》，2020年3月31日修正；</w:t>
      </w:r>
    </w:p>
    <w:p w14:paraId="0C5DFFE8">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《湖南省主体功能区规划》（湘政发[2012]39号）；</w:t>
      </w:r>
    </w:p>
    <w:p w14:paraId="0D2F2E8B">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《湖南省主要水系地表水环境功能区划》（DB43/023-2005）；</w:t>
      </w:r>
    </w:p>
    <w:p w14:paraId="66193401">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《湖南省人民政府关于印发《湖南省洞庭湖水环境综合治理规划实施方案（2018—2025年）》的通知》（湘政发[2019]20号）；</w:t>
      </w:r>
    </w:p>
    <w:p w14:paraId="6FECFC54">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《洞庭湖总磷污染控制与削减攻坚行动计划（2022-2025年）》（湘政办发[2022]29号）；</w:t>
      </w:r>
    </w:p>
    <w:p w14:paraId="719906EB">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《用水定额》（DB43/T388-2020）；</w:t>
      </w:r>
    </w:p>
    <w:p w14:paraId="16AB4E80">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《关于印发《岳阳市水环境功能区管理规定》和《岳阳市水环境功能区划分》的通知》（岳政发[2010]30号）；</w:t>
      </w:r>
    </w:p>
    <w:p w14:paraId="44EF31FB">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《岳阳市人民政府办公室关于印发《岳阳市重要饮用水水源地名录》的通知》（岳政办函〔2015〕21号）；</w:t>
      </w:r>
    </w:p>
    <w:p w14:paraId="275D4DD7">
      <w:pPr>
        <w:numPr>
          <w:ilvl w:val="0"/>
          <w:numId w:val="11"/>
        </w:numPr>
        <w:tabs>
          <w:tab w:val="left" w:pos="426"/>
          <w:tab w:val="left" w:pos="567"/>
          <w:tab w:val="left" w:pos="709"/>
        </w:tabs>
        <w:spacing w:line="360" w:lineRule="auto"/>
        <w:ind w:left="0" w:firstLine="480" w:firstLineChars="200"/>
        <w:rPr>
          <w:rFonts w:eastAsiaTheme="minorEastAsia"/>
          <w:color w:val="auto"/>
          <w:kern w:val="0"/>
          <w:sz w:val="24"/>
        </w:rPr>
      </w:pPr>
      <w:r>
        <w:rPr>
          <w:rFonts w:eastAsiaTheme="minorEastAsia"/>
          <w:color w:val="auto"/>
          <w:kern w:val="0"/>
          <w:sz w:val="24"/>
        </w:rPr>
        <w:t>《岳阳市东洞庭湖国家级自然保护区条例》，2019年3月1日起施行。</w:t>
      </w:r>
    </w:p>
    <w:p w14:paraId="417FFAE9">
      <w:pPr>
        <w:pStyle w:val="83"/>
        <w:widowControl w:val="0"/>
        <w:tabs>
          <w:tab w:val="left" w:pos="567"/>
          <w:tab w:val="left" w:pos="851"/>
        </w:tabs>
        <w:adjustRightInd w:val="0"/>
        <w:spacing w:line="360" w:lineRule="auto"/>
        <w:ind w:firstLine="0" w:firstLineChars="0"/>
        <w:outlineLvl w:val="2"/>
        <w:rPr>
          <w:rFonts w:ascii="Times New Roman" w:hAnsi="Times New Roman" w:cs="Times New Roman" w:eastAsiaTheme="minorEastAsia"/>
          <w:b/>
          <w:color w:val="auto"/>
          <w:sz w:val="28"/>
          <w:szCs w:val="28"/>
        </w:rPr>
      </w:pPr>
      <w:r>
        <w:rPr>
          <w:rFonts w:ascii="Times New Roman" w:hAnsi="Times New Roman" w:cs="Times New Roman" w:eastAsiaTheme="minorEastAsia"/>
          <w:b/>
          <w:color w:val="auto"/>
          <w:kern w:val="2"/>
          <w:sz w:val="28"/>
          <w:szCs w:val="28"/>
        </w:rPr>
        <w:t>1.</w:t>
      </w:r>
      <w:r>
        <w:rPr>
          <w:rFonts w:hint="eastAsia" w:ascii="Times New Roman" w:hAnsi="Times New Roman" w:cs="Times New Roman" w:eastAsiaTheme="minorEastAsia"/>
          <w:b/>
          <w:color w:val="auto"/>
          <w:kern w:val="2"/>
          <w:sz w:val="28"/>
          <w:szCs w:val="28"/>
        </w:rPr>
        <w:t>1</w:t>
      </w:r>
      <w:r>
        <w:rPr>
          <w:rFonts w:ascii="Times New Roman" w:hAnsi="Times New Roman" w:cs="Times New Roman" w:eastAsiaTheme="minorEastAsia"/>
          <w:b/>
          <w:color w:val="auto"/>
          <w:kern w:val="2"/>
          <w:sz w:val="28"/>
          <w:szCs w:val="28"/>
        </w:rPr>
        <w:t>.4导则及有关技术规范</w:t>
      </w:r>
    </w:p>
    <w:p w14:paraId="65C99342">
      <w:pPr>
        <w:numPr>
          <w:ilvl w:val="0"/>
          <w:numId w:val="12"/>
        </w:numPr>
        <w:tabs>
          <w:tab w:val="left" w:pos="284"/>
        </w:tabs>
        <w:spacing w:line="360" w:lineRule="auto"/>
        <w:ind w:left="0" w:firstLine="480" w:firstLineChars="200"/>
        <w:rPr>
          <w:rFonts w:eastAsiaTheme="minorEastAsia"/>
          <w:color w:val="auto"/>
          <w:kern w:val="0"/>
          <w:sz w:val="24"/>
        </w:rPr>
      </w:pPr>
      <w:r>
        <w:rPr>
          <w:rFonts w:eastAsiaTheme="minorEastAsia"/>
          <w:color w:val="auto"/>
          <w:kern w:val="0"/>
          <w:sz w:val="24"/>
        </w:rPr>
        <w:t>《建设项目环境影响评价技术导则 总纲》（HJ2.1-2016）；</w:t>
      </w:r>
    </w:p>
    <w:p w14:paraId="01234A49">
      <w:pPr>
        <w:numPr>
          <w:ilvl w:val="0"/>
          <w:numId w:val="12"/>
        </w:numPr>
        <w:tabs>
          <w:tab w:val="left" w:pos="284"/>
        </w:tabs>
        <w:spacing w:line="360" w:lineRule="auto"/>
        <w:ind w:left="0" w:firstLine="480" w:firstLineChars="200"/>
        <w:rPr>
          <w:rFonts w:eastAsiaTheme="minorEastAsia"/>
          <w:color w:val="auto"/>
          <w:kern w:val="0"/>
          <w:sz w:val="24"/>
        </w:rPr>
      </w:pPr>
      <w:r>
        <w:rPr>
          <w:rFonts w:eastAsiaTheme="minorEastAsia"/>
          <w:color w:val="auto"/>
          <w:kern w:val="0"/>
          <w:sz w:val="24"/>
        </w:rPr>
        <w:t>《环境影响评价技术导则 生态影响》（HJ19-2022）；</w:t>
      </w:r>
    </w:p>
    <w:p w14:paraId="41E576EF">
      <w:pPr>
        <w:numPr>
          <w:ilvl w:val="0"/>
          <w:numId w:val="12"/>
        </w:numPr>
        <w:tabs>
          <w:tab w:val="left" w:pos="284"/>
        </w:tabs>
        <w:spacing w:line="360" w:lineRule="auto"/>
        <w:ind w:left="0" w:firstLine="480" w:firstLineChars="200"/>
        <w:rPr>
          <w:rFonts w:eastAsiaTheme="minorEastAsia"/>
          <w:color w:val="auto"/>
          <w:kern w:val="0"/>
          <w:sz w:val="24"/>
        </w:rPr>
      </w:pPr>
      <w:r>
        <w:rPr>
          <w:rFonts w:eastAsiaTheme="minorEastAsia"/>
          <w:color w:val="auto"/>
          <w:kern w:val="0"/>
          <w:sz w:val="24"/>
        </w:rPr>
        <w:t>《环境影响评价技术导则 地表水环境》（HJ2.3-2018）；</w:t>
      </w:r>
    </w:p>
    <w:p w14:paraId="1B10934F">
      <w:pPr>
        <w:numPr>
          <w:ilvl w:val="0"/>
          <w:numId w:val="12"/>
        </w:numPr>
        <w:tabs>
          <w:tab w:val="left" w:pos="284"/>
        </w:tabs>
        <w:spacing w:line="360" w:lineRule="auto"/>
        <w:ind w:left="0" w:firstLine="480" w:firstLineChars="200"/>
        <w:rPr>
          <w:rFonts w:eastAsiaTheme="minorEastAsia"/>
          <w:color w:val="auto"/>
          <w:kern w:val="0"/>
          <w:sz w:val="24"/>
        </w:rPr>
      </w:pPr>
      <w:r>
        <w:rPr>
          <w:rFonts w:eastAsiaTheme="minorEastAsia"/>
          <w:color w:val="auto"/>
          <w:kern w:val="0"/>
          <w:sz w:val="24"/>
        </w:rPr>
        <w:t>《生态环境状况评价技术规范》（HJ192-2015）。</w:t>
      </w:r>
    </w:p>
    <w:p w14:paraId="65EFEC87">
      <w:pPr>
        <w:pStyle w:val="77"/>
        <w:widowControl w:val="0"/>
        <w:tabs>
          <w:tab w:val="left" w:pos="567"/>
          <w:tab w:val="left" w:pos="851"/>
        </w:tabs>
        <w:adjustRightInd w:val="0"/>
        <w:spacing w:line="36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1.</w:t>
      </w:r>
      <w:r>
        <w:rPr>
          <w:rFonts w:hint="eastAsia" w:ascii="Times New Roman" w:hAnsi="Times New Roman" w:cs="Times New Roman"/>
          <w:b/>
          <w:color w:val="auto"/>
          <w:sz w:val="28"/>
          <w:szCs w:val="28"/>
        </w:rPr>
        <w:t>1</w:t>
      </w:r>
      <w:r>
        <w:rPr>
          <w:rFonts w:ascii="Times New Roman" w:hAnsi="Times New Roman" w:cs="Times New Roman"/>
          <w:b/>
          <w:color w:val="auto"/>
          <w:sz w:val="28"/>
          <w:szCs w:val="28"/>
        </w:rPr>
        <w:t>.5其他有关文件</w:t>
      </w:r>
    </w:p>
    <w:p w14:paraId="4051E50A">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《湖南东洞庭湖国家级自然保护区总体规划（2016-2025）》（国家林业局中南林业调查规划设计院，2016）；</w:t>
      </w:r>
    </w:p>
    <w:p w14:paraId="20CC7CFD">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w:t>
      </w:r>
      <w:r>
        <w:rPr>
          <w:rFonts w:hint="eastAsia" w:eastAsiaTheme="minorEastAsia"/>
          <w:color w:val="auto"/>
          <w:kern w:val="0"/>
          <w:sz w:val="24"/>
        </w:rPr>
        <w:t>君山区方台湖设施渔业水基项目</w:t>
      </w:r>
      <w:r>
        <w:rPr>
          <w:rFonts w:eastAsiaTheme="minorEastAsia"/>
          <w:color w:val="auto"/>
          <w:kern w:val="0"/>
          <w:sz w:val="24"/>
        </w:rPr>
        <w:t>可行性研究报告》；</w:t>
      </w:r>
    </w:p>
    <w:p w14:paraId="5FE3ACE8">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《关于君山区方台湖候鸟食源地和生态渔业科普研学研究示范基地可行性研究报告的批复》；</w:t>
      </w:r>
    </w:p>
    <w:p w14:paraId="3C6D268F">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《关于同意变更君山区方台湖候鸟食源地和生态渔业科普研学研究示范基地项目名称和建设内容的批复》</w:t>
      </w:r>
      <w:r>
        <w:rPr>
          <w:rFonts w:hint="eastAsia" w:eastAsiaTheme="minorEastAsia"/>
          <w:color w:val="auto"/>
          <w:kern w:val="0"/>
          <w:sz w:val="24"/>
        </w:rPr>
        <w:t>；</w:t>
      </w:r>
    </w:p>
    <w:p w14:paraId="426D1377">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w:t>
      </w:r>
      <w:r>
        <w:rPr>
          <w:rFonts w:hint="eastAsia" w:eastAsiaTheme="minorEastAsia"/>
          <w:color w:val="auto"/>
          <w:kern w:val="0"/>
          <w:sz w:val="24"/>
        </w:rPr>
        <w:t>君山区方台湖设施渔业水基项目</w:t>
      </w:r>
      <w:r>
        <w:rPr>
          <w:rFonts w:eastAsiaTheme="minorEastAsia"/>
          <w:color w:val="auto"/>
          <w:kern w:val="0"/>
          <w:sz w:val="24"/>
        </w:rPr>
        <w:t>初步设计文件》；</w:t>
      </w:r>
    </w:p>
    <w:p w14:paraId="6D909C10">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项目相关设计资料；</w:t>
      </w:r>
    </w:p>
    <w:p w14:paraId="5FBFF7DD">
      <w:pPr>
        <w:numPr>
          <w:ilvl w:val="0"/>
          <w:numId w:val="13"/>
        </w:numPr>
        <w:spacing w:line="360" w:lineRule="auto"/>
        <w:ind w:left="0" w:firstLine="480" w:firstLineChars="200"/>
        <w:rPr>
          <w:rFonts w:eastAsiaTheme="minorEastAsia"/>
          <w:color w:val="auto"/>
          <w:kern w:val="0"/>
          <w:sz w:val="24"/>
        </w:rPr>
      </w:pPr>
      <w:r>
        <w:rPr>
          <w:rFonts w:eastAsiaTheme="minorEastAsia"/>
          <w:color w:val="auto"/>
          <w:kern w:val="0"/>
          <w:sz w:val="24"/>
        </w:rPr>
        <w:t>建设单位提供的其它资料。</w:t>
      </w:r>
    </w:p>
    <w:p w14:paraId="6294C268">
      <w:pPr>
        <w:pStyle w:val="82"/>
        <w:widowControl w:val="0"/>
        <w:spacing w:line="360" w:lineRule="auto"/>
        <w:outlineLvl w:val="1"/>
        <w:rPr>
          <w:rFonts w:ascii="Times New Roman" w:hAnsi="Times New Roman" w:cs="Times New Roman"/>
          <w:b/>
          <w:color w:val="auto"/>
          <w:sz w:val="30"/>
          <w:szCs w:val="30"/>
        </w:rPr>
      </w:pPr>
      <w:bookmarkStart w:id="94" w:name="_Toc2133"/>
      <w:bookmarkStart w:id="95" w:name="_Toc10970"/>
      <w:bookmarkStart w:id="96" w:name="_Toc26126130"/>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2</w:t>
      </w:r>
      <w:r>
        <w:rPr>
          <w:rFonts w:ascii="Times New Roman" w:hAnsi="Times New Roman" w:cs="Times New Roman"/>
          <w:b/>
          <w:color w:val="auto"/>
          <w:sz w:val="30"/>
          <w:szCs w:val="30"/>
        </w:rPr>
        <w:t>评价原则</w:t>
      </w:r>
      <w:bookmarkEnd w:id="94"/>
      <w:bookmarkEnd w:id="95"/>
    </w:p>
    <w:p w14:paraId="7FF309E9">
      <w:pPr>
        <w:widowControl/>
        <w:spacing w:line="360" w:lineRule="auto"/>
        <w:ind w:firstLine="480" w:firstLineChars="200"/>
        <w:rPr>
          <w:rFonts w:eastAsiaTheme="minorEastAsia"/>
          <w:color w:val="auto"/>
          <w:kern w:val="0"/>
          <w:sz w:val="24"/>
        </w:rPr>
      </w:pPr>
      <w:r>
        <w:rPr>
          <w:rFonts w:eastAsiaTheme="minorEastAsia"/>
          <w:color w:val="auto"/>
          <w:kern w:val="0"/>
          <w:sz w:val="24"/>
        </w:rPr>
        <w:t>按照国家有关法律法规的规定，根据现场调查资料和已有成果，结合项目实际，确定本项目环境影响评价的指导原则：</w:t>
      </w:r>
    </w:p>
    <w:p w14:paraId="29D032B2">
      <w:pPr>
        <w:widowControl/>
        <w:spacing w:line="360" w:lineRule="auto"/>
        <w:ind w:firstLine="480" w:firstLineChars="200"/>
        <w:rPr>
          <w:rFonts w:eastAsiaTheme="minorEastAsia"/>
          <w:color w:val="auto"/>
          <w:kern w:val="0"/>
          <w:sz w:val="24"/>
        </w:rPr>
      </w:pPr>
      <w:r>
        <w:rPr>
          <w:rFonts w:eastAsiaTheme="minorEastAsia"/>
          <w:color w:val="auto"/>
          <w:kern w:val="0"/>
          <w:sz w:val="24"/>
        </w:rPr>
        <w:t>（1）认真贯彻《中华人民共和国环境保护法》和《中华人民共和国环境影响评价法》，按照《环境影响评价技术导则 生态影响》（HJ19-2022）要求，结合建设项目的特点、东洞庭湖国家级自然保护区的自然地理环境条件及生态环境现状、工程建设过程中生态影响的预测成果，坚持“预防为主、防护并重、因地制宜、因害设防、生态保护与生产建设相结合”的原则。</w:t>
      </w:r>
    </w:p>
    <w:p w14:paraId="3335A4AA">
      <w:pPr>
        <w:widowControl/>
        <w:spacing w:line="360" w:lineRule="auto"/>
        <w:ind w:firstLine="480" w:firstLineChars="200"/>
        <w:rPr>
          <w:rFonts w:eastAsiaTheme="minorEastAsia"/>
          <w:color w:val="auto"/>
          <w:kern w:val="0"/>
          <w:sz w:val="24"/>
        </w:rPr>
      </w:pPr>
      <w:r>
        <w:rPr>
          <w:rFonts w:eastAsiaTheme="minorEastAsia"/>
          <w:color w:val="auto"/>
          <w:kern w:val="0"/>
          <w:sz w:val="24"/>
        </w:rPr>
        <w:t>（2）本报告采取重点与全面相结合、预防与恢复相结合、定量与定性相结合的原则，对项目建设运营前后的生态环境变化、生态影响范围进行客观的评价。</w:t>
      </w:r>
    </w:p>
    <w:p w14:paraId="2BFAEAF8">
      <w:pPr>
        <w:widowControl/>
        <w:spacing w:line="360" w:lineRule="auto"/>
        <w:ind w:firstLine="480" w:firstLineChars="200"/>
        <w:rPr>
          <w:rFonts w:eastAsiaTheme="minorEastAsia"/>
          <w:color w:val="auto"/>
          <w:kern w:val="0"/>
          <w:sz w:val="24"/>
        </w:rPr>
      </w:pPr>
      <w:r>
        <w:rPr>
          <w:rFonts w:eastAsiaTheme="minorEastAsia"/>
          <w:color w:val="auto"/>
          <w:kern w:val="0"/>
          <w:sz w:val="24"/>
        </w:rPr>
        <w:t>（3）按照“三同时”制度的要求，生态影响防护与主体工程建设同步进行，生态影响防治措施建设与管理并重。</w:t>
      </w:r>
    </w:p>
    <w:p w14:paraId="5415046F">
      <w:pPr>
        <w:widowControl/>
        <w:spacing w:line="360" w:lineRule="auto"/>
        <w:ind w:firstLine="480" w:firstLineChars="200"/>
        <w:rPr>
          <w:rFonts w:eastAsiaTheme="minorEastAsia"/>
          <w:color w:val="auto"/>
          <w:kern w:val="0"/>
          <w:sz w:val="24"/>
        </w:rPr>
      </w:pPr>
      <w:r>
        <w:rPr>
          <w:rFonts w:eastAsiaTheme="minorEastAsia"/>
          <w:color w:val="auto"/>
          <w:kern w:val="0"/>
          <w:sz w:val="24"/>
        </w:rPr>
        <w:t>（4）生态保护作为工程总体设计的组成部分，针对工程建设可能造成的生态影响，所采取的预防和治理方案为主体工程服务。</w:t>
      </w:r>
    </w:p>
    <w:p w14:paraId="4557F615">
      <w:pPr>
        <w:widowControl/>
        <w:spacing w:line="360" w:lineRule="auto"/>
        <w:ind w:firstLine="480" w:firstLineChars="200"/>
        <w:rPr>
          <w:rFonts w:eastAsiaTheme="minorEastAsia"/>
          <w:color w:val="auto"/>
          <w:kern w:val="0"/>
          <w:sz w:val="24"/>
        </w:rPr>
      </w:pPr>
      <w:r>
        <w:rPr>
          <w:rFonts w:eastAsiaTheme="minorEastAsia"/>
          <w:color w:val="auto"/>
          <w:kern w:val="0"/>
          <w:sz w:val="24"/>
        </w:rPr>
        <w:t>（5）注重技术措施的实效性和可操作性，并有利于区域生态环境良性发展。</w:t>
      </w:r>
    </w:p>
    <w:p w14:paraId="5A8862B6">
      <w:pPr>
        <w:pStyle w:val="82"/>
        <w:widowControl w:val="0"/>
        <w:spacing w:line="360" w:lineRule="auto"/>
        <w:outlineLvl w:val="1"/>
        <w:rPr>
          <w:rFonts w:ascii="Times New Roman" w:hAnsi="Times New Roman" w:cs="Times New Roman"/>
          <w:b/>
          <w:color w:val="auto"/>
          <w:sz w:val="30"/>
          <w:szCs w:val="30"/>
        </w:rPr>
      </w:pPr>
      <w:bookmarkStart w:id="97" w:name="_Toc13492"/>
      <w:bookmarkStart w:id="98" w:name="_Toc208"/>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3</w:t>
      </w:r>
      <w:r>
        <w:rPr>
          <w:rFonts w:ascii="Times New Roman" w:hAnsi="Times New Roman" w:cs="Times New Roman"/>
          <w:b/>
          <w:color w:val="auto"/>
          <w:sz w:val="30"/>
          <w:szCs w:val="30"/>
        </w:rPr>
        <w:t>评价工作等级</w:t>
      </w:r>
      <w:bookmarkEnd w:id="97"/>
      <w:bookmarkEnd w:id="98"/>
    </w:p>
    <w:p w14:paraId="3D3FCD37">
      <w:pPr>
        <w:widowControl/>
        <w:spacing w:line="360" w:lineRule="auto"/>
        <w:ind w:firstLine="480" w:firstLineChars="200"/>
        <w:rPr>
          <w:rFonts w:eastAsiaTheme="minorEastAsia"/>
          <w:b/>
          <w:color w:val="auto"/>
          <w:kern w:val="0"/>
          <w:sz w:val="24"/>
        </w:rPr>
      </w:pPr>
      <w:r>
        <w:rPr>
          <w:rFonts w:eastAsiaTheme="minorEastAsia"/>
          <w:color w:val="auto"/>
          <w:kern w:val="0"/>
          <w:sz w:val="24"/>
        </w:rPr>
        <w:t>根据生态因子之间互相影响和相互依存的关系，依据《环境影响评价技术导则 生态影响》（HJ19-2022）关于生态影响评价等级的划分要求，涉及自然保护区的评价等级为一级。项目工程均位于湖南东洞庭湖国家级自然保护区实验区内，本项目生态环境影响评价等级设定为一级。</w:t>
      </w:r>
    </w:p>
    <w:p w14:paraId="53B07C70">
      <w:pPr>
        <w:pStyle w:val="82"/>
        <w:widowControl w:val="0"/>
        <w:spacing w:line="360" w:lineRule="auto"/>
        <w:outlineLvl w:val="1"/>
        <w:rPr>
          <w:rFonts w:ascii="Times New Roman" w:hAnsi="Times New Roman" w:cs="Times New Roman"/>
          <w:b/>
          <w:color w:val="auto"/>
          <w:sz w:val="30"/>
          <w:szCs w:val="30"/>
        </w:rPr>
      </w:pPr>
      <w:bookmarkStart w:id="99" w:name="_Toc6387"/>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4</w:t>
      </w:r>
      <w:r>
        <w:rPr>
          <w:rFonts w:ascii="Times New Roman" w:hAnsi="Times New Roman" w:cs="Times New Roman"/>
          <w:b/>
          <w:color w:val="auto"/>
          <w:sz w:val="30"/>
          <w:szCs w:val="30"/>
        </w:rPr>
        <w:t>评价范围与评价时段</w:t>
      </w:r>
      <w:bookmarkEnd w:id="96"/>
      <w:bookmarkEnd w:id="99"/>
    </w:p>
    <w:p w14:paraId="34A2BD23">
      <w:pPr>
        <w:pStyle w:val="83"/>
        <w:widowControl w:val="0"/>
        <w:tabs>
          <w:tab w:val="left" w:pos="567"/>
          <w:tab w:val="left" w:pos="851"/>
        </w:tabs>
        <w:adjustRightInd w:val="0"/>
        <w:spacing w:line="360" w:lineRule="auto"/>
        <w:ind w:firstLine="0" w:firstLineChars="0"/>
        <w:outlineLvl w:val="2"/>
        <w:rPr>
          <w:rFonts w:ascii="Times New Roman" w:hAnsi="Times New Roman" w:cs="Times New Roman" w:eastAsiaTheme="minorEastAsia"/>
          <w:b/>
          <w:color w:val="auto"/>
          <w:kern w:val="2"/>
          <w:sz w:val="28"/>
          <w:szCs w:val="28"/>
        </w:rPr>
      </w:pPr>
      <w:bookmarkStart w:id="100" w:name="_Toc26126131"/>
      <w:r>
        <w:rPr>
          <w:rFonts w:ascii="Times New Roman" w:hAnsi="Times New Roman" w:cs="Times New Roman" w:eastAsiaTheme="minorEastAsia"/>
          <w:b/>
          <w:color w:val="auto"/>
          <w:kern w:val="2"/>
          <w:sz w:val="28"/>
          <w:szCs w:val="28"/>
        </w:rPr>
        <w:t>1.</w:t>
      </w:r>
      <w:r>
        <w:rPr>
          <w:rFonts w:hint="eastAsia" w:ascii="Times New Roman" w:hAnsi="Times New Roman" w:cs="Times New Roman" w:eastAsiaTheme="minorEastAsia"/>
          <w:b/>
          <w:color w:val="auto"/>
          <w:kern w:val="2"/>
          <w:sz w:val="28"/>
          <w:szCs w:val="28"/>
        </w:rPr>
        <w:t>4</w:t>
      </w:r>
      <w:r>
        <w:rPr>
          <w:rFonts w:ascii="Times New Roman" w:hAnsi="Times New Roman" w:cs="Times New Roman" w:eastAsiaTheme="minorEastAsia"/>
          <w:b/>
          <w:color w:val="auto"/>
          <w:kern w:val="2"/>
          <w:sz w:val="28"/>
          <w:szCs w:val="28"/>
        </w:rPr>
        <w:t>.1评价范围</w:t>
      </w:r>
      <w:bookmarkEnd w:id="100"/>
    </w:p>
    <w:p w14:paraId="623EC97F">
      <w:pPr>
        <w:adjustRightInd w:val="0"/>
        <w:snapToGrid w:val="0"/>
        <w:spacing w:line="360" w:lineRule="auto"/>
        <w:ind w:firstLine="482"/>
        <w:rPr>
          <w:color w:val="auto"/>
          <w:sz w:val="24"/>
        </w:rPr>
      </w:pPr>
      <w:r>
        <w:rPr>
          <w:color w:val="auto"/>
          <w:sz w:val="24"/>
        </w:rPr>
        <w:t>本项目涉及东洞庭湖国家级自然保护区，项目的生态影响评价工作等级定为一级。生态评价范围考虑根据项目生态完整性，根据《环境影响评价技术导则 生态影响》的要求，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并参照评价项目与项目区的气候过程、水文过程、生物过程等生物地球化学循环过程的相互作用关系，以评价项目影响区域所涉及的完整气候单元、水文单元、生态单元、地理单元界限为参照边界。遵从以上原则的情况下，对陆生生态、水生生态分别划定评价范围：</w:t>
      </w:r>
    </w:p>
    <w:p w14:paraId="1DC4E88D">
      <w:pPr>
        <w:adjustRightInd w:val="0"/>
        <w:snapToGrid w:val="0"/>
        <w:spacing w:line="360" w:lineRule="auto"/>
        <w:ind w:firstLine="482"/>
        <w:rPr>
          <w:color w:val="auto"/>
          <w:sz w:val="24"/>
        </w:rPr>
      </w:pPr>
      <w:r>
        <w:rPr>
          <w:color w:val="auto"/>
          <w:sz w:val="24"/>
        </w:rPr>
        <w:t>陆生评价范围：以最外围工程及施工场地边界向外扩展300m的范围，涉及保护区段外扩1000m，评价区总面积</w:t>
      </w:r>
      <w:r>
        <w:rPr>
          <w:color w:val="auto"/>
          <w:kern w:val="0"/>
          <w:sz w:val="24"/>
        </w:rPr>
        <w:t>476.357</w:t>
      </w:r>
      <w:r>
        <w:rPr>
          <w:color w:val="auto"/>
          <w:sz w:val="24"/>
        </w:rPr>
        <w:t>hm²。</w:t>
      </w:r>
    </w:p>
    <w:p w14:paraId="261A33C7">
      <w:pPr>
        <w:adjustRightInd w:val="0"/>
        <w:snapToGrid w:val="0"/>
        <w:spacing w:line="360" w:lineRule="auto"/>
        <w:ind w:firstLine="482"/>
        <w:rPr>
          <w:color w:val="auto"/>
          <w:sz w:val="24"/>
        </w:rPr>
      </w:pPr>
      <w:bookmarkStart w:id="101" w:name="_Hlk213439789"/>
      <w:r>
        <w:rPr>
          <w:color w:val="auto"/>
          <w:sz w:val="24"/>
        </w:rPr>
        <w:t>水生评价范围：工程范围内的池塘。</w:t>
      </w:r>
    </w:p>
    <w:bookmarkEnd w:id="101"/>
    <w:p w14:paraId="564128DE">
      <w:pPr>
        <w:adjustRightInd w:val="0"/>
        <w:snapToGrid w:val="0"/>
        <w:spacing w:line="360" w:lineRule="auto"/>
        <w:ind w:firstLine="482"/>
        <w:rPr>
          <w:color w:val="auto"/>
          <w:sz w:val="24"/>
        </w:rPr>
      </w:pPr>
      <w:r>
        <w:rPr>
          <w:color w:val="auto"/>
          <w:sz w:val="24"/>
        </w:rPr>
        <w:t>调查范围为项目所涉及的完整的生态地理单元东洞庭湖国家级自然保护区以及施工</w:t>
      </w:r>
      <w:r>
        <w:rPr>
          <w:rFonts w:hint="eastAsia"/>
          <w:color w:val="auto"/>
          <w:sz w:val="24"/>
          <w:lang w:val="en-US" w:eastAsia="zh-CN"/>
        </w:rPr>
        <w:t>范围</w:t>
      </w:r>
      <w:r>
        <w:rPr>
          <w:color w:val="auto"/>
          <w:sz w:val="24"/>
        </w:rPr>
        <w:t>两侧外扩200m、临时占地范围外扩200m为评价范围。</w:t>
      </w:r>
    </w:p>
    <w:p w14:paraId="1CC9A2BE">
      <w:pPr>
        <w:pStyle w:val="83"/>
        <w:widowControl w:val="0"/>
        <w:tabs>
          <w:tab w:val="left" w:pos="567"/>
          <w:tab w:val="left" w:pos="851"/>
        </w:tabs>
        <w:adjustRightInd w:val="0"/>
        <w:spacing w:line="360" w:lineRule="auto"/>
        <w:ind w:firstLine="0" w:firstLineChars="0"/>
        <w:outlineLvl w:val="2"/>
        <w:rPr>
          <w:rFonts w:ascii="Times New Roman" w:hAnsi="Times New Roman" w:cs="Times New Roman" w:eastAsiaTheme="minorEastAsia"/>
          <w:b/>
          <w:color w:val="auto"/>
          <w:kern w:val="2"/>
          <w:sz w:val="28"/>
          <w:szCs w:val="28"/>
        </w:rPr>
      </w:pPr>
      <w:r>
        <w:rPr>
          <w:rFonts w:ascii="Times New Roman" w:hAnsi="Times New Roman" w:cs="Times New Roman" w:eastAsiaTheme="minorEastAsia"/>
          <w:b/>
          <w:color w:val="auto"/>
          <w:kern w:val="2"/>
          <w:sz w:val="28"/>
          <w:szCs w:val="28"/>
        </w:rPr>
        <w:t>1.</w:t>
      </w:r>
      <w:r>
        <w:rPr>
          <w:rFonts w:hint="eastAsia" w:ascii="Times New Roman" w:hAnsi="Times New Roman" w:cs="Times New Roman" w:eastAsiaTheme="minorEastAsia"/>
          <w:b/>
          <w:color w:val="auto"/>
          <w:kern w:val="2"/>
          <w:sz w:val="28"/>
          <w:szCs w:val="28"/>
        </w:rPr>
        <w:t>4</w:t>
      </w:r>
      <w:r>
        <w:rPr>
          <w:rFonts w:ascii="Times New Roman" w:hAnsi="Times New Roman" w:cs="Times New Roman" w:eastAsiaTheme="minorEastAsia"/>
          <w:b/>
          <w:color w:val="auto"/>
          <w:kern w:val="2"/>
          <w:sz w:val="28"/>
          <w:szCs w:val="28"/>
        </w:rPr>
        <w:t>.2评价时段</w:t>
      </w:r>
    </w:p>
    <w:p w14:paraId="7E75218B">
      <w:pPr>
        <w:widowControl/>
        <w:adjustRightInd w:val="0"/>
        <w:snapToGrid w:val="0"/>
        <w:spacing w:line="360" w:lineRule="auto"/>
        <w:ind w:firstLine="482"/>
        <w:rPr>
          <w:rFonts w:eastAsiaTheme="minorEastAsia"/>
          <w:color w:val="auto"/>
          <w:sz w:val="24"/>
        </w:rPr>
      </w:pPr>
      <w:bookmarkStart w:id="102" w:name="_Toc26126133"/>
      <w:r>
        <w:rPr>
          <w:rFonts w:eastAsiaTheme="minorEastAsia"/>
          <w:color w:val="auto"/>
          <w:sz w:val="24"/>
        </w:rPr>
        <w:t>评价时段分施工期以及运营期。</w:t>
      </w:r>
    </w:p>
    <w:p w14:paraId="6E94DF7C">
      <w:pPr>
        <w:pStyle w:val="82"/>
        <w:widowControl w:val="0"/>
        <w:spacing w:line="360" w:lineRule="auto"/>
        <w:outlineLvl w:val="1"/>
        <w:rPr>
          <w:rFonts w:ascii="Times New Roman" w:hAnsi="Times New Roman" w:cs="Times New Roman"/>
          <w:b/>
          <w:color w:val="auto"/>
          <w:sz w:val="30"/>
          <w:szCs w:val="30"/>
        </w:rPr>
      </w:pPr>
      <w:bookmarkStart w:id="103" w:name="_Toc5581"/>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5</w:t>
      </w:r>
      <w:r>
        <w:rPr>
          <w:rFonts w:ascii="Times New Roman" w:hAnsi="Times New Roman" w:cs="Times New Roman"/>
          <w:b/>
          <w:color w:val="auto"/>
          <w:sz w:val="30"/>
          <w:szCs w:val="30"/>
        </w:rPr>
        <w:t>生态敏感点与保护目标</w:t>
      </w:r>
      <w:bookmarkEnd w:id="102"/>
      <w:bookmarkEnd w:id="103"/>
    </w:p>
    <w:p w14:paraId="604E79FA">
      <w:pPr>
        <w:adjustRightInd w:val="0"/>
        <w:snapToGrid w:val="0"/>
        <w:spacing w:line="360" w:lineRule="auto"/>
        <w:ind w:firstLine="480" w:firstLineChars="200"/>
        <w:rPr>
          <w:color w:val="auto"/>
          <w:kern w:val="0"/>
          <w:sz w:val="24"/>
        </w:rPr>
      </w:pPr>
      <w:r>
        <w:rPr>
          <w:color w:val="auto"/>
          <w:kern w:val="0"/>
          <w:sz w:val="24"/>
          <w:szCs w:val="32"/>
        </w:rPr>
        <w:t>在中国植被区划中，评价区处于北亚热带湿润气候区，植被类型以亚热带常绿落叶阔叶林为主。评价范围内主要的生态环境保护目标情况见</w:t>
      </w:r>
      <w:r>
        <w:rPr>
          <w:rFonts w:hint="eastAsia"/>
          <w:color w:val="auto"/>
          <w:kern w:val="0"/>
          <w:sz w:val="24"/>
          <w:szCs w:val="32"/>
        </w:rPr>
        <w:t>下</w:t>
      </w:r>
      <w:r>
        <w:rPr>
          <w:color w:val="auto"/>
          <w:kern w:val="0"/>
          <w:sz w:val="24"/>
          <w:szCs w:val="32"/>
        </w:rPr>
        <w:t>表。</w:t>
      </w:r>
    </w:p>
    <w:p w14:paraId="3DAA553F">
      <w:pPr>
        <w:widowControl/>
        <w:jc w:val="center"/>
        <w:rPr>
          <w:b/>
          <w:bCs/>
          <w:color w:val="auto"/>
          <w:kern w:val="0"/>
          <w:szCs w:val="21"/>
        </w:rPr>
      </w:pPr>
      <w:r>
        <w:rPr>
          <w:b/>
          <w:bCs/>
          <w:color w:val="auto"/>
          <w:kern w:val="0"/>
          <w:szCs w:val="21"/>
        </w:rPr>
        <w:t>表1.</w:t>
      </w:r>
      <w:r>
        <w:rPr>
          <w:rFonts w:hint="eastAsia"/>
          <w:b/>
          <w:bCs/>
          <w:color w:val="auto"/>
          <w:kern w:val="0"/>
          <w:szCs w:val="21"/>
        </w:rPr>
        <w:t>5</w:t>
      </w:r>
      <w:r>
        <w:rPr>
          <w:b/>
          <w:bCs/>
          <w:color w:val="auto"/>
          <w:kern w:val="0"/>
          <w:szCs w:val="21"/>
        </w:rPr>
        <w:t>-1   主要生态环境保护目标</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5"/>
        <w:gridCol w:w="987"/>
        <w:gridCol w:w="2104"/>
        <w:gridCol w:w="1773"/>
        <w:gridCol w:w="3088"/>
      </w:tblGrid>
      <w:tr w14:paraId="67B64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4A951B2B">
            <w:pPr>
              <w:widowControl/>
              <w:jc w:val="center"/>
              <w:rPr>
                <w:b/>
                <w:bCs/>
                <w:color w:val="auto"/>
                <w:kern w:val="0"/>
                <w:szCs w:val="21"/>
              </w:rPr>
            </w:pPr>
            <w:r>
              <w:rPr>
                <w:b/>
                <w:bCs/>
                <w:color w:val="auto"/>
                <w:kern w:val="0"/>
                <w:szCs w:val="21"/>
              </w:rPr>
              <w:t>序号</w:t>
            </w:r>
          </w:p>
        </w:tc>
        <w:tc>
          <w:tcPr>
            <w:tcW w:w="579" w:type="pct"/>
            <w:tcBorders>
              <w:tl2br w:val="nil"/>
              <w:tr2bl w:val="nil"/>
            </w:tcBorders>
            <w:vAlign w:val="center"/>
          </w:tcPr>
          <w:p w14:paraId="55400CD2">
            <w:pPr>
              <w:widowControl/>
              <w:jc w:val="center"/>
              <w:rPr>
                <w:b/>
                <w:bCs/>
                <w:color w:val="auto"/>
                <w:kern w:val="0"/>
                <w:szCs w:val="21"/>
              </w:rPr>
            </w:pPr>
            <w:r>
              <w:rPr>
                <w:b/>
                <w:bCs/>
                <w:color w:val="auto"/>
                <w:kern w:val="0"/>
                <w:szCs w:val="21"/>
              </w:rPr>
              <w:t>名称</w:t>
            </w:r>
          </w:p>
        </w:tc>
        <w:tc>
          <w:tcPr>
            <w:tcW w:w="1235" w:type="pct"/>
            <w:tcBorders>
              <w:tl2br w:val="nil"/>
              <w:tr2bl w:val="nil"/>
            </w:tcBorders>
            <w:vAlign w:val="center"/>
          </w:tcPr>
          <w:p w14:paraId="1538CA14">
            <w:pPr>
              <w:widowControl/>
              <w:jc w:val="center"/>
              <w:rPr>
                <w:b/>
                <w:bCs/>
                <w:color w:val="auto"/>
                <w:kern w:val="0"/>
                <w:szCs w:val="21"/>
              </w:rPr>
            </w:pPr>
            <w:r>
              <w:rPr>
                <w:b/>
                <w:bCs/>
                <w:color w:val="auto"/>
                <w:kern w:val="0"/>
                <w:szCs w:val="21"/>
              </w:rPr>
              <w:t>与工程的相对位置</w:t>
            </w:r>
          </w:p>
        </w:tc>
        <w:tc>
          <w:tcPr>
            <w:tcW w:w="1041" w:type="pct"/>
            <w:tcBorders>
              <w:tl2br w:val="nil"/>
              <w:tr2bl w:val="nil"/>
            </w:tcBorders>
            <w:vAlign w:val="center"/>
          </w:tcPr>
          <w:p w14:paraId="3EAD296C">
            <w:pPr>
              <w:widowControl/>
              <w:jc w:val="center"/>
              <w:rPr>
                <w:b/>
                <w:bCs/>
                <w:color w:val="auto"/>
                <w:kern w:val="0"/>
                <w:szCs w:val="21"/>
              </w:rPr>
            </w:pPr>
            <w:r>
              <w:rPr>
                <w:b/>
                <w:bCs/>
                <w:color w:val="auto"/>
                <w:kern w:val="0"/>
                <w:szCs w:val="21"/>
              </w:rPr>
              <w:t>保护级别或要求</w:t>
            </w:r>
          </w:p>
        </w:tc>
        <w:tc>
          <w:tcPr>
            <w:tcW w:w="1812" w:type="pct"/>
            <w:tcBorders>
              <w:tl2br w:val="nil"/>
              <w:tr2bl w:val="nil"/>
            </w:tcBorders>
            <w:vAlign w:val="center"/>
          </w:tcPr>
          <w:p w14:paraId="141AEB01">
            <w:pPr>
              <w:widowControl/>
              <w:jc w:val="center"/>
              <w:rPr>
                <w:b/>
                <w:bCs/>
                <w:color w:val="auto"/>
                <w:kern w:val="0"/>
                <w:szCs w:val="21"/>
              </w:rPr>
            </w:pPr>
            <w:r>
              <w:rPr>
                <w:b/>
                <w:bCs/>
                <w:color w:val="auto"/>
                <w:kern w:val="0"/>
                <w:szCs w:val="21"/>
              </w:rPr>
              <w:t>敏感点实景图</w:t>
            </w:r>
          </w:p>
        </w:tc>
      </w:tr>
      <w:tr w14:paraId="159D4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740EF937">
            <w:pPr>
              <w:widowControl/>
              <w:jc w:val="center"/>
              <w:rPr>
                <w:b/>
                <w:bCs/>
                <w:color w:val="auto"/>
                <w:kern w:val="0"/>
                <w:szCs w:val="21"/>
              </w:rPr>
            </w:pPr>
            <w:r>
              <w:rPr>
                <w:color w:val="auto"/>
                <w:kern w:val="0"/>
                <w:szCs w:val="21"/>
              </w:rPr>
              <w:t>1</w:t>
            </w:r>
          </w:p>
        </w:tc>
        <w:tc>
          <w:tcPr>
            <w:tcW w:w="987" w:type="dxa"/>
            <w:tcBorders>
              <w:tl2br w:val="nil"/>
              <w:tr2bl w:val="nil"/>
            </w:tcBorders>
            <w:vAlign w:val="center"/>
          </w:tcPr>
          <w:p w14:paraId="38E4ED34">
            <w:pPr>
              <w:pStyle w:val="50"/>
              <w:spacing w:before="24" w:after="24" w:line="240" w:lineRule="auto"/>
              <w:rPr>
                <w:b/>
                <w:bCs/>
                <w:color w:val="auto"/>
                <w:kern w:val="0"/>
                <w:szCs w:val="21"/>
              </w:rPr>
            </w:pPr>
            <w:r>
              <w:rPr>
                <w:rFonts w:hint="default" w:ascii="Times New Roman" w:hAnsi="Times New Roman" w:cs="Times New Roman"/>
                <w:color w:val="auto"/>
                <w:sz w:val="21"/>
                <w:u w:val="single"/>
              </w:rPr>
              <w:t>生态保护红线</w:t>
            </w:r>
          </w:p>
        </w:tc>
        <w:tc>
          <w:tcPr>
            <w:tcW w:w="2104" w:type="dxa"/>
            <w:tcBorders>
              <w:tl2br w:val="nil"/>
              <w:tr2bl w:val="nil"/>
            </w:tcBorders>
            <w:vAlign w:val="center"/>
          </w:tcPr>
          <w:p w14:paraId="380F871B">
            <w:pPr>
              <w:pStyle w:val="50"/>
              <w:spacing w:before="24" w:after="24" w:line="240" w:lineRule="auto"/>
              <w:rPr>
                <w:b/>
                <w:bCs/>
                <w:color w:val="auto"/>
                <w:kern w:val="0"/>
                <w:szCs w:val="21"/>
              </w:rPr>
            </w:pPr>
            <w:r>
              <w:rPr>
                <w:rFonts w:hint="default" w:ascii="Times New Roman" w:hAnsi="Times New Roman" w:cs="Times New Roman"/>
                <w:color w:val="auto"/>
                <w:sz w:val="21"/>
                <w:u w:val="single"/>
              </w:rPr>
              <w:t>工程涉及湖南省生态保护红线主要为洞庭湖区生物多样性维护、洪水调蓄生态保护红线</w:t>
            </w:r>
          </w:p>
        </w:tc>
        <w:tc>
          <w:tcPr>
            <w:tcW w:w="1773" w:type="dxa"/>
            <w:tcBorders>
              <w:tl2br w:val="nil"/>
              <w:tr2bl w:val="nil"/>
            </w:tcBorders>
            <w:vAlign w:val="center"/>
          </w:tcPr>
          <w:p w14:paraId="1257736B">
            <w:pPr>
              <w:pStyle w:val="50"/>
              <w:spacing w:before="24" w:after="24" w:line="240" w:lineRule="auto"/>
              <w:rPr>
                <w:b/>
                <w:bCs/>
                <w:color w:val="auto"/>
                <w:kern w:val="0"/>
                <w:szCs w:val="21"/>
              </w:rPr>
            </w:pPr>
            <w:r>
              <w:rPr>
                <w:rFonts w:hint="default" w:ascii="Times New Roman" w:hAnsi="Times New Roman" w:cs="Times New Roman"/>
                <w:color w:val="auto"/>
                <w:sz w:val="21"/>
                <w:u w:val="single"/>
              </w:rPr>
              <w:t>以湿地生物多样性保护为核心，加强区内湿地自然保护区的恢复与管理；平垸行洪、退田还湖，扩大湖泊面积，提高调蓄洪水的能力</w:t>
            </w:r>
          </w:p>
        </w:tc>
        <w:tc>
          <w:tcPr>
            <w:tcW w:w="1812" w:type="pct"/>
            <w:tcBorders>
              <w:tl2br w:val="nil"/>
              <w:tr2bl w:val="nil"/>
            </w:tcBorders>
            <w:vAlign w:val="center"/>
          </w:tcPr>
          <w:p w14:paraId="7EB15407">
            <w:pPr>
              <w:widowControl/>
              <w:jc w:val="center"/>
              <w:rPr>
                <w:rFonts w:hint="eastAsia" w:eastAsia="宋体"/>
                <w:b/>
                <w:bCs/>
                <w:color w:val="auto"/>
                <w:kern w:val="0"/>
                <w:szCs w:val="21"/>
                <w:lang w:val="en-US" w:eastAsia="zh-CN"/>
              </w:rPr>
            </w:pPr>
            <w:r>
              <w:rPr>
                <w:rFonts w:hint="eastAsia"/>
                <w:b/>
                <w:bCs/>
                <w:color w:val="auto"/>
                <w:kern w:val="0"/>
                <w:szCs w:val="21"/>
                <w:lang w:val="en-US" w:eastAsia="zh-CN"/>
              </w:rPr>
              <w:t>/</w:t>
            </w:r>
          </w:p>
        </w:tc>
      </w:tr>
      <w:tr w14:paraId="5E9AE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56A38B46">
            <w:pPr>
              <w:widowControl/>
              <w:jc w:val="center"/>
              <w:rPr>
                <w:rFonts w:hint="eastAsia" w:eastAsia="宋体"/>
                <w:color w:val="auto"/>
                <w:kern w:val="0"/>
                <w:szCs w:val="21"/>
                <w:lang w:val="en-US" w:eastAsia="zh-CN"/>
              </w:rPr>
            </w:pPr>
            <w:r>
              <w:rPr>
                <w:rFonts w:hint="eastAsia"/>
                <w:color w:val="auto"/>
                <w:kern w:val="0"/>
                <w:szCs w:val="21"/>
                <w:lang w:val="en-US" w:eastAsia="zh-CN"/>
              </w:rPr>
              <w:t>2</w:t>
            </w:r>
          </w:p>
        </w:tc>
        <w:tc>
          <w:tcPr>
            <w:tcW w:w="579" w:type="pct"/>
            <w:tcBorders>
              <w:tl2br w:val="nil"/>
              <w:tr2bl w:val="nil"/>
            </w:tcBorders>
            <w:vAlign w:val="center"/>
          </w:tcPr>
          <w:p w14:paraId="5B22E1A8">
            <w:pPr>
              <w:widowControl/>
              <w:jc w:val="center"/>
              <w:rPr>
                <w:color w:val="auto"/>
                <w:kern w:val="0"/>
                <w:szCs w:val="21"/>
              </w:rPr>
            </w:pPr>
            <w:r>
              <w:rPr>
                <w:color w:val="auto"/>
                <w:kern w:val="0"/>
                <w:szCs w:val="21"/>
              </w:rPr>
              <w:t>东洞庭湖国家级自然保护区</w:t>
            </w:r>
          </w:p>
        </w:tc>
        <w:tc>
          <w:tcPr>
            <w:tcW w:w="1235" w:type="pct"/>
            <w:tcBorders>
              <w:tl2br w:val="nil"/>
              <w:tr2bl w:val="nil"/>
            </w:tcBorders>
            <w:vAlign w:val="center"/>
          </w:tcPr>
          <w:p w14:paraId="6437D314">
            <w:pPr>
              <w:widowControl/>
              <w:adjustRightInd w:val="0"/>
              <w:jc w:val="center"/>
              <w:textAlignment w:val="baseline"/>
              <w:rPr>
                <w:color w:val="auto"/>
                <w:kern w:val="0"/>
                <w:szCs w:val="21"/>
              </w:rPr>
            </w:pPr>
            <w:r>
              <w:rPr>
                <w:color w:val="auto"/>
                <w:kern w:val="0"/>
                <w:szCs w:val="21"/>
              </w:rPr>
              <w:t>工程位于东洞庭湖国家级自然保护区实验区范围内，工程距最近的缓冲区约190m，距离大小西湖-君山后湖核心区约600m，距离红旗湖核心区边界最近约25800m，距离春风核心区边界最近约36000m；</w:t>
            </w:r>
          </w:p>
        </w:tc>
        <w:tc>
          <w:tcPr>
            <w:tcW w:w="1041" w:type="pct"/>
            <w:tcBorders>
              <w:tl2br w:val="nil"/>
              <w:tr2bl w:val="nil"/>
            </w:tcBorders>
            <w:vAlign w:val="center"/>
          </w:tcPr>
          <w:p w14:paraId="4CA9996E">
            <w:pPr>
              <w:widowControl/>
              <w:jc w:val="center"/>
              <w:rPr>
                <w:color w:val="auto"/>
                <w:kern w:val="0"/>
                <w:szCs w:val="21"/>
              </w:rPr>
            </w:pPr>
            <w:r>
              <w:rPr>
                <w:color w:val="auto"/>
                <w:kern w:val="0"/>
                <w:szCs w:val="21"/>
              </w:rPr>
              <w:t>湿地生态系统维护。总面积157600公顷。主要保护对象为湿地生态系统和生物多样性、珍稀濒危水禽、自然与人文景观</w:t>
            </w:r>
          </w:p>
        </w:tc>
        <w:tc>
          <w:tcPr>
            <w:tcW w:w="1812" w:type="pct"/>
            <w:tcBorders>
              <w:tl2br w:val="nil"/>
              <w:tr2bl w:val="nil"/>
            </w:tcBorders>
            <w:vAlign w:val="center"/>
          </w:tcPr>
          <w:p w14:paraId="216FF1C5">
            <w:pPr>
              <w:widowControl/>
              <w:jc w:val="center"/>
              <w:rPr>
                <w:color w:val="auto"/>
                <w:kern w:val="0"/>
                <w:szCs w:val="21"/>
              </w:rPr>
            </w:pPr>
            <w:r>
              <w:rPr>
                <w:color w:val="auto"/>
                <w:kern w:val="0"/>
                <w:szCs w:val="21"/>
              </w:rPr>
              <w:drawing>
                <wp:inline distT="0" distB="0" distL="114300" distR="114300">
                  <wp:extent cx="1778635" cy="1463040"/>
                  <wp:effectExtent l="0" t="0" r="12065" b="3810"/>
                  <wp:docPr id="42" name="图片 9" descr="2020-09-24 09434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2020-09-24 094346_看图王"/>
                          <pic:cNvPicPr>
                            <a:picLocks noChangeAspect="1"/>
                          </pic:cNvPicPr>
                        </pic:nvPicPr>
                        <pic:blipFill>
                          <a:blip r:embed="rId52"/>
                          <a:stretch>
                            <a:fillRect/>
                          </a:stretch>
                        </pic:blipFill>
                        <pic:spPr>
                          <a:xfrm>
                            <a:off x="0" y="0"/>
                            <a:ext cx="1778635" cy="1463040"/>
                          </a:xfrm>
                          <a:prstGeom prst="rect">
                            <a:avLst/>
                          </a:prstGeom>
                          <a:noFill/>
                          <a:ln>
                            <a:noFill/>
                          </a:ln>
                        </pic:spPr>
                      </pic:pic>
                    </a:graphicData>
                  </a:graphic>
                </wp:inline>
              </w:drawing>
            </w:r>
          </w:p>
        </w:tc>
      </w:tr>
      <w:tr w14:paraId="2511D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7694B8A9">
            <w:pPr>
              <w:widowControl/>
              <w:jc w:val="center"/>
              <w:rPr>
                <w:rFonts w:hint="eastAsia" w:eastAsia="宋体"/>
                <w:color w:val="auto"/>
                <w:kern w:val="0"/>
                <w:szCs w:val="21"/>
                <w:lang w:eastAsia="zh-CN"/>
              </w:rPr>
            </w:pPr>
            <w:r>
              <w:rPr>
                <w:rFonts w:hint="eastAsia"/>
                <w:color w:val="auto"/>
                <w:kern w:val="0"/>
                <w:szCs w:val="21"/>
                <w:lang w:val="en-US" w:eastAsia="zh-CN"/>
              </w:rPr>
              <w:t>3</w:t>
            </w:r>
          </w:p>
        </w:tc>
        <w:tc>
          <w:tcPr>
            <w:tcW w:w="579" w:type="pct"/>
            <w:tcBorders>
              <w:tl2br w:val="nil"/>
              <w:tr2bl w:val="nil"/>
            </w:tcBorders>
            <w:vAlign w:val="center"/>
          </w:tcPr>
          <w:p w14:paraId="427D1C76">
            <w:pPr>
              <w:widowControl/>
              <w:jc w:val="center"/>
              <w:rPr>
                <w:color w:val="auto"/>
                <w:kern w:val="0"/>
                <w:szCs w:val="21"/>
              </w:rPr>
            </w:pPr>
            <w:r>
              <w:rPr>
                <w:color w:val="auto"/>
                <w:kern w:val="0"/>
                <w:szCs w:val="21"/>
              </w:rPr>
              <w:t>东洞庭湖鲤鲫黄颡国家级水产种质资源保护区</w:t>
            </w:r>
          </w:p>
        </w:tc>
        <w:tc>
          <w:tcPr>
            <w:tcW w:w="1235" w:type="pct"/>
            <w:tcBorders>
              <w:tl2br w:val="nil"/>
              <w:tr2bl w:val="nil"/>
            </w:tcBorders>
            <w:vAlign w:val="center"/>
          </w:tcPr>
          <w:p w14:paraId="54B9B874">
            <w:pPr>
              <w:widowControl/>
              <w:adjustRightInd w:val="0"/>
              <w:jc w:val="center"/>
              <w:textAlignment w:val="baseline"/>
              <w:rPr>
                <w:color w:val="auto"/>
                <w:kern w:val="0"/>
                <w:szCs w:val="21"/>
              </w:rPr>
            </w:pPr>
            <w:r>
              <w:rPr>
                <w:color w:val="auto"/>
                <w:kern w:val="0"/>
                <w:szCs w:val="21"/>
              </w:rPr>
              <w:t>工程不涉及，工程距最近的实验区约95m，距离君山后湖核心区约14772m，距离三江口核心区边界最近约26527m，距离漂尾大小湾核心区边界最近约22896m；</w:t>
            </w:r>
          </w:p>
        </w:tc>
        <w:tc>
          <w:tcPr>
            <w:tcW w:w="1041" w:type="pct"/>
            <w:tcBorders>
              <w:tl2br w:val="nil"/>
              <w:tr2bl w:val="nil"/>
            </w:tcBorders>
            <w:vAlign w:val="center"/>
          </w:tcPr>
          <w:p w14:paraId="73E60EF5">
            <w:pPr>
              <w:widowControl/>
              <w:jc w:val="center"/>
              <w:rPr>
                <w:color w:val="auto"/>
                <w:kern w:val="0"/>
                <w:szCs w:val="21"/>
              </w:rPr>
            </w:pPr>
            <w:r>
              <w:rPr>
                <w:color w:val="auto"/>
                <w:kern w:val="0"/>
                <w:szCs w:val="21"/>
              </w:rPr>
              <w:t>位于东洞庭湖，总面积13.28万公顷，其中实验区面积11.76万公顷，核心区面积1.52万公顷，全年均为核心区特别保护期，主要保护对象为鲤、鲫、黄颡鱼、鲶。保护区内还栖息着青、草、鲢、鳙、长颌鲚、短颌鲚、银鱼、颌针鱼、鲂鱼、鳡鱼、鲴鱼、鳤鱼、铜鱼、长吻鮠、细鳞鲴、中华倒刺鲃、赤眼鳟、鳜鱼、乌鳢、黄鳝、泥鳅、青虾、长臂虾、克氏螯虾、胭脂鱼、鲥鱼、鳗鲡、白鲟、江豚、大鲵、三角帆蚌、皱纹冠蚌、背瘤丽蚌等物种。</w:t>
            </w:r>
          </w:p>
        </w:tc>
        <w:tc>
          <w:tcPr>
            <w:tcW w:w="1812" w:type="pct"/>
            <w:tcBorders>
              <w:tl2br w:val="nil"/>
              <w:tr2bl w:val="nil"/>
            </w:tcBorders>
            <w:vAlign w:val="center"/>
          </w:tcPr>
          <w:p w14:paraId="5BD8BE85">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r>
      <w:tr w14:paraId="64A0C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tcBorders>
              <w:tl2br w:val="nil"/>
              <w:tr2bl w:val="nil"/>
            </w:tcBorders>
            <w:vAlign w:val="center"/>
          </w:tcPr>
          <w:p w14:paraId="383299CA">
            <w:pPr>
              <w:widowControl/>
              <w:jc w:val="center"/>
              <w:rPr>
                <w:rFonts w:hint="eastAsia" w:eastAsia="宋体"/>
                <w:color w:val="auto"/>
                <w:kern w:val="0"/>
                <w:szCs w:val="21"/>
                <w:lang w:eastAsia="zh-CN"/>
              </w:rPr>
            </w:pPr>
            <w:r>
              <w:rPr>
                <w:rFonts w:hint="eastAsia"/>
                <w:color w:val="auto"/>
                <w:kern w:val="0"/>
                <w:szCs w:val="21"/>
                <w:lang w:val="en-US" w:eastAsia="zh-CN"/>
              </w:rPr>
              <w:t>4</w:t>
            </w:r>
          </w:p>
        </w:tc>
        <w:tc>
          <w:tcPr>
            <w:tcW w:w="579" w:type="pct"/>
            <w:tcBorders>
              <w:tl2br w:val="nil"/>
              <w:tr2bl w:val="nil"/>
            </w:tcBorders>
            <w:vAlign w:val="center"/>
          </w:tcPr>
          <w:p w14:paraId="0842A7CA">
            <w:pPr>
              <w:widowControl/>
              <w:jc w:val="center"/>
              <w:rPr>
                <w:color w:val="auto"/>
                <w:kern w:val="0"/>
                <w:szCs w:val="21"/>
              </w:rPr>
            </w:pPr>
            <w:r>
              <w:rPr>
                <w:color w:val="auto"/>
                <w:kern w:val="0"/>
                <w:szCs w:val="21"/>
              </w:rPr>
              <w:t>采桑湖</w:t>
            </w:r>
          </w:p>
        </w:tc>
        <w:tc>
          <w:tcPr>
            <w:tcW w:w="1235" w:type="pct"/>
            <w:tcBorders>
              <w:tl2br w:val="nil"/>
              <w:tr2bl w:val="nil"/>
            </w:tcBorders>
            <w:vAlign w:val="center"/>
          </w:tcPr>
          <w:p w14:paraId="002B95DA">
            <w:pPr>
              <w:widowControl/>
              <w:jc w:val="center"/>
              <w:rPr>
                <w:color w:val="auto"/>
                <w:kern w:val="0"/>
                <w:szCs w:val="21"/>
              </w:rPr>
            </w:pPr>
            <w:r>
              <w:rPr>
                <w:color w:val="auto"/>
                <w:kern w:val="0"/>
                <w:szCs w:val="21"/>
              </w:rPr>
              <w:t>项目涉及范围</w:t>
            </w:r>
          </w:p>
        </w:tc>
        <w:tc>
          <w:tcPr>
            <w:tcW w:w="1041" w:type="pct"/>
            <w:tcBorders>
              <w:tl2br w:val="nil"/>
              <w:tr2bl w:val="nil"/>
            </w:tcBorders>
            <w:vAlign w:val="center"/>
          </w:tcPr>
          <w:p w14:paraId="232078C8">
            <w:pPr>
              <w:widowControl/>
              <w:jc w:val="center"/>
              <w:rPr>
                <w:color w:val="auto"/>
                <w:kern w:val="0"/>
                <w:szCs w:val="21"/>
              </w:rPr>
            </w:pPr>
            <w:r>
              <w:rPr>
                <w:color w:val="auto"/>
                <w:kern w:val="0"/>
                <w:szCs w:val="21"/>
              </w:rPr>
              <w:t>据调查，采桑湖功能为农业用水区，按《地表水环境质量标准》（GB3838-2002）中的</w:t>
            </w:r>
            <w:r>
              <w:rPr>
                <w:color w:val="auto"/>
                <w:kern w:val="0"/>
                <w:szCs w:val="21"/>
              </w:rPr>
              <w:fldChar w:fldCharType="begin"/>
            </w:r>
            <w:r>
              <w:rPr>
                <w:color w:val="auto"/>
                <w:kern w:val="0"/>
                <w:szCs w:val="21"/>
              </w:rPr>
              <w:instrText xml:space="preserve"> = 3 \* ROMAN \* MERGEFORMAT </w:instrText>
            </w:r>
            <w:r>
              <w:rPr>
                <w:color w:val="auto"/>
                <w:kern w:val="0"/>
                <w:szCs w:val="21"/>
              </w:rPr>
              <w:fldChar w:fldCharType="separate"/>
            </w:r>
            <w:r>
              <w:rPr>
                <w:color w:val="auto"/>
                <w:kern w:val="0"/>
                <w:szCs w:val="21"/>
              </w:rPr>
              <w:t>III</w:t>
            </w:r>
            <w:r>
              <w:rPr>
                <w:color w:val="auto"/>
                <w:kern w:val="0"/>
                <w:szCs w:val="21"/>
              </w:rPr>
              <w:fldChar w:fldCharType="end"/>
            </w:r>
            <w:r>
              <w:rPr>
                <w:color w:val="auto"/>
                <w:kern w:val="0"/>
                <w:szCs w:val="21"/>
              </w:rPr>
              <w:t>类标准要求保护</w:t>
            </w:r>
          </w:p>
        </w:tc>
        <w:tc>
          <w:tcPr>
            <w:tcW w:w="1812" w:type="pct"/>
            <w:tcBorders>
              <w:tl2br w:val="nil"/>
              <w:tr2bl w:val="nil"/>
            </w:tcBorders>
            <w:vAlign w:val="center"/>
          </w:tcPr>
          <w:p w14:paraId="2FC6470F">
            <w:pPr>
              <w:widowControl/>
              <w:jc w:val="center"/>
              <w:rPr>
                <w:color w:val="auto"/>
                <w:kern w:val="0"/>
                <w:szCs w:val="21"/>
              </w:rPr>
            </w:pPr>
            <w:r>
              <w:rPr>
                <w:color w:val="auto"/>
                <w:kern w:val="0"/>
                <w:sz w:val="24"/>
              </w:rPr>
              <w:drawing>
                <wp:inline distT="0" distB="0" distL="114300" distR="114300">
                  <wp:extent cx="1943735" cy="912495"/>
                  <wp:effectExtent l="0" t="0" r="18415" b="190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3"/>
                          <a:stretch>
                            <a:fillRect/>
                          </a:stretch>
                        </pic:blipFill>
                        <pic:spPr>
                          <a:xfrm>
                            <a:off x="0" y="0"/>
                            <a:ext cx="1943735" cy="912495"/>
                          </a:xfrm>
                          <a:prstGeom prst="rect">
                            <a:avLst/>
                          </a:prstGeom>
                          <a:noFill/>
                          <a:ln>
                            <a:noFill/>
                          </a:ln>
                        </pic:spPr>
                      </pic:pic>
                    </a:graphicData>
                  </a:graphic>
                </wp:inline>
              </w:drawing>
            </w:r>
          </w:p>
        </w:tc>
      </w:tr>
    </w:tbl>
    <w:p w14:paraId="070D2E7A">
      <w:pPr>
        <w:adjustRightInd w:val="0"/>
        <w:snapToGrid w:val="0"/>
        <w:spacing w:line="360" w:lineRule="auto"/>
        <w:ind w:firstLine="482" w:firstLineChars="200"/>
        <w:rPr>
          <w:b/>
          <w:bCs/>
          <w:color w:val="auto"/>
          <w:kern w:val="0"/>
          <w:sz w:val="24"/>
        </w:rPr>
      </w:pPr>
      <w:r>
        <w:rPr>
          <w:b/>
          <w:bCs/>
          <w:color w:val="auto"/>
          <w:kern w:val="0"/>
          <w:sz w:val="24"/>
        </w:rPr>
        <w:t>简介：</w:t>
      </w:r>
    </w:p>
    <w:p w14:paraId="1FBCC32F">
      <w:pPr>
        <w:adjustRightInd w:val="0"/>
        <w:snapToGrid w:val="0"/>
        <w:spacing w:line="360" w:lineRule="auto"/>
        <w:ind w:firstLine="482" w:firstLineChars="200"/>
        <w:rPr>
          <w:b/>
          <w:bCs/>
          <w:color w:val="auto"/>
          <w:kern w:val="0"/>
          <w:sz w:val="24"/>
        </w:rPr>
      </w:pPr>
      <w:r>
        <w:rPr>
          <w:b/>
          <w:bCs/>
          <w:color w:val="auto"/>
          <w:kern w:val="0"/>
          <w:sz w:val="24"/>
        </w:rPr>
        <w:t>1、湖南东洞庭湖国家级自然保护区</w:t>
      </w:r>
    </w:p>
    <w:p w14:paraId="279892C8">
      <w:pPr>
        <w:adjustRightInd w:val="0"/>
        <w:snapToGrid w:val="0"/>
        <w:spacing w:line="360" w:lineRule="auto"/>
        <w:ind w:firstLine="480" w:firstLineChars="200"/>
        <w:rPr>
          <w:color w:val="auto"/>
          <w:kern w:val="0"/>
          <w:sz w:val="24"/>
        </w:rPr>
      </w:pPr>
      <w:r>
        <w:rPr>
          <w:color w:val="auto"/>
          <w:kern w:val="0"/>
          <w:sz w:val="24"/>
        </w:rPr>
        <w:t>湖南东洞庭湖国家级自然保护区主要保护东洞庭湖特有湿地生态系统和生物多样性，保护目标为重要植物生境与动物栖息地，其中国家一级保护的有白鹤</w:t>
      </w:r>
      <w:r>
        <w:rPr>
          <w:i/>
          <w:iCs/>
          <w:color w:val="auto"/>
          <w:kern w:val="0"/>
          <w:sz w:val="24"/>
        </w:rPr>
        <w:t>Grus leucogeranus</w:t>
      </w:r>
      <w:r>
        <w:rPr>
          <w:color w:val="auto"/>
          <w:kern w:val="0"/>
          <w:sz w:val="24"/>
        </w:rPr>
        <w:t>、白头鹤</w:t>
      </w:r>
      <w:r>
        <w:rPr>
          <w:i/>
          <w:iCs/>
          <w:color w:val="auto"/>
          <w:kern w:val="0"/>
          <w:sz w:val="24"/>
        </w:rPr>
        <w:t>Grus monacha</w:t>
      </w:r>
      <w:r>
        <w:rPr>
          <w:color w:val="auto"/>
          <w:kern w:val="0"/>
          <w:sz w:val="24"/>
        </w:rPr>
        <w:t>、东方白鹳</w:t>
      </w:r>
      <w:r>
        <w:rPr>
          <w:i/>
          <w:iCs/>
          <w:color w:val="auto"/>
          <w:kern w:val="0"/>
          <w:sz w:val="24"/>
        </w:rPr>
        <w:t>Ciconia boyciana</w:t>
      </w:r>
      <w:r>
        <w:rPr>
          <w:color w:val="auto"/>
          <w:kern w:val="0"/>
          <w:sz w:val="24"/>
        </w:rPr>
        <w:t>、黑鹳</w:t>
      </w:r>
      <w:r>
        <w:rPr>
          <w:i/>
          <w:iCs/>
          <w:color w:val="auto"/>
          <w:kern w:val="0"/>
          <w:sz w:val="24"/>
        </w:rPr>
        <w:t>Ciconia nigra</w:t>
      </w:r>
      <w:r>
        <w:rPr>
          <w:color w:val="auto"/>
          <w:kern w:val="0"/>
          <w:sz w:val="24"/>
        </w:rPr>
        <w:t>、大鸨</w:t>
      </w:r>
      <w:r>
        <w:rPr>
          <w:i/>
          <w:iCs/>
          <w:color w:val="auto"/>
          <w:kern w:val="0"/>
          <w:sz w:val="24"/>
        </w:rPr>
        <w:t>Otis tarda</w:t>
      </w:r>
      <w:r>
        <w:rPr>
          <w:color w:val="auto"/>
          <w:kern w:val="0"/>
          <w:sz w:val="24"/>
        </w:rPr>
        <w:t>、中华秋沙鸭</w:t>
      </w:r>
      <w:r>
        <w:rPr>
          <w:i/>
          <w:iCs/>
          <w:color w:val="auto"/>
          <w:kern w:val="0"/>
          <w:sz w:val="24"/>
        </w:rPr>
        <w:t>mergus squamatus</w:t>
      </w:r>
      <w:r>
        <w:rPr>
          <w:color w:val="auto"/>
          <w:kern w:val="0"/>
          <w:sz w:val="24"/>
        </w:rPr>
        <w:t>、白尾海雕</w:t>
      </w:r>
      <w:r>
        <w:rPr>
          <w:i/>
          <w:iCs/>
          <w:color w:val="auto"/>
          <w:kern w:val="0"/>
          <w:sz w:val="24"/>
        </w:rPr>
        <w:t>Haliaeetus albicilla</w:t>
      </w:r>
      <w:r>
        <w:rPr>
          <w:color w:val="auto"/>
          <w:kern w:val="0"/>
          <w:sz w:val="24"/>
        </w:rPr>
        <w:t xml:space="preserve"> 7种，二级保护的有小天鹅、鸳鸯、白枕鹤、灰鹤、白额雁等，是我国湿地水禽的重要越冬地、重要繁殖地和停歇地。栖息的雁鸭类、鸻鹬类等水鸟达数十万羽。在东北亚鹤类迁徙网络、东亚雁鸭类迁徙网络和东亚——澳大利亚涉禽迁徙网络等区域物种保护网络中具有十分重要的地位。</w:t>
      </w:r>
    </w:p>
    <w:p w14:paraId="2343B8AE">
      <w:pPr>
        <w:adjustRightInd w:val="0"/>
        <w:snapToGrid w:val="0"/>
        <w:spacing w:line="360" w:lineRule="auto"/>
        <w:ind w:firstLine="482" w:firstLineChars="200"/>
        <w:rPr>
          <w:b/>
          <w:bCs/>
          <w:color w:val="auto"/>
          <w:kern w:val="0"/>
          <w:sz w:val="24"/>
        </w:rPr>
      </w:pPr>
      <w:r>
        <w:rPr>
          <w:b/>
          <w:bCs/>
          <w:color w:val="auto"/>
          <w:kern w:val="0"/>
          <w:sz w:val="24"/>
        </w:rPr>
        <w:t>2、东洞庭湖鲤鲫黄颡鱼国家级水产种质资源保护区</w:t>
      </w:r>
    </w:p>
    <w:p w14:paraId="7810C3A0">
      <w:pPr>
        <w:adjustRightInd w:val="0"/>
        <w:snapToGrid w:val="0"/>
        <w:spacing w:line="360" w:lineRule="auto"/>
        <w:ind w:firstLine="480" w:firstLineChars="200"/>
        <w:rPr>
          <w:b/>
          <w:bCs/>
          <w:color w:val="auto"/>
          <w:kern w:val="0"/>
          <w:sz w:val="24"/>
        </w:rPr>
      </w:pPr>
      <w:r>
        <w:rPr>
          <w:color w:val="auto"/>
          <w:kern w:val="0"/>
          <w:sz w:val="24"/>
        </w:rPr>
        <w:t>东洞庭湖鲤鲫黄颡鱼国家级水产种质资源保护区为农业部2007年第一批公布的水产种质资源保护区。位于东洞庭湖，总面积13.28万公顷，其中实验区面积11.76万公顷，核心区面积1.52万公顷，全年均为核心区特别保护期，主要保护对象为鲤、鲫、黄颡鱼、鲶。保护区内还栖息着青、草、鲢、鳙、长颌鲚、短颌鲚、银鱼、颌针鱼、鲂鱼、鳡鱼、鲴鱼、鳤鱼、铜鱼、长吻鮠、细鳞鲴、中华倒刺鲃、赤眼鳟、鳜鱼、乌鳢、黄鳝、泥鳅、青虾、长臂虾、克氏螯虾、胭脂鱼、鲥鱼、鳗鲡、白鲟、江豚、大鲵、三角帆蚌、皱纹冠蚌、背瘤丽蚌等物种。</w:t>
      </w:r>
    </w:p>
    <w:p w14:paraId="362DB7DA">
      <w:pPr>
        <w:adjustRightInd w:val="0"/>
        <w:snapToGrid w:val="0"/>
        <w:spacing w:line="360" w:lineRule="auto"/>
        <w:ind w:firstLine="482" w:firstLineChars="200"/>
        <w:rPr>
          <w:b/>
          <w:bCs/>
          <w:color w:val="auto"/>
          <w:kern w:val="0"/>
          <w:sz w:val="24"/>
        </w:rPr>
      </w:pPr>
      <w:r>
        <w:rPr>
          <w:b/>
          <w:bCs/>
          <w:color w:val="auto"/>
          <w:kern w:val="0"/>
          <w:sz w:val="24"/>
        </w:rPr>
        <w:t>3、周边区域生态敏感点</w:t>
      </w:r>
    </w:p>
    <w:p w14:paraId="12F3013C">
      <w:pPr>
        <w:adjustRightInd w:val="0"/>
        <w:snapToGrid w:val="0"/>
        <w:spacing w:line="360" w:lineRule="auto"/>
        <w:ind w:firstLine="480" w:firstLineChars="200"/>
        <w:rPr>
          <w:color w:val="auto"/>
          <w:kern w:val="0"/>
          <w:sz w:val="24"/>
        </w:rPr>
      </w:pPr>
      <w:r>
        <w:rPr>
          <w:color w:val="auto"/>
          <w:kern w:val="0"/>
          <w:sz w:val="24"/>
        </w:rPr>
        <w:t>本项目位于湖南省岳阳市君山区钱粮湖镇银杯社区方台村5组（现采桑湖渔场一荷三虾养殖基地），位于湖南东洞庭湖国家级自然保护区的实验区，通过现场实地调查，影响评价区内未发现国家级重点野生保护植物；发现有国家Ⅱ级重点野生保护动物4种，即白琵鹭、白额雁、小白额雁和画眉，鸟类生境范围非常广，涵盖了整个自然保护区及周边地区，工程建设地点主要集中在村部，对其影响较小。工程建设对保护区植物物种及植被类型没有明显的影响，不会造成植物物种和植被类型的消失，不会对国家重点野生保护动物产生负面影响，也不会对东洞庭湖湿地资源和湿地生态系统造成破坏。</w:t>
      </w:r>
    </w:p>
    <w:p w14:paraId="0F8328E0">
      <w:pPr>
        <w:adjustRightInd w:val="0"/>
        <w:snapToGrid w:val="0"/>
        <w:spacing w:line="360" w:lineRule="auto"/>
        <w:ind w:firstLine="480" w:firstLineChars="200"/>
        <w:rPr>
          <w:color w:val="auto"/>
          <w:kern w:val="0"/>
          <w:sz w:val="24"/>
        </w:rPr>
      </w:pPr>
      <w:r>
        <w:rPr>
          <w:color w:val="auto"/>
          <w:kern w:val="0"/>
          <w:sz w:val="24"/>
        </w:rPr>
        <w:t>项目及周边区域生态敏感点与保护目标情况详见下表。</w:t>
      </w:r>
    </w:p>
    <w:p w14:paraId="35C3D731">
      <w:pPr>
        <w:jc w:val="center"/>
        <w:rPr>
          <w:color w:val="auto"/>
          <w:kern w:val="0"/>
          <w:sz w:val="24"/>
        </w:rPr>
      </w:pPr>
      <w:r>
        <w:rPr>
          <w:b/>
          <w:bCs/>
          <w:color w:val="auto"/>
          <w:kern w:val="0"/>
          <w:sz w:val="24"/>
        </w:rPr>
        <w:t>表1.</w:t>
      </w:r>
      <w:r>
        <w:rPr>
          <w:rFonts w:hint="eastAsia"/>
          <w:b/>
          <w:bCs/>
          <w:color w:val="auto"/>
          <w:kern w:val="0"/>
          <w:sz w:val="24"/>
        </w:rPr>
        <w:t>5</w:t>
      </w:r>
      <w:r>
        <w:rPr>
          <w:b/>
          <w:bCs/>
          <w:color w:val="auto"/>
          <w:kern w:val="0"/>
          <w:sz w:val="24"/>
        </w:rPr>
        <w:t>-2   生态敏感点与保护目标分布情况</w:t>
      </w:r>
    </w:p>
    <w:tbl>
      <w:tblPr>
        <w:tblStyle w:val="27"/>
        <w:tblW w:w="51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85"/>
        <w:gridCol w:w="2836"/>
        <w:gridCol w:w="1767"/>
        <w:gridCol w:w="2470"/>
      </w:tblGrid>
      <w:tr w14:paraId="0B5CC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35234705">
            <w:pPr>
              <w:widowControl/>
              <w:snapToGrid w:val="0"/>
              <w:spacing w:before="48" w:beforeLines="20" w:after="48" w:afterLines="20"/>
              <w:jc w:val="center"/>
              <w:rPr>
                <w:b/>
                <w:color w:val="auto"/>
                <w:kern w:val="0"/>
                <w:szCs w:val="21"/>
              </w:rPr>
            </w:pPr>
            <w:r>
              <w:rPr>
                <w:b/>
                <w:color w:val="auto"/>
                <w:kern w:val="0"/>
                <w:szCs w:val="21"/>
              </w:rPr>
              <w:t>环境保护目标</w:t>
            </w:r>
          </w:p>
        </w:tc>
        <w:tc>
          <w:tcPr>
            <w:tcW w:w="1637" w:type="pct"/>
            <w:tcBorders>
              <w:tl2br w:val="nil"/>
              <w:tr2bl w:val="nil"/>
            </w:tcBorders>
            <w:vAlign w:val="center"/>
          </w:tcPr>
          <w:p w14:paraId="25686AF4">
            <w:pPr>
              <w:widowControl/>
              <w:snapToGrid w:val="0"/>
              <w:spacing w:before="48" w:beforeLines="20" w:after="48" w:afterLines="20"/>
              <w:jc w:val="center"/>
              <w:rPr>
                <w:b/>
                <w:color w:val="auto"/>
                <w:kern w:val="0"/>
                <w:szCs w:val="21"/>
              </w:rPr>
            </w:pPr>
            <w:r>
              <w:rPr>
                <w:b/>
                <w:color w:val="auto"/>
                <w:kern w:val="0"/>
                <w:szCs w:val="21"/>
              </w:rPr>
              <w:t>概况</w:t>
            </w:r>
          </w:p>
        </w:tc>
        <w:tc>
          <w:tcPr>
            <w:tcW w:w="1020" w:type="pct"/>
            <w:tcBorders>
              <w:tl2br w:val="nil"/>
              <w:tr2bl w:val="nil"/>
            </w:tcBorders>
            <w:vAlign w:val="center"/>
          </w:tcPr>
          <w:p w14:paraId="31DBC7D7">
            <w:pPr>
              <w:widowControl/>
              <w:snapToGrid w:val="0"/>
              <w:spacing w:before="48" w:beforeLines="20" w:after="48" w:afterLines="20"/>
              <w:jc w:val="center"/>
              <w:rPr>
                <w:b/>
                <w:color w:val="auto"/>
                <w:kern w:val="0"/>
                <w:szCs w:val="21"/>
              </w:rPr>
            </w:pPr>
            <w:r>
              <w:rPr>
                <w:b/>
                <w:color w:val="auto"/>
                <w:kern w:val="0"/>
                <w:szCs w:val="21"/>
              </w:rPr>
              <w:t>相对方位、距离</w:t>
            </w:r>
          </w:p>
        </w:tc>
        <w:tc>
          <w:tcPr>
            <w:tcW w:w="1426" w:type="pct"/>
            <w:tcBorders>
              <w:tl2br w:val="nil"/>
              <w:tr2bl w:val="nil"/>
            </w:tcBorders>
            <w:vAlign w:val="center"/>
          </w:tcPr>
          <w:p w14:paraId="578E5B98">
            <w:pPr>
              <w:widowControl/>
              <w:snapToGrid w:val="0"/>
              <w:spacing w:before="48" w:beforeLines="20" w:after="48" w:afterLines="20"/>
              <w:jc w:val="center"/>
              <w:rPr>
                <w:b/>
                <w:color w:val="auto"/>
                <w:kern w:val="0"/>
                <w:szCs w:val="21"/>
              </w:rPr>
            </w:pPr>
            <w:r>
              <w:rPr>
                <w:b/>
                <w:color w:val="auto"/>
                <w:kern w:val="0"/>
                <w:szCs w:val="21"/>
              </w:rPr>
              <w:t>备注</w:t>
            </w:r>
          </w:p>
        </w:tc>
      </w:tr>
      <w:tr w14:paraId="6040C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vMerge w:val="restart"/>
            <w:tcBorders>
              <w:tl2br w:val="nil"/>
              <w:tr2bl w:val="nil"/>
            </w:tcBorders>
            <w:vAlign w:val="center"/>
          </w:tcPr>
          <w:p w14:paraId="00D4BEDB">
            <w:pPr>
              <w:widowControl/>
              <w:snapToGrid w:val="0"/>
              <w:spacing w:before="48" w:beforeLines="20" w:after="48" w:afterLines="20"/>
              <w:jc w:val="center"/>
              <w:rPr>
                <w:color w:val="auto"/>
                <w:kern w:val="0"/>
                <w:szCs w:val="21"/>
              </w:rPr>
            </w:pPr>
            <w:r>
              <w:rPr>
                <w:color w:val="auto"/>
                <w:kern w:val="0"/>
                <w:szCs w:val="21"/>
                <w:lang w:val="zh-CN"/>
              </w:rPr>
              <w:t>湖南东洞庭湖国家级自然保护区越冬候鸟栖息地</w:t>
            </w:r>
          </w:p>
        </w:tc>
        <w:tc>
          <w:tcPr>
            <w:tcW w:w="1637" w:type="pct"/>
            <w:tcBorders>
              <w:tl2br w:val="nil"/>
              <w:tr2bl w:val="nil"/>
            </w:tcBorders>
            <w:vAlign w:val="center"/>
          </w:tcPr>
          <w:p w14:paraId="7CAA78AC">
            <w:pPr>
              <w:widowControl/>
              <w:snapToGrid w:val="0"/>
              <w:spacing w:before="48" w:beforeLines="20" w:after="48" w:afterLines="20"/>
              <w:jc w:val="center"/>
              <w:rPr>
                <w:color w:val="auto"/>
                <w:kern w:val="0"/>
                <w:szCs w:val="21"/>
              </w:rPr>
            </w:pPr>
            <w:r>
              <w:rPr>
                <w:color w:val="auto"/>
                <w:kern w:val="0"/>
                <w:szCs w:val="21"/>
              </w:rPr>
              <w:t>大小西湖-君山后湖核心区，是白鹤、白头鹤、小白额雁、东方白鹳、罗纹鸭等鸭科鸟类、鸥形目及鸻鹬类鸟类越冬候鸟重要栖息地，是麋鹿的重要活动场所。</w:t>
            </w:r>
          </w:p>
        </w:tc>
        <w:tc>
          <w:tcPr>
            <w:tcW w:w="1020" w:type="pct"/>
            <w:tcBorders>
              <w:tl2br w:val="nil"/>
              <w:tr2bl w:val="nil"/>
            </w:tcBorders>
            <w:vAlign w:val="center"/>
          </w:tcPr>
          <w:p w14:paraId="32E469A1">
            <w:pPr>
              <w:widowControl/>
              <w:snapToGrid w:val="0"/>
              <w:spacing w:before="48" w:beforeLines="20" w:after="48" w:afterLines="20"/>
              <w:jc w:val="center"/>
              <w:rPr>
                <w:color w:val="auto"/>
                <w:kern w:val="0"/>
                <w:szCs w:val="21"/>
              </w:rPr>
            </w:pPr>
            <w:r>
              <w:rPr>
                <w:color w:val="auto"/>
                <w:kern w:val="0"/>
                <w:szCs w:val="21"/>
              </w:rPr>
              <w:t>东南、420m</w:t>
            </w:r>
          </w:p>
        </w:tc>
        <w:tc>
          <w:tcPr>
            <w:tcW w:w="1426" w:type="pct"/>
            <w:vMerge w:val="restart"/>
            <w:tcBorders>
              <w:tl2br w:val="nil"/>
              <w:tr2bl w:val="nil"/>
            </w:tcBorders>
            <w:vAlign w:val="center"/>
          </w:tcPr>
          <w:p w14:paraId="7FB51057">
            <w:pPr>
              <w:widowControl/>
              <w:snapToGrid w:val="0"/>
              <w:spacing w:before="48" w:beforeLines="20" w:after="48" w:afterLines="20"/>
              <w:jc w:val="center"/>
              <w:rPr>
                <w:color w:val="auto"/>
                <w:kern w:val="0"/>
                <w:szCs w:val="21"/>
              </w:rPr>
            </w:pPr>
            <w:r>
              <w:rPr>
                <w:color w:val="auto"/>
                <w:kern w:val="0"/>
                <w:szCs w:val="21"/>
              </w:rPr>
              <w:t>越冬鸟类重要越冬地、重要植物生境与动物栖息地；本项目位于其实验区，是人员居住、生产生活密集区域，干扰较多，不是候鸟重要停歇、觅食场所。</w:t>
            </w:r>
          </w:p>
        </w:tc>
      </w:tr>
      <w:tr w14:paraId="69A6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vMerge w:val="continue"/>
            <w:tcBorders>
              <w:tl2br w:val="nil"/>
              <w:tr2bl w:val="nil"/>
            </w:tcBorders>
            <w:vAlign w:val="center"/>
          </w:tcPr>
          <w:p w14:paraId="2FD46FD8">
            <w:pPr>
              <w:widowControl/>
              <w:snapToGrid w:val="0"/>
              <w:spacing w:before="48" w:beforeLines="20" w:after="48" w:afterLines="20"/>
              <w:jc w:val="center"/>
              <w:rPr>
                <w:color w:val="auto"/>
                <w:kern w:val="0"/>
                <w:szCs w:val="21"/>
                <w:lang w:val="zh-CN"/>
              </w:rPr>
            </w:pPr>
          </w:p>
        </w:tc>
        <w:tc>
          <w:tcPr>
            <w:tcW w:w="1637" w:type="pct"/>
            <w:tcBorders>
              <w:tl2br w:val="nil"/>
              <w:tr2bl w:val="nil"/>
            </w:tcBorders>
            <w:vAlign w:val="center"/>
          </w:tcPr>
          <w:p w14:paraId="03D38F6F">
            <w:pPr>
              <w:widowControl/>
              <w:snapToGrid w:val="0"/>
              <w:spacing w:before="48" w:beforeLines="20" w:after="48" w:afterLines="20"/>
              <w:jc w:val="center"/>
              <w:rPr>
                <w:color w:val="auto"/>
                <w:kern w:val="0"/>
                <w:szCs w:val="21"/>
              </w:rPr>
            </w:pPr>
            <w:r>
              <w:rPr>
                <w:color w:val="auto"/>
                <w:kern w:val="0"/>
                <w:szCs w:val="21"/>
              </w:rPr>
              <w:t>红旗湖核心区，是麋鹿及越冬候鸟活动区。</w:t>
            </w:r>
          </w:p>
        </w:tc>
        <w:tc>
          <w:tcPr>
            <w:tcW w:w="1020" w:type="pct"/>
            <w:tcBorders>
              <w:tl2br w:val="nil"/>
              <w:tr2bl w:val="nil"/>
            </w:tcBorders>
            <w:vAlign w:val="center"/>
          </w:tcPr>
          <w:p w14:paraId="66324042">
            <w:pPr>
              <w:widowControl/>
              <w:snapToGrid w:val="0"/>
              <w:spacing w:before="48" w:beforeLines="20" w:after="48" w:afterLines="20"/>
              <w:jc w:val="center"/>
              <w:rPr>
                <w:color w:val="auto"/>
                <w:kern w:val="0"/>
                <w:szCs w:val="21"/>
              </w:rPr>
            </w:pPr>
            <w:r>
              <w:rPr>
                <w:color w:val="auto"/>
                <w:kern w:val="0"/>
                <w:szCs w:val="21"/>
              </w:rPr>
              <w:t>东南、27800m</w:t>
            </w:r>
          </w:p>
        </w:tc>
        <w:tc>
          <w:tcPr>
            <w:tcW w:w="1426" w:type="pct"/>
            <w:vMerge w:val="continue"/>
            <w:tcBorders>
              <w:tl2br w:val="nil"/>
              <w:tr2bl w:val="nil"/>
            </w:tcBorders>
            <w:vAlign w:val="center"/>
          </w:tcPr>
          <w:p w14:paraId="30D800E4">
            <w:pPr>
              <w:widowControl/>
              <w:snapToGrid w:val="0"/>
              <w:spacing w:before="48" w:beforeLines="20" w:after="48" w:afterLines="20"/>
              <w:jc w:val="center"/>
              <w:rPr>
                <w:color w:val="auto"/>
                <w:kern w:val="0"/>
                <w:szCs w:val="21"/>
              </w:rPr>
            </w:pPr>
          </w:p>
        </w:tc>
      </w:tr>
      <w:tr w14:paraId="0F0C6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vMerge w:val="continue"/>
            <w:tcBorders>
              <w:tl2br w:val="nil"/>
              <w:tr2bl w:val="nil"/>
            </w:tcBorders>
            <w:vAlign w:val="center"/>
          </w:tcPr>
          <w:p w14:paraId="4304187D">
            <w:pPr>
              <w:widowControl/>
              <w:snapToGrid w:val="0"/>
              <w:spacing w:before="48" w:beforeLines="20" w:after="48" w:afterLines="20"/>
              <w:jc w:val="center"/>
              <w:rPr>
                <w:color w:val="auto"/>
                <w:kern w:val="0"/>
                <w:szCs w:val="21"/>
                <w:lang w:val="zh-CN"/>
              </w:rPr>
            </w:pPr>
          </w:p>
        </w:tc>
        <w:tc>
          <w:tcPr>
            <w:tcW w:w="1637" w:type="pct"/>
            <w:tcBorders>
              <w:tl2br w:val="nil"/>
              <w:tr2bl w:val="nil"/>
            </w:tcBorders>
            <w:vAlign w:val="center"/>
          </w:tcPr>
          <w:p w14:paraId="0F2C5100">
            <w:pPr>
              <w:widowControl/>
              <w:snapToGrid w:val="0"/>
              <w:spacing w:before="48" w:beforeLines="20" w:after="48" w:afterLines="20"/>
              <w:jc w:val="center"/>
              <w:rPr>
                <w:color w:val="auto"/>
                <w:kern w:val="0"/>
                <w:szCs w:val="21"/>
              </w:rPr>
            </w:pPr>
            <w:r>
              <w:rPr>
                <w:color w:val="auto"/>
                <w:kern w:val="0"/>
                <w:szCs w:val="21"/>
              </w:rPr>
              <w:t>春风湖核心区，是豆雁、白额雁、小白额雁、东方白鹳及白头鹤的活动区域。</w:t>
            </w:r>
          </w:p>
        </w:tc>
        <w:tc>
          <w:tcPr>
            <w:tcW w:w="1020" w:type="pct"/>
            <w:tcBorders>
              <w:tl2br w:val="nil"/>
              <w:tr2bl w:val="nil"/>
            </w:tcBorders>
            <w:vAlign w:val="center"/>
          </w:tcPr>
          <w:p w14:paraId="322C1B75">
            <w:pPr>
              <w:widowControl/>
              <w:snapToGrid w:val="0"/>
              <w:spacing w:before="48" w:beforeLines="20" w:after="48" w:afterLines="20"/>
              <w:jc w:val="center"/>
              <w:rPr>
                <w:color w:val="auto"/>
                <w:kern w:val="0"/>
                <w:szCs w:val="21"/>
              </w:rPr>
            </w:pPr>
            <w:r>
              <w:rPr>
                <w:color w:val="auto"/>
                <w:kern w:val="0"/>
                <w:szCs w:val="21"/>
              </w:rPr>
              <w:t>东南、35700m</w:t>
            </w:r>
          </w:p>
        </w:tc>
        <w:tc>
          <w:tcPr>
            <w:tcW w:w="1426" w:type="pct"/>
            <w:vMerge w:val="continue"/>
            <w:tcBorders>
              <w:tl2br w:val="nil"/>
              <w:tr2bl w:val="nil"/>
            </w:tcBorders>
            <w:vAlign w:val="center"/>
          </w:tcPr>
          <w:p w14:paraId="612622A8">
            <w:pPr>
              <w:widowControl/>
              <w:snapToGrid w:val="0"/>
              <w:spacing w:before="48" w:beforeLines="20" w:after="48" w:afterLines="20"/>
              <w:jc w:val="center"/>
              <w:rPr>
                <w:color w:val="auto"/>
                <w:kern w:val="0"/>
                <w:szCs w:val="21"/>
              </w:rPr>
            </w:pPr>
          </w:p>
        </w:tc>
      </w:tr>
      <w:tr w14:paraId="674BF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69FE3065">
            <w:pPr>
              <w:widowControl/>
              <w:snapToGrid w:val="0"/>
              <w:jc w:val="center"/>
              <w:rPr>
                <w:color w:val="auto"/>
                <w:kern w:val="0"/>
                <w:szCs w:val="21"/>
              </w:rPr>
            </w:pPr>
            <w:r>
              <w:rPr>
                <w:color w:val="auto"/>
                <w:kern w:val="0"/>
                <w:szCs w:val="21"/>
              </w:rPr>
              <w:t>灰鹤</w:t>
            </w:r>
          </w:p>
          <w:p w14:paraId="57938A93">
            <w:pPr>
              <w:widowControl/>
              <w:snapToGrid w:val="0"/>
              <w:jc w:val="center"/>
              <w:rPr>
                <w:color w:val="auto"/>
                <w:kern w:val="0"/>
                <w:szCs w:val="21"/>
                <w:lang w:val="zh-CN"/>
              </w:rPr>
            </w:pPr>
            <w:r>
              <w:rPr>
                <w:i/>
                <w:iCs/>
                <w:color w:val="auto"/>
                <w:kern w:val="0"/>
                <w:szCs w:val="21"/>
              </w:rPr>
              <w:t>Grus grus</w:t>
            </w:r>
          </w:p>
        </w:tc>
        <w:tc>
          <w:tcPr>
            <w:tcW w:w="1637" w:type="pct"/>
            <w:tcBorders>
              <w:tl2br w:val="nil"/>
              <w:tr2bl w:val="nil"/>
            </w:tcBorders>
            <w:vAlign w:val="center"/>
          </w:tcPr>
          <w:p w14:paraId="52381B38">
            <w:pPr>
              <w:widowControl/>
              <w:snapToGrid w:val="0"/>
              <w:spacing w:before="48" w:beforeLines="20" w:after="48" w:afterLines="20"/>
              <w:jc w:val="center"/>
              <w:rPr>
                <w:color w:val="auto"/>
                <w:kern w:val="0"/>
                <w:szCs w:val="21"/>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restart"/>
            <w:tcBorders>
              <w:tl2br w:val="nil"/>
              <w:tr2bl w:val="nil"/>
            </w:tcBorders>
            <w:vAlign w:val="center"/>
          </w:tcPr>
          <w:p w14:paraId="4D7909CF">
            <w:pPr>
              <w:widowControl/>
              <w:snapToGrid w:val="0"/>
              <w:spacing w:before="48" w:beforeLines="20" w:after="48" w:afterLines="20"/>
              <w:jc w:val="center"/>
              <w:rPr>
                <w:color w:val="auto"/>
                <w:kern w:val="0"/>
                <w:szCs w:val="21"/>
              </w:rPr>
            </w:pPr>
            <w:r>
              <w:rPr>
                <w:color w:val="auto"/>
                <w:kern w:val="0"/>
                <w:szCs w:val="21"/>
              </w:rPr>
              <w:t>鸟类生境范围非常广，涵盖了整个自然保护区及周边地区，但主要分布在东洞庭湖湿地洲滩等保护区核心区，工程区内罕见</w:t>
            </w:r>
          </w:p>
        </w:tc>
        <w:tc>
          <w:tcPr>
            <w:tcW w:w="1426" w:type="pct"/>
            <w:tcBorders>
              <w:tl2br w:val="nil"/>
              <w:tr2bl w:val="nil"/>
            </w:tcBorders>
            <w:vAlign w:val="center"/>
          </w:tcPr>
          <w:p w14:paraId="377A3B91">
            <w:pPr>
              <w:widowControl/>
              <w:snapToGrid w:val="0"/>
              <w:spacing w:before="48" w:beforeLines="20" w:after="48" w:afterLines="20"/>
              <w:jc w:val="center"/>
              <w:rPr>
                <w:color w:val="auto"/>
                <w:kern w:val="0"/>
                <w:szCs w:val="21"/>
                <w:lang w:val="zh-CN"/>
              </w:rPr>
            </w:pPr>
            <w:r>
              <w:rPr>
                <w:color w:val="auto"/>
                <w:kern w:val="0"/>
                <w:szCs w:val="21"/>
                <w:lang w:val="zh-CN"/>
              </w:rPr>
              <w:t>冬候鸟</w:t>
            </w:r>
          </w:p>
        </w:tc>
      </w:tr>
      <w:tr w14:paraId="7FAFB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692A1C64">
            <w:pPr>
              <w:widowControl/>
              <w:snapToGrid w:val="0"/>
              <w:jc w:val="center"/>
              <w:rPr>
                <w:color w:val="auto"/>
                <w:kern w:val="0"/>
                <w:szCs w:val="21"/>
              </w:rPr>
            </w:pPr>
            <w:r>
              <w:rPr>
                <w:color w:val="auto"/>
                <w:kern w:val="0"/>
                <w:szCs w:val="21"/>
              </w:rPr>
              <w:t>小天鹅</w:t>
            </w:r>
          </w:p>
          <w:p w14:paraId="0F901F78">
            <w:pPr>
              <w:widowControl/>
              <w:snapToGrid w:val="0"/>
              <w:jc w:val="center"/>
              <w:rPr>
                <w:i/>
                <w:iCs/>
                <w:color w:val="auto"/>
                <w:kern w:val="0"/>
                <w:szCs w:val="21"/>
              </w:rPr>
            </w:pPr>
            <w:r>
              <w:rPr>
                <w:i/>
                <w:iCs/>
                <w:color w:val="auto"/>
                <w:kern w:val="0"/>
                <w:szCs w:val="21"/>
              </w:rPr>
              <w:t>Cygnus</w:t>
            </w:r>
          </w:p>
          <w:p w14:paraId="2713EABA">
            <w:pPr>
              <w:widowControl/>
              <w:snapToGrid w:val="0"/>
              <w:jc w:val="center"/>
              <w:rPr>
                <w:color w:val="auto"/>
                <w:kern w:val="0"/>
                <w:szCs w:val="21"/>
                <w:lang w:val="zh-CN"/>
              </w:rPr>
            </w:pPr>
            <w:r>
              <w:rPr>
                <w:i/>
                <w:iCs/>
                <w:color w:val="auto"/>
                <w:kern w:val="0"/>
                <w:szCs w:val="21"/>
              </w:rPr>
              <w:t>columbianus</w:t>
            </w:r>
          </w:p>
        </w:tc>
        <w:tc>
          <w:tcPr>
            <w:tcW w:w="1637" w:type="pct"/>
            <w:tcBorders>
              <w:tl2br w:val="nil"/>
              <w:tr2bl w:val="nil"/>
            </w:tcBorders>
            <w:vAlign w:val="center"/>
          </w:tcPr>
          <w:p w14:paraId="4220BAE3">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7CAE5DB8">
            <w:pPr>
              <w:widowControl/>
              <w:snapToGrid w:val="0"/>
              <w:spacing w:before="48" w:beforeLines="20" w:after="48" w:afterLines="20"/>
              <w:jc w:val="center"/>
              <w:rPr>
                <w:color w:val="auto"/>
                <w:kern w:val="0"/>
                <w:szCs w:val="21"/>
                <w:lang w:val="zh-CN"/>
              </w:rPr>
            </w:pPr>
          </w:p>
        </w:tc>
        <w:tc>
          <w:tcPr>
            <w:tcW w:w="1426" w:type="pct"/>
            <w:tcBorders>
              <w:tl2br w:val="nil"/>
              <w:tr2bl w:val="nil"/>
            </w:tcBorders>
            <w:vAlign w:val="center"/>
          </w:tcPr>
          <w:p w14:paraId="484E5215">
            <w:pPr>
              <w:widowControl/>
              <w:snapToGrid w:val="0"/>
              <w:spacing w:before="48" w:beforeLines="20" w:after="48" w:afterLines="20"/>
              <w:jc w:val="center"/>
              <w:rPr>
                <w:color w:val="auto"/>
                <w:kern w:val="0"/>
                <w:szCs w:val="21"/>
                <w:lang w:val="zh-CN"/>
              </w:rPr>
            </w:pPr>
            <w:r>
              <w:rPr>
                <w:color w:val="auto"/>
                <w:kern w:val="0"/>
                <w:szCs w:val="21"/>
                <w:lang w:val="zh-CN"/>
              </w:rPr>
              <w:t>冬候鸟</w:t>
            </w:r>
          </w:p>
        </w:tc>
      </w:tr>
      <w:tr w14:paraId="6D0EA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13B46A95">
            <w:pPr>
              <w:widowControl/>
              <w:snapToGrid w:val="0"/>
              <w:jc w:val="center"/>
              <w:rPr>
                <w:color w:val="auto"/>
                <w:kern w:val="0"/>
                <w:szCs w:val="21"/>
              </w:rPr>
            </w:pPr>
            <w:r>
              <w:rPr>
                <w:color w:val="auto"/>
                <w:kern w:val="0"/>
                <w:szCs w:val="21"/>
              </w:rPr>
              <w:t>鸿雁</w:t>
            </w:r>
          </w:p>
          <w:p w14:paraId="0B6990CD">
            <w:pPr>
              <w:widowControl/>
              <w:snapToGrid w:val="0"/>
              <w:jc w:val="center"/>
              <w:rPr>
                <w:color w:val="auto"/>
                <w:kern w:val="0"/>
                <w:szCs w:val="21"/>
              </w:rPr>
            </w:pPr>
            <w:r>
              <w:rPr>
                <w:i/>
                <w:iCs/>
                <w:color w:val="auto"/>
                <w:kern w:val="0"/>
                <w:szCs w:val="21"/>
              </w:rPr>
              <w:t>Anser cygnoid</w:t>
            </w:r>
          </w:p>
        </w:tc>
        <w:tc>
          <w:tcPr>
            <w:tcW w:w="1637" w:type="pct"/>
            <w:tcBorders>
              <w:tl2br w:val="nil"/>
              <w:tr2bl w:val="nil"/>
            </w:tcBorders>
            <w:vAlign w:val="center"/>
          </w:tcPr>
          <w:p w14:paraId="6BE4C490">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4255BC14">
            <w:pPr>
              <w:widowControl/>
              <w:snapToGrid w:val="0"/>
              <w:spacing w:before="48" w:beforeLines="20" w:after="48" w:afterLines="20"/>
              <w:jc w:val="center"/>
              <w:rPr>
                <w:color w:val="auto"/>
                <w:kern w:val="0"/>
                <w:szCs w:val="21"/>
              </w:rPr>
            </w:pPr>
          </w:p>
        </w:tc>
        <w:tc>
          <w:tcPr>
            <w:tcW w:w="1426" w:type="pct"/>
            <w:tcBorders>
              <w:tl2br w:val="nil"/>
              <w:tr2bl w:val="nil"/>
            </w:tcBorders>
            <w:vAlign w:val="center"/>
          </w:tcPr>
          <w:p w14:paraId="6E1D172A">
            <w:pPr>
              <w:widowControl/>
              <w:snapToGrid w:val="0"/>
              <w:spacing w:before="48" w:beforeLines="20" w:after="48" w:afterLines="20"/>
              <w:jc w:val="center"/>
              <w:rPr>
                <w:color w:val="auto"/>
                <w:kern w:val="0"/>
                <w:szCs w:val="21"/>
              </w:rPr>
            </w:pPr>
            <w:r>
              <w:rPr>
                <w:color w:val="auto"/>
                <w:kern w:val="0"/>
                <w:szCs w:val="21"/>
                <w:lang w:val="zh-CN"/>
              </w:rPr>
              <w:t>冬候鸟</w:t>
            </w:r>
          </w:p>
        </w:tc>
      </w:tr>
      <w:tr w14:paraId="3E84C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6617AE68">
            <w:pPr>
              <w:widowControl/>
              <w:snapToGrid w:val="0"/>
              <w:jc w:val="center"/>
              <w:rPr>
                <w:color w:val="auto"/>
                <w:kern w:val="0"/>
                <w:szCs w:val="21"/>
              </w:rPr>
            </w:pPr>
            <w:r>
              <w:rPr>
                <w:color w:val="auto"/>
                <w:kern w:val="0"/>
                <w:szCs w:val="21"/>
              </w:rPr>
              <w:t>白琵鹭</w:t>
            </w:r>
          </w:p>
          <w:p w14:paraId="358AC77D">
            <w:pPr>
              <w:widowControl/>
              <w:snapToGrid w:val="0"/>
              <w:jc w:val="center"/>
              <w:rPr>
                <w:color w:val="auto"/>
                <w:kern w:val="0"/>
                <w:szCs w:val="21"/>
              </w:rPr>
            </w:pPr>
            <w:r>
              <w:rPr>
                <w:i/>
                <w:iCs/>
                <w:color w:val="auto"/>
                <w:kern w:val="0"/>
                <w:szCs w:val="21"/>
              </w:rPr>
              <w:t>Platalea leucorodia</w:t>
            </w:r>
          </w:p>
        </w:tc>
        <w:tc>
          <w:tcPr>
            <w:tcW w:w="1637" w:type="pct"/>
            <w:tcBorders>
              <w:tl2br w:val="nil"/>
              <w:tr2bl w:val="nil"/>
            </w:tcBorders>
            <w:vAlign w:val="center"/>
          </w:tcPr>
          <w:p w14:paraId="2813DBFB">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1CEAF04C">
            <w:pPr>
              <w:widowControl/>
              <w:snapToGrid w:val="0"/>
              <w:spacing w:before="48" w:beforeLines="20" w:after="48" w:afterLines="20"/>
              <w:jc w:val="center"/>
              <w:rPr>
                <w:color w:val="auto"/>
                <w:kern w:val="0"/>
                <w:szCs w:val="21"/>
              </w:rPr>
            </w:pPr>
          </w:p>
        </w:tc>
        <w:tc>
          <w:tcPr>
            <w:tcW w:w="1426" w:type="pct"/>
            <w:tcBorders>
              <w:tl2br w:val="nil"/>
              <w:tr2bl w:val="nil"/>
            </w:tcBorders>
            <w:vAlign w:val="center"/>
          </w:tcPr>
          <w:p w14:paraId="7C114B5A">
            <w:pPr>
              <w:widowControl/>
              <w:snapToGrid w:val="0"/>
              <w:spacing w:before="48" w:beforeLines="20" w:after="48" w:afterLines="20"/>
              <w:jc w:val="center"/>
              <w:rPr>
                <w:color w:val="auto"/>
                <w:kern w:val="0"/>
                <w:szCs w:val="21"/>
              </w:rPr>
            </w:pPr>
            <w:r>
              <w:rPr>
                <w:color w:val="auto"/>
                <w:kern w:val="0"/>
                <w:szCs w:val="21"/>
                <w:lang w:val="zh-CN"/>
              </w:rPr>
              <w:t>冬候鸟</w:t>
            </w:r>
          </w:p>
        </w:tc>
      </w:tr>
      <w:tr w14:paraId="6C2E8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05F82EFE">
            <w:pPr>
              <w:widowControl/>
              <w:snapToGrid w:val="0"/>
              <w:jc w:val="center"/>
              <w:rPr>
                <w:color w:val="auto"/>
                <w:kern w:val="0"/>
                <w:szCs w:val="21"/>
              </w:rPr>
            </w:pPr>
            <w:r>
              <w:rPr>
                <w:color w:val="auto"/>
                <w:kern w:val="0"/>
                <w:szCs w:val="21"/>
              </w:rPr>
              <w:t>白额雁</w:t>
            </w:r>
          </w:p>
          <w:p w14:paraId="1D2F8A76">
            <w:pPr>
              <w:widowControl/>
              <w:snapToGrid w:val="0"/>
              <w:jc w:val="center"/>
              <w:rPr>
                <w:color w:val="auto"/>
                <w:kern w:val="0"/>
                <w:szCs w:val="21"/>
                <w:lang w:val="zh-CN"/>
              </w:rPr>
            </w:pPr>
            <w:r>
              <w:rPr>
                <w:i/>
                <w:iCs/>
                <w:color w:val="auto"/>
                <w:kern w:val="0"/>
                <w:szCs w:val="21"/>
              </w:rPr>
              <w:t>Anser albifrons</w:t>
            </w:r>
          </w:p>
        </w:tc>
        <w:tc>
          <w:tcPr>
            <w:tcW w:w="1637" w:type="pct"/>
            <w:tcBorders>
              <w:tl2br w:val="nil"/>
              <w:tr2bl w:val="nil"/>
            </w:tcBorders>
            <w:vAlign w:val="center"/>
          </w:tcPr>
          <w:p w14:paraId="43DF8F95">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7294223D">
            <w:pPr>
              <w:widowControl/>
              <w:snapToGrid w:val="0"/>
              <w:spacing w:before="48" w:beforeLines="20" w:after="48" w:afterLines="20"/>
              <w:jc w:val="center"/>
              <w:rPr>
                <w:color w:val="auto"/>
                <w:kern w:val="0"/>
                <w:szCs w:val="21"/>
              </w:rPr>
            </w:pPr>
          </w:p>
        </w:tc>
        <w:tc>
          <w:tcPr>
            <w:tcW w:w="1426" w:type="pct"/>
            <w:tcBorders>
              <w:tl2br w:val="nil"/>
              <w:tr2bl w:val="nil"/>
            </w:tcBorders>
            <w:vAlign w:val="center"/>
          </w:tcPr>
          <w:p w14:paraId="37F27991">
            <w:pPr>
              <w:widowControl/>
              <w:snapToGrid w:val="0"/>
              <w:spacing w:before="48" w:beforeLines="20" w:after="48" w:afterLines="20"/>
              <w:jc w:val="center"/>
              <w:rPr>
                <w:color w:val="auto"/>
                <w:kern w:val="0"/>
                <w:szCs w:val="21"/>
              </w:rPr>
            </w:pPr>
            <w:r>
              <w:rPr>
                <w:color w:val="auto"/>
                <w:kern w:val="0"/>
                <w:szCs w:val="21"/>
                <w:lang w:val="zh-CN"/>
              </w:rPr>
              <w:t>冬候鸟</w:t>
            </w:r>
          </w:p>
        </w:tc>
      </w:tr>
      <w:tr w14:paraId="7A4E2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514FD3C3">
            <w:pPr>
              <w:widowControl/>
              <w:snapToGrid w:val="0"/>
              <w:jc w:val="center"/>
              <w:rPr>
                <w:color w:val="auto"/>
                <w:kern w:val="0"/>
                <w:szCs w:val="21"/>
              </w:rPr>
            </w:pPr>
            <w:r>
              <w:rPr>
                <w:color w:val="auto"/>
                <w:kern w:val="0"/>
                <w:szCs w:val="21"/>
              </w:rPr>
              <w:t>小白额雁</w:t>
            </w:r>
          </w:p>
          <w:p w14:paraId="7E7BB87A">
            <w:pPr>
              <w:widowControl/>
              <w:snapToGrid w:val="0"/>
              <w:jc w:val="center"/>
              <w:rPr>
                <w:color w:val="auto"/>
                <w:kern w:val="0"/>
                <w:szCs w:val="21"/>
                <w:lang w:val="zh-CN"/>
              </w:rPr>
            </w:pPr>
            <w:r>
              <w:rPr>
                <w:i/>
                <w:iCs/>
                <w:color w:val="auto"/>
                <w:kern w:val="0"/>
                <w:szCs w:val="21"/>
              </w:rPr>
              <w:t>Anser erythropus</w:t>
            </w:r>
          </w:p>
        </w:tc>
        <w:tc>
          <w:tcPr>
            <w:tcW w:w="1637" w:type="pct"/>
            <w:tcBorders>
              <w:tl2br w:val="nil"/>
              <w:tr2bl w:val="nil"/>
            </w:tcBorders>
            <w:vAlign w:val="center"/>
          </w:tcPr>
          <w:p w14:paraId="6B611BF3">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077A2E65">
            <w:pPr>
              <w:widowControl/>
              <w:snapToGrid w:val="0"/>
              <w:spacing w:before="48" w:beforeLines="20" w:after="48" w:afterLines="20"/>
              <w:jc w:val="center"/>
              <w:rPr>
                <w:color w:val="auto"/>
                <w:kern w:val="0"/>
                <w:szCs w:val="21"/>
              </w:rPr>
            </w:pPr>
          </w:p>
        </w:tc>
        <w:tc>
          <w:tcPr>
            <w:tcW w:w="1426" w:type="pct"/>
            <w:tcBorders>
              <w:tl2br w:val="nil"/>
              <w:tr2bl w:val="nil"/>
            </w:tcBorders>
            <w:vAlign w:val="center"/>
          </w:tcPr>
          <w:p w14:paraId="75528891">
            <w:pPr>
              <w:widowControl/>
              <w:snapToGrid w:val="0"/>
              <w:spacing w:before="48" w:beforeLines="20" w:after="48" w:afterLines="20"/>
              <w:jc w:val="center"/>
              <w:rPr>
                <w:color w:val="auto"/>
                <w:kern w:val="0"/>
                <w:szCs w:val="21"/>
              </w:rPr>
            </w:pPr>
            <w:r>
              <w:rPr>
                <w:color w:val="auto"/>
                <w:kern w:val="0"/>
                <w:szCs w:val="21"/>
                <w:lang w:val="zh-CN"/>
              </w:rPr>
              <w:t>冬候鸟</w:t>
            </w:r>
          </w:p>
        </w:tc>
      </w:tr>
      <w:tr w14:paraId="6FF3E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23017F09">
            <w:pPr>
              <w:widowControl/>
              <w:snapToGrid w:val="0"/>
              <w:jc w:val="center"/>
              <w:rPr>
                <w:color w:val="auto"/>
                <w:kern w:val="0"/>
                <w:szCs w:val="21"/>
              </w:rPr>
            </w:pPr>
            <w:r>
              <w:rPr>
                <w:color w:val="auto"/>
                <w:kern w:val="0"/>
                <w:szCs w:val="21"/>
              </w:rPr>
              <w:t>画眉</w:t>
            </w:r>
          </w:p>
          <w:p w14:paraId="0B734687">
            <w:pPr>
              <w:widowControl/>
              <w:snapToGrid w:val="0"/>
              <w:jc w:val="center"/>
              <w:rPr>
                <w:color w:val="auto"/>
                <w:kern w:val="0"/>
                <w:szCs w:val="21"/>
                <w:lang w:val="zh-CN"/>
              </w:rPr>
            </w:pPr>
            <w:r>
              <w:rPr>
                <w:i/>
                <w:iCs/>
                <w:color w:val="auto"/>
                <w:kern w:val="0"/>
                <w:szCs w:val="21"/>
              </w:rPr>
              <w:t>Garrulax canorus</w:t>
            </w:r>
          </w:p>
        </w:tc>
        <w:tc>
          <w:tcPr>
            <w:tcW w:w="1637" w:type="pct"/>
            <w:tcBorders>
              <w:tl2br w:val="nil"/>
              <w:tr2bl w:val="nil"/>
            </w:tcBorders>
            <w:vAlign w:val="center"/>
          </w:tcPr>
          <w:p w14:paraId="60655CBE">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vMerge w:val="continue"/>
            <w:tcBorders>
              <w:tl2br w:val="nil"/>
              <w:tr2bl w:val="nil"/>
            </w:tcBorders>
            <w:vAlign w:val="center"/>
          </w:tcPr>
          <w:p w14:paraId="2BA3CB9A">
            <w:pPr>
              <w:widowControl/>
              <w:snapToGrid w:val="0"/>
              <w:spacing w:before="48" w:beforeLines="20" w:after="48" w:afterLines="20"/>
              <w:jc w:val="center"/>
              <w:rPr>
                <w:color w:val="auto"/>
                <w:kern w:val="0"/>
                <w:szCs w:val="21"/>
              </w:rPr>
            </w:pPr>
          </w:p>
        </w:tc>
        <w:tc>
          <w:tcPr>
            <w:tcW w:w="1426" w:type="pct"/>
            <w:tcBorders>
              <w:tl2br w:val="nil"/>
              <w:tr2bl w:val="nil"/>
            </w:tcBorders>
            <w:vAlign w:val="center"/>
          </w:tcPr>
          <w:p w14:paraId="45C69FF9">
            <w:pPr>
              <w:widowControl/>
              <w:snapToGrid w:val="0"/>
              <w:spacing w:before="48" w:beforeLines="20" w:after="48" w:afterLines="20"/>
              <w:jc w:val="center"/>
              <w:rPr>
                <w:color w:val="auto"/>
                <w:kern w:val="0"/>
                <w:szCs w:val="21"/>
              </w:rPr>
            </w:pPr>
            <w:r>
              <w:rPr>
                <w:color w:val="auto"/>
                <w:kern w:val="0"/>
                <w:szCs w:val="21"/>
              </w:rPr>
              <w:t>留鸟</w:t>
            </w:r>
          </w:p>
        </w:tc>
      </w:tr>
      <w:tr w14:paraId="0894B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915" w:type="pct"/>
            <w:tcBorders>
              <w:tl2br w:val="nil"/>
              <w:tr2bl w:val="nil"/>
            </w:tcBorders>
            <w:vAlign w:val="center"/>
          </w:tcPr>
          <w:p w14:paraId="7A50E062">
            <w:pPr>
              <w:widowControl/>
              <w:snapToGrid w:val="0"/>
              <w:jc w:val="center"/>
              <w:rPr>
                <w:color w:val="auto"/>
                <w:kern w:val="0"/>
                <w:szCs w:val="21"/>
              </w:rPr>
            </w:pPr>
            <w:r>
              <w:rPr>
                <w:color w:val="auto"/>
                <w:kern w:val="0"/>
                <w:szCs w:val="21"/>
              </w:rPr>
              <w:t>虎纹蛙</w:t>
            </w:r>
          </w:p>
          <w:p w14:paraId="0BBD1102">
            <w:pPr>
              <w:widowControl/>
              <w:snapToGrid w:val="0"/>
              <w:jc w:val="center"/>
              <w:rPr>
                <w:i/>
                <w:iCs/>
                <w:color w:val="auto"/>
                <w:kern w:val="0"/>
                <w:szCs w:val="21"/>
              </w:rPr>
            </w:pPr>
            <w:r>
              <w:rPr>
                <w:i/>
                <w:iCs/>
                <w:color w:val="auto"/>
                <w:kern w:val="0"/>
                <w:szCs w:val="21"/>
              </w:rPr>
              <w:t>Hoplobatrachus</w:t>
            </w:r>
          </w:p>
          <w:p w14:paraId="6F422183">
            <w:pPr>
              <w:widowControl/>
              <w:snapToGrid w:val="0"/>
              <w:jc w:val="center"/>
              <w:rPr>
                <w:color w:val="auto"/>
                <w:kern w:val="0"/>
                <w:szCs w:val="21"/>
                <w:lang w:val="zh-CN"/>
              </w:rPr>
            </w:pPr>
            <w:r>
              <w:rPr>
                <w:i/>
                <w:iCs/>
                <w:color w:val="auto"/>
                <w:kern w:val="0"/>
                <w:szCs w:val="21"/>
              </w:rPr>
              <w:t>rugulosus</w:t>
            </w:r>
          </w:p>
        </w:tc>
        <w:tc>
          <w:tcPr>
            <w:tcW w:w="1637" w:type="pct"/>
            <w:tcBorders>
              <w:tl2br w:val="nil"/>
              <w:tr2bl w:val="nil"/>
            </w:tcBorders>
            <w:vAlign w:val="center"/>
          </w:tcPr>
          <w:p w14:paraId="570C89BC">
            <w:pPr>
              <w:widowControl/>
              <w:snapToGrid w:val="0"/>
              <w:spacing w:before="48" w:beforeLines="20" w:after="48" w:afterLines="20"/>
              <w:jc w:val="center"/>
              <w:rPr>
                <w:color w:val="auto"/>
                <w:kern w:val="0"/>
                <w:szCs w:val="21"/>
                <w:lang w:val="zh-CN"/>
              </w:rPr>
            </w:pPr>
            <w:r>
              <w:rPr>
                <w:color w:val="auto"/>
                <w:kern w:val="0"/>
                <w:szCs w:val="21"/>
                <w:lang w:val="zh-CN"/>
              </w:rPr>
              <w:t>国家</w:t>
            </w:r>
            <w:r>
              <w:rPr>
                <w:color w:val="auto"/>
                <w:kern w:val="0"/>
                <w:szCs w:val="21"/>
              </w:rPr>
              <w:fldChar w:fldCharType="begin"/>
            </w:r>
            <w:r>
              <w:rPr>
                <w:color w:val="auto"/>
                <w:kern w:val="0"/>
                <w:szCs w:val="21"/>
              </w:rPr>
              <w:instrText xml:space="preserve"> = 2 \* ROMAN \* MERGEFORMAT </w:instrText>
            </w:r>
            <w:r>
              <w:rPr>
                <w:color w:val="auto"/>
                <w:kern w:val="0"/>
                <w:szCs w:val="21"/>
              </w:rPr>
              <w:fldChar w:fldCharType="separate"/>
            </w:r>
            <w:r>
              <w:rPr>
                <w:color w:val="auto"/>
                <w:kern w:val="0"/>
                <w:szCs w:val="21"/>
              </w:rPr>
              <w:t>II</w:t>
            </w:r>
            <w:r>
              <w:rPr>
                <w:color w:val="auto"/>
                <w:kern w:val="0"/>
                <w:szCs w:val="21"/>
              </w:rPr>
              <w:fldChar w:fldCharType="end"/>
            </w:r>
            <w:r>
              <w:rPr>
                <w:color w:val="auto"/>
                <w:kern w:val="0"/>
                <w:szCs w:val="21"/>
                <w:lang w:val="zh-CN"/>
              </w:rPr>
              <w:t>级重点保护野生动物</w:t>
            </w:r>
          </w:p>
        </w:tc>
        <w:tc>
          <w:tcPr>
            <w:tcW w:w="1020" w:type="pct"/>
            <w:tcBorders>
              <w:tl2br w:val="nil"/>
              <w:tr2bl w:val="nil"/>
            </w:tcBorders>
            <w:vAlign w:val="center"/>
          </w:tcPr>
          <w:p w14:paraId="170CE7E9">
            <w:pPr>
              <w:widowControl/>
              <w:snapToGrid w:val="0"/>
              <w:spacing w:before="48" w:beforeLines="20" w:after="48" w:afterLines="20"/>
              <w:jc w:val="center"/>
              <w:rPr>
                <w:color w:val="auto"/>
                <w:kern w:val="0"/>
                <w:szCs w:val="21"/>
              </w:rPr>
            </w:pPr>
            <w:r>
              <w:rPr>
                <w:color w:val="auto"/>
                <w:kern w:val="0"/>
                <w:szCs w:val="21"/>
              </w:rPr>
              <w:t>评价区内农田、池塘等区域</w:t>
            </w:r>
          </w:p>
        </w:tc>
        <w:tc>
          <w:tcPr>
            <w:tcW w:w="1426" w:type="pct"/>
            <w:tcBorders>
              <w:tl2br w:val="nil"/>
              <w:tr2bl w:val="nil"/>
            </w:tcBorders>
            <w:vAlign w:val="center"/>
          </w:tcPr>
          <w:p w14:paraId="65299DB9">
            <w:pPr>
              <w:widowControl/>
              <w:snapToGrid w:val="0"/>
              <w:spacing w:before="48" w:beforeLines="20" w:after="48" w:afterLines="20"/>
              <w:jc w:val="center"/>
              <w:rPr>
                <w:color w:val="auto"/>
                <w:kern w:val="0"/>
                <w:szCs w:val="21"/>
              </w:rPr>
            </w:pPr>
            <w:r>
              <w:rPr>
                <w:color w:val="auto"/>
                <w:kern w:val="0"/>
                <w:szCs w:val="21"/>
              </w:rPr>
              <w:t>/</w:t>
            </w:r>
          </w:p>
        </w:tc>
      </w:tr>
    </w:tbl>
    <w:p w14:paraId="4C71D925">
      <w:pPr>
        <w:pStyle w:val="82"/>
        <w:widowControl w:val="0"/>
        <w:spacing w:line="360" w:lineRule="auto"/>
        <w:outlineLvl w:val="1"/>
        <w:rPr>
          <w:rFonts w:ascii="Times New Roman" w:hAnsi="Times New Roman" w:cs="Times New Roman"/>
          <w:b/>
          <w:color w:val="auto"/>
          <w:sz w:val="30"/>
          <w:szCs w:val="30"/>
        </w:rPr>
      </w:pPr>
      <w:bookmarkStart w:id="104" w:name="_Toc12651"/>
      <w:bookmarkStart w:id="105" w:name="_Toc26126134"/>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6</w:t>
      </w:r>
      <w:r>
        <w:rPr>
          <w:rFonts w:ascii="Times New Roman" w:hAnsi="Times New Roman" w:cs="Times New Roman"/>
          <w:b/>
          <w:color w:val="auto"/>
          <w:sz w:val="30"/>
          <w:szCs w:val="30"/>
        </w:rPr>
        <w:t>评价内容</w:t>
      </w:r>
      <w:bookmarkEnd w:id="104"/>
      <w:bookmarkEnd w:id="105"/>
    </w:p>
    <w:p w14:paraId="46A448F7">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根据建设项目的特点，识别环境问题，确定以下主要评价内容：</w:t>
      </w:r>
    </w:p>
    <w:p w14:paraId="2790147B">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1、生态环境现状调查与评价；</w:t>
      </w:r>
    </w:p>
    <w:p w14:paraId="5D6E89F9">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2、项目建设期对东洞庭湖国家级自然保护区野生动植物的影响评价；</w:t>
      </w:r>
    </w:p>
    <w:p w14:paraId="74B006BF">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3、项目建设期对主要保护对象（鸟类）的影响评价；</w:t>
      </w:r>
    </w:p>
    <w:p w14:paraId="1FFFBFCE">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4、项目运营期对周边陆生植被及动物的影响评价；</w:t>
      </w:r>
    </w:p>
    <w:p w14:paraId="316E0366">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5、工程占地对湖南东洞庭湖国家级自然保护区生物多样性与生态系统完整性影响；</w:t>
      </w:r>
    </w:p>
    <w:p w14:paraId="6485376B">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6、提出生态保护和恢复措施。</w:t>
      </w:r>
    </w:p>
    <w:p w14:paraId="65ABFC21">
      <w:pPr>
        <w:pStyle w:val="82"/>
        <w:widowControl w:val="0"/>
        <w:spacing w:line="360" w:lineRule="auto"/>
        <w:outlineLvl w:val="1"/>
        <w:rPr>
          <w:rFonts w:ascii="Times New Roman" w:hAnsi="Times New Roman" w:cs="Times New Roman"/>
          <w:b/>
          <w:color w:val="auto"/>
          <w:sz w:val="30"/>
          <w:szCs w:val="30"/>
        </w:rPr>
      </w:pPr>
      <w:bookmarkStart w:id="106" w:name="_Toc15167"/>
      <w:r>
        <w:rPr>
          <w:rFonts w:ascii="Times New Roman" w:hAnsi="Times New Roman" w:cs="Times New Roman"/>
          <w:b/>
          <w:color w:val="auto"/>
          <w:sz w:val="30"/>
          <w:szCs w:val="30"/>
        </w:rPr>
        <w:t>1.</w:t>
      </w:r>
      <w:r>
        <w:rPr>
          <w:rFonts w:hint="eastAsia" w:ascii="Times New Roman" w:hAnsi="Times New Roman" w:cs="Times New Roman"/>
          <w:b/>
          <w:color w:val="auto"/>
          <w:sz w:val="30"/>
          <w:szCs w:val="30"/>
        </w:rPr>
        <w:t>7</w:t>
      </w:r>
      <w:r>
        <w:rPr>
          <w:rFonts w:ascii="Times New Roman" w:hAnsi="Times New Roman" w:cs="Times New Roman"/>
          <w:b/>
          <w:color w:val="auto"/>
          <w:sz w:val="30"/>
          <w:szCs w:val="30"/>
        </w:rPr>
        <w:t>生态影响评价技术路线</w:t>
      </w:r>
      <w:bookmarkEnd w:id="106"/>
    </w:p>
    <w:p w14:paraId="11F46C49">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本项目生态影响评价技术路线见下图。</w:t>
      </w:r>
    </w:p>
    <w:p w14:paraId="68EAEE61">
      <w:pPr>
        <w:adjustRightInd w:val="0"/>
        <w:snapToGrid w:val="0"/>
        <w:spacing w:line="360" w:lineRule="auto"/>
        <w:jc w:val="center"/>
        <w:rPr>
          <w:rFonts w:hint="eastAsia" w:eastAsiaTheme="minorEastAsia"/>
          <w:color w:val="auto"/>
          <w:kern w:val="0"/>
          <w:sz w:val="24"/>
          <w:lang w:eastAsia="zh-CN"/>
        </w:rPr>
      </w:pPr>
      <w:r>
        <w:rPr>
          <w:rFonts w:hint="eastAsia" w:eastAsiaTheme="minorEastAsia"/>
          <w:color w:val="auto"/>
          <w:kern w:val="0"/>
          <w:sz w:val="24"/>
          <w:lang w:eastAsia="zh-CN"/>
        </w:rPr>
        <w:drawing>
          <wp:inline distT="0" distB="0" distL="114300" distR="114300">
            <wp:extent cx="4900930" cy="6059805"/>
            <wp:effectExtent l="0" t="0" r="13970" b="17145"/>
            <wp:docPr id="10" name="图片 10" descr="图片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处理"/>
                    <pic:cNvPicPr>
                      <a:picLocks noChangeAspect="1"/>
                    </pic:cNvPicPr>
                  </pic:nvPicPr>
                  <pic:blipFill>
                    <a:blip r:embed="rId54"/>
                    <a:srcRect l="8199" r="6752" b="7292"/>
                    <a:stretch>
                      <a:fillRect/>
                    </a:stretch>
                  </pic:blipFill>
                  <pic:spPr>
                    <a:xfrm>
                      <a:off x="0" y="0"/>
                      <a:ext cx="4900930" cy="6059805"/>
                    </a:xfrm>
                    <a:prstGeom prst="rect">
                      <a:avLst/>
                    </a:prstGeom>
                  </pic:spPr>
                </pic:pic>
              </a:graphicData>
            </a:graphic>
          </wp:inline>
        </w:drawing>
      </w:r>
    </w:p>
    <w:p w14:paraId="17C7F27B">
      <w:pPr>
        <w:spacing w:line="360" w:lineRule="auto"/>
        <w:jc w:val="center"/>
        <w:rPr>
          <w:rFonts w:eastAsiaTheme="minorEastAsia"/>
          <w:b/>
          <w:bCs/>
          <w:color w:val="auto"/>
          <w:sz w:val="24"/>
        </w:rPr>
      </w:pPr>
      <w:r>
        <w:rPr>
          <w:rFonts w:eastAsiaTheme="minorEastAsia"/>
          <w:b/>
          <w:bCs/>
          <w:color w:val="auto"/>
          <w:sz w:val="24"/>
        </w:rPr>
        <w:t>图1.</w:t>
      </w:r>
      <w:r>
        <w:rPr>
          <w:rFonts w:hint="eastAsia" w:eastAsiaTheme="minorEastAsia"/>
          <w:b/>
          <w:bCs/>
          <w:color w:val="auto"/>
          <w:sz w:val="24"/>
        </w:rPr>
        <w:t>5</w:t>
      </w:r>
      <w:r>
        <w:rPr>
          <w:rFonts w:eastAsiaTheme="minorEastAsia"/>
          <w:b/>
          <w:bCs/>
          <w:color w:val="auto"/>
          <w:sz w:val="24"/>
        </w:rPr>
        <w:t>-1   项目生态影响评价技术路线</w:t>
      </w:r>
    </w:p>
    <w:p w14:paraId="28364DBB">
      <w:pPr>
        <w:pStyle w:val="81"/>
        <w:widowControl w:val="0"/>
        <w:spacing w:beforeLines="0" w:afterLines="0"/>
        <w:ind w:left="0"/>
        <w:rPr>
          <w:rFonts w:ascii="Times New Roman" w:hAnsi="Times New Roman" w:cs="Times New Roman"/>
          <w:color w:val="auto"/>
        </w:rPr>
      </w:pPr>
      <w:bookmarkStart w:id="107" w:name="_Toc3623"/>
      <w:bookmarkStart w:id="108" w:name="_Toc26126136"/>
      <w:r>
        <w:rPr>
          <w:rFonts w:ascii="Times New Roman" w:hAnsi="Times New Roman" w:cs="Times New Roman"/>
          <w:color w:val="auto"/>
        </w:rPr>
        <w:t>2建设项目概况</w:t>
      </w:r>
      <w:bookmarkEnd w:id="107"/>
      <w:bookmarkEnd w:id="108"/>
    </w:p>
    <w:p w14:paraId="4650C631">
      <w:pPr>
        <w:widowControl/>
        <w:kinsoku w:val="0"/>
        <w:autoSpaceDE w:val="0"/>
        <w:autoSpaceDN w:val="0"/>
        <w:adjustRightInd w:val="0"/>
        <w:snapToGrid w:val="0"/>
        <w:spacing w:before="79" w:line="360" w:lineRule="auto"/>
        <w:ind w:left="12" w:firstLine="477"/>
        <w:jc w:val="left"/>
        <w:textAlignment w:val="baseline"/>
        <w:rPr>
          <w:rFonts w:hint="eastAsia" w:ascii="宋体" w:hAnsi="宋体" w:cs="宋体"/>
          <w:snapToGrid w:val="0"/>
          <w:color w:val="auto"/>
          <w:spacing w:val="-1"/>
          <w:kern w:val="0"/>
          <w:sz w:val="24"/>
        </w:rPr>
      </w:pPr>
      <w:bookmarkStart w:id="109" w:name="_Toc26126141"/>
      <w:r>
        <w:rPr>
          <w:rFonts w:ascii="宋体" w:hAnsi="宋体" w:cs="宋体"/>
          <w:snapToGrid w:val="0"/>
          <w:color w:val="auto"/>
          <w:spacing w:val="2"/>
          <w:kern w:val="0"/>
          <w:sz w:val="24"/>
        </w:rPr>
        <w:t>本专项评价报告仅摘录项目环境影响报告表正文部分主要工程概况内容，</w:t>
      </w:r>
      <w:r>
        <w:rPr>
          <w:rFonts w:ascii="宋体" w:hAnsi="宋体" w:cs="宋体"/>
          <w:snapToGrid w:val="0"/>
          <w:color w:val="auto"/>
          <w:spacing w:val="1"/>
          <w:kern w:val="0"/>
          <w:sz w:val="24"/>
        </w:rPr>
        <w:t>具体建</w:t>
      </w:r>
      <w:r>
        <w:rPr>
          <w:rFonts w:ascii="宋体" w:hAnsi="宋体" w:cs="宋体"/>
          <w:snapToGrid w:val="0"/>
          <w:color w:val="auto"/>
          <w:spacing w:val="-1"/>
          <w:kern w:val="0"/>
          <w:sz w:val="24"/>
        </w:rPr>
        <w:t>设内容及设计方案详见报告表正文。</w:t>
      </w:r>
    </w:p>
    <w:p w14:paraId="23D015AD">
      <w:pPr>
        <w:rPr>
          <w:rFonts w:hint="eastAsia" w:ascii="宋体" w:hAnsi="宋体" w:cs="宋体"/>
          <w:snapToGrid w:val="0"/>
          <w:color w:val="auto"/>
          <w:spacing w:val="-1"/>
          <w:kern w:val="0"/>
          <w:sz w:val="24"/>
        </w:rPr>
      </w:pPr>
      <w:r>
        <w:rPr>
          <w:rFonts w:ascii="宋体" w:hAnsi="宋体" w:cs="宋体"/>
          <w:snapToGrid w:val="0"/>
          <w:color w:val="auto"/>
          <w:spacing w:val="-1"/>
          <w:kern w:val="0"/>
          <w:sz w:val="24"/>
        </w:rPr>
        <w:br w:type="page"/>
      </w:r>
    </w:p>
    <w:p w14:paraId="00DC5974">
      <w:pPr>
        <w:pStyle w:val="81"/>
        <w:widowControl w:val="0"/>
        <w:spacing w:beforeLines="0" w:afterLines="0"/>
        <w:ind w:left="0"/>
        <w:rPr>
          <w:rFonts w:ascii="Times New Roman" w:hAnsi="Times New Roman" w:cs="Times New Roman"/>
          <w:color w:val="auto"/>
        </w:rPr>
      </w:pPr>
      <w:bookmarkStart w:id="110" w:name="_Toc28918"/>
      <w:r>
        <w:rPr>
          <w:rFonts w:ascii="Times New Roman" w:hAnsi="Times New Roman" w:cs="Times New Roman"/>
          <w:color w:val="auto"/>
        </w:rPr>
        <w:t>3生态环境现状与评价</w:t>
      </w:r>
      <w:bookmarkEnd w:id="110"/>
    </w:p>
    <w:bookmarkEnd w:id="109"/>
    <w:p w14:paraId="2060752F">
      <w:pPr>
        <w:pStyle w:val="82"/>
        <w:widowControl w:val="0"/>
        <w:spacing w:line="360" w:lineRule="auto"/>
        <w:outlineLvl w:val="1"/>
        <w:rPr>
          <w:rFonts w:ascii="Times New Roman" w:hAnsi="Times New Roman" w:eastAsia="宋体" w:cs="Times New Roman"/>
          <w:b/>
          <w:color w:val="auto"/>
          <w:sz w:val="30"/>
          <w:szCs w:val="30"/>
        </w:rPr>
      </w:pPr>
      <w:bookmarkStart w:id="111" w:name="_Toc26126150"/>
      <w:bookmarkStart w:id="112" w:name="_Toc28646"/>
      <w:bookmarkStart w:id="113" w:name="_Toc31275"/>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.1生态功能定位</w:t>
      </w:r>
      <w:bookmarkEnd w:id="111"/>
      <w:bookmarkEnd w:id="112"/>
      <w:bookmarkEnd w:id="113"/>
    </w:p>
    <w:p w14:paraId="2F7C4ED6">
      <w:pPr>
        <w:spacing w:line="360" w:lineRule="auto"/>
        <w:ind w:firstLine="480" w:firstLineChars="200"/>
        <w:rPr>
          <w:color w:val="auto"/>
          <w:kern w:val="0"/>
          <w:sz w:val="24"/>
        </w:rPr>
      </w:pPr>
      <w:r>
        <w:rPr>
          <w:color w:val="auto"/>
          <w:kern w:val="0"/>
          <w:sz w:val="24"/>
        </w:rPr>
        <w:t>洞庭湖是长江中下游极重要的天然洪水调蓄库、长江流域重要的水生生物栖息地和种质资源库，湖内生长有丰富的湿生植物如芦苇、荻等，洲滩连片，为水禽提供了良好的栖息和觅食条件，是珍稀水禽如白鹤、白头鹤、中华秋沙鸭、白尾海雕、白鹳、黑鹳等的重要越冬地，生物多样性维护功能十分重要。红线区保存着较为完整的湿地生态系统，湖泊湿地面积大，对湖南省乃至长江流域的生态安全具有十分重要的作用。</w:t>
      </w:r>
    </w:p>
    <w:p w14:paraId="4EE94703">
      <w:pPr>
        <w:spacing w:line="360" w:lineRule="auto"/>
        <w:ind w:firstLine="480" w:firstLineChars="200"/>
        <w:rPr>
          <w:color w:val="auto"/>
          <w:kern w:val="0"/>
          <w:sz w:val="24"/>
        </w:rPr>
      </w:pPr>
      <w:r>
        <w:rPr>
          <w:color w:val="auto"/>
          <w:kern w:val="0"/>
          <w:sz w:val="24"/>
        </w:rPr>
        <w:t>根据《全国生态功能区划》（修编版）与《湖南省生态功能区划》，项目所在区域位于生物多样性保护生态功能区和洪水调蓄生态功能区。</w:t>
      </w:r>
    </w:p>
    <w:p w14:paraId="6656296C">
      <w:pPr>
        <w:spacing w:line="360" w:lineRule="auto"/>
        <w:ind w:firstLine="480" w:firstLineChars="200"/>
        <w:rPr>
          <w:color w:val="auto"/>
          <w:kern w:val="0"/>
          <w:sz w:val="24"/>
        </w:rPr>
      </w:pPr>
      <w:r>
        <w:rPr>
          <w:color w:val="auto"/>
          <w:kern w:val="0"/>
          <w:sz w:val="24"/>
        </w:rPr>
        <w:t>生态功能区的主要生态问题：人口增加以及农业和城镇扩张，交通、水电水利设施建设、矿产资源开发，过度放牧、生物资源过度利用，外来物种入侵等问题，导致生物资源退化，以及森林、水域湿地等自然栖息地遭到破坏，栖息地破碎化严重；生物多样性受到适当改变。</w:t>
      </w:r>
    </w:p>
    <w:p w14:paraId="128008FA">
      <w:pPr>
        <w:spacing w:line="360" w:lineRule="auto"/>
        <w:ind w:firstLine="480" w:firstLineChars="200"/>
        <w:rPr>
          <w:color w:val="auto"/>
          <w:kern w:val="0"/>
          <w:sz w:val="24"/>
        </w:rPr>
      </w:pPr>
      <w:r>
        <w:rPr>
          <w:color w:val="auto"/>
          <w:kern w:val="0"/>
          <w:sz w:val="24"/>
        </w:rPr>
        <w:t>生态保护的主要方向：开展生物多样性资源调查与监测，评估生物多样性保护现状、受威胁原因；禁止对野生动植物进行滥捕、乱采、乱猎；保护自然生态系统与重要物种的栖息地，限制或禁止各种损害栖息地的经济社会活动和生产方式；加强对外来物种入侵的控制，禁止在生物多样性保护功能区引进外来物种；实施国家生物多样性保护重大工程，以生物多样性重要功能区为基础，完善自然保护区体系与保护区群的建设。</w:t>
      </w:r>
    </w:p>
    <w:p w14:paraId="54E51225">
      <w:pPr>
        <w:spacing w:line="360" w:lineRule="auto"/>
        <w:ind w:firstLine="480" w:firstLineChars="200"/>
        <w:rPr>
          <w:color w:val="auto"/>
          <w:kern w:val="0"/>
          <w:sz w:val="24"/>
        </w:rPr>
      </w:pPr>
      <w:r>
        <w:rPr>
          <w:color w:val="auto"/>
          <w:kern w:val="0"/>
          <w:sz w:val="24"/>
        </w:rPr>
        <w:t>洪水调蓄生态功能区的主要生态问题：湖泊泥沙淤积严重、湖泊容积减小、调蓄能力下降；围垦造成沿江沿河的重要湖泊、湿地萎缩；工业废水、生活污水、农业面源污染、淡水养殖等导致湖泊污染加剧。</w:t>
      </w:r>
    </w:p>
    <w:p w14:paraId="72F5FF89">
      <w:pPr>
        <w:spacing w:line="360" w:lineRule="auto"/>
        <w:ind w:firstLine="480" w:firstLineChars="200"/>
        <w:rPr>
          <w:color w:val="auto"/>
          <w:kern w:val="0"/>
          <w:sz w:val="24"/>
        </w:rPr>
      </w:pPr>
      <w:r>
        <w:rPr>
          <w:color w:val="auto"/>
          <w:kern w:val="0"/>
          <w:sz w:val="24"/>
        </w:rPr>
        <w:t>该类型区生态保护的主要方向：</w:t>
      </w:r>
    </w:p>
    <w:p w14:paraId="625932C3">
      <w:pPr>
        <w:spacing w:line="360" w:lineRule="auto"/>
        <w:ind w:firstLine="480" w:firstLineChars="200"/>
        <w:rPr>
          <w:color w:val="auto"/>
          <w:kern w:val="0"/>
          <w:sz w:val="24"/>
        </w:rPr>
      </w:pPr>
      <w:r>
        <w:rPr>
          <w:color w:val="auto"/>
          <w:kern w:val="0"/>
          <w:sz w:val="24"/>
        </w:rPr>
        <w:t>（1）加强洪水调蓄生态功能区的建设，保护湖泊、湿地生态系统，退田还湖，平垸行洪，严禁围垦湖泊湿地，增加调蓄能力；</w:t>
      </w:r>
    </w:p>
    <w:p w14:paraId="12FD56C2">
      <w:pPr>
        <w:spacing w:line="360" w:lineRule="auto"/>
        <w:ind w:firstLine="480" w:firstLineChars="200"/>
        <w:rPr>
          <w:color w:val="auto"/>
          <w:kern w:val="0"/>
          <w:sz w:val="24"/>
        </w:rPr>
      </w:pPr>
      <w:r>
        <w:rPr>
          <w:color w:val="auto"/>
          <w:kern w:val="0"/>
          <w:sz w:val="24"/>
        </w:rPr>
        <w:t>（2）加强流域治理，恢复与保护上游植被，控制水土流失，减少湖泊、湿地萎缩；</w:t>
      </w:r>
    </w:p>
    <w:p w14:paraId="1BF603E1">
      <w:pPr>
        <w:spacing w:line="360" w:lineRule="auto"/>
        <w:ind w:firstLine="480" w:firstLineChars="200"/>
        <w:rPr>
          <w:color w:val="auto"/>
          <w:kern w:val="0"/>
          <w:sz w:val="24"/>
        </w:rPr>
      </w:pPr>
      <w:r>
        <w:rPr>
          <w:color w:val="auto"/>
          <w:kern w:val="0"/>
          <w:sz w:val="24"/>
        </w:rPr>
        <w:t>（3）控制水污染，改善水环境。发展避洪经济，处理好蓄洪与经济发展之间的矛盾。</w:t>
      </w:r>
    </w:p>
    <w:p w14:paraId="47FF9971">
      <w:pPr>
        <w:pStyle w:val="82"/>
        <w:widowControl w:val="0"/>
        <w:spacing w:line="360" w:lineRule="auto"/>
        <w:outlineLvl w:val="1"/>
        <w:rPr>
          <w:rFonts w:ascii="Times New Roman" w:hAnsi="Times New Roman" w:eastAsia="宋体" w:cs="Times New Roman"/>
          <w:b/>
          <w:color w:val="auto"/>
          <w:sz w:val="30"/>
          <w:szCs w:val="30"/>
        </w:rPr>
      </w:pPr>
      <w:bookmarkStart w:id="114" w:name="_Toc6910"/>
      <w:bookmarkStart w:id="115" w:name="_Toc3883"/>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2调查范围</w:t>
      </w:r>
      <w:bookmarkEnd w:id="114"/>
      <w:bookmarkEnd w:id="115"/>
    </w:p>
    <w:p w14:paraId="33AE6190">
      <w:pPr>
        <w:spacing w:line="360" w:lineRule="auto"/>
        <w:ind w:firstLine="480" w:firstLineChars="200"/>
        <w:rPr>
          <w:color w:val="auto"/>
          <w:kern w:val="0"/>
          <w:sz w:val="24"/>
        </w:rPr>
      </w:pPr>
      <w:r>
        <w:rPr>
          <w:color w:val="auto"/>
          <w:kern w:val="0"/>
          <w:sz w:val="24"/>
        </w:rPr>
        <w:t>本项目涉及东洞庭湖国家级自然保护区，项目的生态影响评价工作等级定为一级。生态评价范围考虑根据项目生态完整性，根据《环境影响评价技术导则 生态影响》的要求，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并参照评价项目与项目区的气候过程、水文过程、生物过程等生物地球化学循环过程的相互作用关系，以评价项目影响区域所涉及的完整气候单元、水文单元、生态单元、地理单元界限为参照边界。遵从以上原则的情况下，对陆生生态、水生生态分别划定评价范围：</w:t>
      </w:r>
    </w:p>
    <w:p w14:paraId="43E19F2A">
      <w:pPr>
        <w:spacing w:line="360" w:lineRule="auto"/>
        <w:ind w:firstLine="480" w:firstLineChars="200"/>
        <w:jc w:val="left"/>
        <w:rPr>
          <w:color w:val="auto"/>
          <w:kern w:val="0"/>
          <w:sz w:val="24"/>
        </w:rPr>
      </w:pPr>
      <w:r>
        <w:rPr>
          <w:color w:val="auto"/>
          <w:kern w:val="0"/>
          <w:sz w:val="24"/>
        </w:rPr>
        <w:t>陆生评价范围：以最外围工程及施工场地边界向外扩展300m的范围，涉及保护区段外扩1000m，评价区总面积476.357hm²。</w:t>
      </w:r>
    </w:p>
    <w:p w14:paraId="41A3DD88">
      <w:pPr>
        <w:spacing w:line="360" w:lineRule="auto"/>
        <w:ind w:firstLine="480" w:firstLineChars="200"/>
        <w:rPr>
          <w:color w:val="auto"/>
          <w:kern w:val="0"/>
          <w:sz w:val="24"/>
        </w:rPr>
      </w:pPr>
      <w:r>
        <w:rPr>
          <w:color w:val="auto"/>
          <w:kern w:val="0"/>
          <w:sz w:val="24"/>
        </w:rPr>
        <w:t>水生评价范围：工程范围内的池塘。</w:t>
      </w:r>
    </w:p>
    <w:p w14:paraId="46768AFD">
      <w:pPr>
        <w:spacing w:line="360" w:lineRule="auto"/>
        <w:ind w:firstLine="480" w:firstLineChars="200"/>
        <w:rPr>
          <w:color w:val="auto"/>
          <w:kern w:val="0"/>
          <w:sz w:val="24"/>
          <w:u w:val="single"/>
        </w:rPr>
      </w:pPr>
      <w:r>
        <w:rPr>
          <w:rFonts w:hint="eastAsia"/>
          <w:color w:val="auto"/>
          <w:kern w:val="0"/>
          <w:sz w:val="24"/>
          <w:u w:val="single"/>
          <w:lang w:eastAsia="zh-CN"/>
        </w:rPr>
        <w:t>项目</w:t>
      </w:r>
      <w:r>
        <w:rPr>
          <w:color w:val="auto"/>
          <w:kern w:val="0"/>
          <w:sz w:val="24"/>
          <w:u w:val="single"/>
        </w:rPr>
        <w:t>组</w:t>
      </w:r>
      <w:r>
        <w:rPr>
          <w:color w:val="auto"/>
          <w:kern w:val="0"/>
          <w:sz w:val="24"/>
          <w:highlight w:val="none"/>
          <w:u w:val="single"/>
        </w:rPr>
        <w:t>分别在</w:t>
      </w:r>
      <w:bookmarkStart w:id="116" w:name="_Hlk213439890"/>
      <w:r>
        <w:rPr>
          <w:color w:val="auto"/>
          <w:kern w:val="0"/>
          <w:sz w:val="24"/>
          <w:highlight w:val="none"/>
          <w:u w:val="single"/>
        </w:rPr>
        <w:t>2025年春</w:t>
      </w:r>
      <w:r>
        <w:rPr>
          <w:rFonts w:hint="eastAsia"/>
          <w:color w:val="auto"/>
          <w:kern w:val="0"/>
          <w:sz w:val="24"/>
          <w:highlight w:val="none"/>
          <w:u w:val="single"/>
          <w:lang w:val="en-US" w:eastAsia="zh-CN"/>
        </w:rPr>
        <w:t>季</w:t>
      </w:r>
      <w:r>
        <w:rPr>
          <w:color w:val="auto"/>
          <w:kern w:val="0"/>
          <w:sz w:val="24"/>
          <w:highlight w:val="none"/>
          <w:u w:val="single"/>
        </w:rPr>
        <w:t>、2025年秋季</w:t>
      </w:r>
      <w:bookmarkEnd w:id="116"/>
      <w:r>
        <w:rPr>
          <w:color w:val="auto"/>
          <w:kern w:val="0"/>
          <w:sz w:val="24"/>
          <w:u w:val="single"/>
        </w:rPr>
        <w:t>对项目区的陆生和水生生态进行了现状调查。调查时间涵盖了植物生长旺盛季节和花期，调查时间符合生态导则的要求。</w:t>
      </w:r>
      <w:bookmarkStart w:id="117" w:name="_Hlk213439934"/>
      <w:r>
        <w:rPr>
          <w:color w:val="auto"/>
          <w:kern w:val="0"/>
          <w:sz w:val="24"/>
          <w:u w:val="single"/>
        </w:rPr>
        <w:t>现场调查，评价区内以湿地植被为主，主要自然的典型植被群系有10个，每个群系数量均达到了5个及以上，区域内的陆生植被多为人工林，面积较小，布设了1个植物样方；现场调查共设置了5条样线；在评价区设置5个采样点，</w:t>
      </w:r>
      <w:bookmarkEnd w:id="117"/>
      <w:r>
        <w:rPr>
          <w:color w:val="auto"/>
          <w:kern w:val="0"/>
          <w:sz w:val="24"/>
          <w:u w:val="single"/>
        </w:rPr>
        <w:t>分别开展水体理化性质、浮游植物、浮游动物、底栖动物和水生维管束植物调查。样方样线数量基本满足生态导则的要求。</w:t>
      </w:r>
    </w:p>
    <w:p w14:paraId="4CBEEAEB">
      <w:pPr>
        <w:pStyle w:val="82"/>
        <w:widowControl w:val="0"/>
        <w:spacing w:line="360" w:lineRule="auto"/>
        <w:outlineLvl w:val="1"/>
        <w:rPr>
          <w:rFonts w:ascii="Times New Roman" w:hAnsi="Times New Roman" w:eastAsia="宋体" w:cs="Times New Roman"/>
          <w:b/>
          <w:color w:val="auto"/>
          <w:sz w:val="30"/>
          <w:szCs w:val="30"/>
          <w:u w:val="single"/>
        </w:rPr>
      </w:pPr>
      <w:bookmarkStart w:id="118" w:name="_Toc26126151"/>
      <w:bookmarkStart w:id="119" w:name="_Toc27267"/>
      <w:bookmarkStart w:id="120" w:name="_Toc26256"/>
      <w:r>
        <w:rPr>
          <w:rFonts w:hint="eastAsia" w:ascii="Times New Roman" w:hAnsi="Times New Roman" w:eastAsia="宋体" w:cs="Times New Roman"/>
          <w:b/>
          <w:color w:val="auto"/>
          <w:sz w:val="30"/>
          <w:szCs w:val="30"/>
          <w:u w:val="single"/>
        </w:rPr>
        <w:t>3.</w:t>
      </w:r>
      <w:r>
        <w:rPr>
          <w:rFonts w:ascii="Times New Roman" w:hAnsi="Times New Roman" w:eastAsia="宋体" w:cs="Times New Roman"/>
          <w:b/>
          <w:color w:val="auto"/>
          <w:sz w:val="30"/>
          <w:szCs w:val="30"/>
          <w:u w:val="single"/>
        </w:rPr>
        <w:t>3调查时间与样地样线设置</w:t>
      </w:r>
      <w:bookmarkEnd w:id="118"/>
      <w:bookmarkEnd w:id="119"/>
      <w:bookmarkEnd w:id="120"/>
    </w:p>
    <w:p w14:paraId="53471F7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u w:val="single"/>
        </w:rPr>
      </w:pPr>
      <w:r>
        <w:rPr>
          <w:rFonts w:hint="eastAsia" w:ascii="Times New Roman" w:hAnsi="Times New Roman" w:eastAsia="宋体" w:cs="Times New Roman"/>
          <w:b/>
          <w:color w:val="auto"/>
          <w:sz w:val="28"/>
          <w:szCs w:val="28"/>
          <w:u w:val="single"/>
        </w:rPr>
        <w:t>3.</w:t>
      </w:r>
      <w:r>
        <w:rPr>
          <w:rFonts w:ascii="Times New Roman" w:hAnsi="Times New Roman" w:eastAsia="宋体" w:cs="Times New Roman"/>
          <w:b/>
          <w:color w:val="auto"/>
          <w:sz w:val="28"/>
          <w:szCs w:val="28"/>
          <w:u w:val="single"/>
        </w:rPr>
        <w:t>3.1调查时间</w:t>
      </w:r>
    </w:p>
    <w:p w14:paraId="6A903B14">
      <w:pPr>
        <w:spacing w:line="360" w:lineRule="auto"/>
        <w:ind w:firstLine="480" w:firstLineChars="200"/>
        <w:rPr>
          <w:color w:val="auto"/>
          <w:kern w:val="0"/>
          <w:sz w:val="24"/>
          <w:u w:val="single"/>
        </w:rPr>
      </w:pPr>
      <w:r>
        <w:rPr>
          <w:color w:val="auto"/>
          <w:kern w:val="0"/>
          <w:sz w:val="24"/>
          <w:u w:val="single"/>
        </w:rPr>
        <w:t>我单位于2025年3月，2025年7月对项目区的陆生和水生生态进行了现状调查。</w:t>
      </w:r>
    </w:p>
    <w:p w14:paraId="3A375657">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u w:val="single"/>
        </w:rPr>
      </w:pPr>
      <w:r>
        <w:rPr>
          <w:rFonts w:hint="eastAsia" w:ascii="Times New Roman" w:hAnsi="Times New Roman" w:eastAsia="宋体" w:cs="Times New Roman"/>
          <w:b/>
          <w:color w:val="auto"/>
          <w:sz w:val="28"/>
          <w:szCs w:val="28"/>
          <w:u w:val="single"/>
        </w:rPr>
        <w:t>3.3</w:t>
      </w:r>
      <w:r>
        <w:rPr>
          <w:rFonts w:ascii="Times New Roman" w:hAnsi="Times New Roman" w:eastAsia="宋体" w:cs="Times New Roman"/>
          <w:b/>
          <w:color w:val="auto"/>
          <w:sz w:val="28"/>
          <w:szCs w:val="28"/>
          <w:u w:val="single"/>
        </w:rPr>
        <w:t>.1调查方法</w:t>
      </w:r>
    </w:p>
    <w:p w14:paraId="77F82CE8">
      <w:pPr>
        <w:adjustRightInd w:val="0"/>
        <w:spacing w:line="360" w:lineRule="auto"/>
        <w:jc w:val="left"/>
        <w:outlineLvl w:val="3"/>
        <w:rPr>
          <w:b/>
          <w:bCs/>
          <w:color w:val="auto"/>
          <w:sz w:val="24"/>
          <w:u w:val="single"/>
        </w:rPr>
      </w:pPr>
      <w:r>
        <w:rPr>
          <w:rFonts w:hint="eastAsia"/>
          <w:b/>
          <w:bCs/>
          <w:color w:val="auto"/>
          <w:sz w:val="24"/>
          <w:u w:val="single"/>
        </w:rPr>
        <w:t>3.3</w:t>
      </w:r>
      <w:r>
        <w:rPr>
          <w:b/>
          <w:bCs/>
          <w:color w:val="auto"/>
          <w:sz w:val="24"/>
          <w:u w:val="single"/>
        </w:rPr>
        <w:t>.1.1资料收集</w:t>
      </w:r>
    </w:p>
    <w:p w14:paraId="06DFB04E">
      <w:pPr>
        <w:spacing w:line="360" w:lineRule="auto"/>
        <w:ind w:firstLine="480" w:firstLineChars="200"/>
        <w:rPr>
          <w:color w:val="auto"/>
          <w:kern w:val="0"/>
          <w:sz w:val="24"/>
          <w:u w:val="single"/>
        </w:rPr>
      </w:pPr>
      <w:r>
        <w:rPr>
          <w:color w:val="auto"/>
          <w:kern w:val="0"/>
          <w:sz w:val="24"/>
          <w:u w:val="single"/>
        </w:rPr>
        <w:t>主要收集以下相关资料：</w:t>
      </w:r>
    </w:p>
    <w:p w14:paraId="4E7B42BA">
      <w:pPr>
        <w:spacing w:line="360" w:lineRule="auto"/>
        <w:ind w:firstLine="480" w:firstLineChars="200"/>
        <w:rPr>
          <w:color w:val="auto"/>
          <w:kern w:val="0"/>
          <w:sz w:val="24"/>
          <w:u w:val="single"/>
        </w:rPr>
      </w:pPr>
      <w:r>
        <w:rPr>
          <w:color w:val="auto"/>
          <w:kern w:val="0"/>
          <w:sz w:val="24"/>
          <w:u w:val="single"/>
        </w:rPr>
        <w:t>（1）建设项目资料，包括可行性研究报告、施工设计及相关图件等；</w:t>
      </w:r>
    </w:p>
    <w:p w14:paraId="69BBC1B8">
      <w:pPr>
        <w:spacing w:line="360" w:lineRule="auto"/>
        <w:ind w:firstLine="480" w:firstLineChars="200"/>
        <w:rPr>
          <w:color w:val="auto"/>
          <w:kern w:val="0"/>
          <w:sz w:val="24"/>
          <w:u w:val="single"/>
        </w:rPr>
      </w:pPr>
      <w:r>
        <w:rPr>
          <w:color w:val="auto"/>
          <w:kern w:val="0"/>
          <w:sz w:val="24"/>
          <w:u w:val="single"/>
        </w:rPr>
        <w:t>（2）湖南东洞庭湖国家级自然保护区综合科学考察报告、总体规划、管理计划、相关监测数据以及已建或在建的建设项目资料；</w:t>
      </w:r>
    </w:p>
    <w:p w14:paraId="63039C1D">
      <w:pPr>
        <w:spacing w:line="360" w:lineRule="auto"/>
        <w:ind w:firstLine="480" w:firstLineChars="200"/>
        <w:rPr>
          <w:color w:val="auto"/>
          <w:kern w:val="0"/>
          <w:sz w:val="24"/>
          <w:u w:val="single"/>
        </w:rPr>
      </w:pPr>
      <w:r>
        <w:rPr>
          <w:color w:val="auto"/>
          <w:kern w:val="0"/>
          <w:sz w:val="24"/>
          <w:u w:val="single"/>
        </w:rPr>
        <w:t>（3）湖南东洞庭湖国家级自然保护区及项目建设区周边社会经济状况。</w:t>
      </w:r>
    </w:p>
    <w:p w14:paraId="1C88F06F">
      <w:pPr>
        <w:adjustRightInd w:val="0"/>
        <w:spacing w:line="360" w:lineRule="auto"/>
        <w:jc w:val="left"/>
        <w:outlineLvl w:val="3"/>
        <w:rPr>
          <w:b/>
          <w:bCs/>
          <w:color w:val="auto"/>
          <w:sz w:val="24"/>
          <w:u w:val="single"/>
        </w:rPr>
      </w:pPr>
      <w:r>
        <w:rPr>
          <w:rFonts w:hint="eastAsia"/>
          <w:b/>
          <w:bCs/>
          <w:color w:val="auto"/>
          <w:sz w:val="24"/>
          <w:u w:val="single"/>
        </w:rPr>
        <w:t>3.3</w:t>
      </w:r>
      <w:r>
        <w:rPr>
          <w:b/>
          <w:bCs/>
          <w:color w:val="auto"/>
          <w:sz w:val="24"/>
          <w:u w:val="single"/>
        </w:rPr>
        <w:t>.1.2野外调查</w:t>
      </w:r>
    </w:p>
    <w:p w14:paraId="4C7C9B61">
      <w:pPr>
        <w:spacing w:line="360" w:lineRule="auto"/>
        <w:ind w:firstLine="480" w:firstLineChars="200"/>
        <w:rPr>
          <w:color w:val="auto"/>
          <w:kern w:val="0"/>
          <w:sz w:val="24"/>
          <w:u w:val="single"/>
        </w:rPr>
      </w:pPr>
      <w:r>
        <w:rPr>
          <w:color w:val="auto"/>
          <w:kern w:val="0"/>
          <w:sz w:val="24"/>
          <w:u w:val="single"/>
        </w:rPr>
        <w:t>（1）群落调查</w:t>
      </w:r>
    </w:p>
    <w:p w14:paraId="6361B5E6">
      <w:pPr>
        <w:spacing w:line="360" w:lineRule="auto"/>
        <w:ind w:firstLine="480" w:firstLineChars="200"/>
        <w:rPr>
          <w:color w:val="auto"/>
          <w:kern w:val="0"/>
          <w:sz w:val="24"/>
          <w:u w:val="single"/>
        </w:rPr>
      </w:pPr>
      <w:r>
        <w:rPr>
          <w:color w:val="auto"/>
          <w:kern w:val="0"/>
          <w:sz w:val="24"/>
          <w:u w:val="single"/>
        </w:rPr>
        <w:t>在实地踏查的基础上，确定典型的群落地段，采用法瑞学派样地记录法进行群落调查，乔木群落样方面积20m×20m，灌木样方面积5m×5m，草本样方面积2m×2m或1m×1m，记录样地的所有种类，并按Braun-Blanquet多优度—群聚度记分，利用GPS确定样方位置。</w:t>
      </w:r>
    </w:p>
    <w:p w14:paraId="368C1458">
      <w:pPr>
        <w:spacing w:line="360" w:lineRule="auto"/>
        <w:ind w:firstLine="480" w:firstLineChars="200"/>
        <w:rPr>
          <w:color w:val="auto"/>
          <w:kern w:val="0"/>
          <w:sz w:val="24"/>
          <w:u w:val="single"/>
        </w:rPr>
      </w:pPr>
      <w:r>
        <w:rPr>
          <w:color w:val="auto"/>
          <w:kern w:val="0"/>
          <w:sz w:val="24"/>
          <w:u w:val="single"/>
        </w:rPr>
        <w:t>（2）植物种类调查</w:t>
      </w:r>
    </w:p>
    <w:p w14:paraId="36F53B00">
      <w:pPr>
        <w:spacing w:line="360" w:lineRule="auto"/>
        <w:ind w:firstLine="480" w:firstLineChars="200"/>
        <w:rPr>
          <w:color w:val="auto"/>
          <w:kern w:val="0"/>
          <w:sz w:val="24"/>
          <w:u w:val="single"/>
        </w:rPr>
      </w:pPr>
      <w:r>
        <w:rPr>
          <w:color w:val="auto"/>
          <w:kern w:val="0"/>
          <w:sz w:val="24"/>
          <w:u w:val="single"/>
        </w:rPr>
        <w:t>在调查过程中，确定评价范围区域内的植物种类、经济植物的种类及资源状况、珍稀濒危植物的种类及生存状况等。实地调查采取路线调查与重点调查相结合的方法，对于没有原生植被的区域采取路线调查，在重点施工区域（线路施工区等）以及植被状况良好的区域实行重点调查；对资源植物和珍稀濒危植物调查采取野外调查和查阅相关植被调查报告相结合的方法进行。对有疑问的经济植物和珍稀濒危植物采集了凭证标本并拍摄了照片。</w:t>
      </w:r>
    </w:p>
    <w:p w14:paraId="78E55054">
      <w:pPr>
        <w:spacing w:line="360" w:lineRule="auto"/>
        <w:ind w:firstLine="480" w:firstLineChars="200"/>
        <w:rPr>
          <w:color w:val="auto"/>
          <w:kern w:val="0"/>
          <w:sz w:val="24"/>
          <w:u w:val="single"/>
        </w:rPr>
      </w:pPr>
      <w:r>
        <w:rPr>
          <w:color w:val="auto"/>
          <w:kern w:val="0"/>
          <w:sz w:val="24"/>
          <w:u w:val="single"/>
        </w:rPr>
        <w:t>（3）动物种类调查</w:t>
      </w:r>
    </w:p>
    <w:p w14:paraId="1047A4D9">
      <w:pPr>
        <w:spacing w:line="360" w:lineRule="auto"/>
        <w:ind w:firstLine="480" w:firstLineChars="200"/>
        <w:rPr>
          <w:color w:val="auto"/>
          <w:kern w:val="0"/>
          <w:sz w:val="24"/>
          <w:u w:val="single"/>
        </w:rPr>
      </w:pPr>
      <w:r>
        <w:rPr>
          <w:color w:val="auto"/>
          <w:kern w:val="0"/>
          <w:sz w:val="24"/>
          <w:u w:val="single"/>
        </w:rPr>
        <w:t>陆生动物调查采用样线法、访问和资料查询，在调查过程中，确定评价区内动物的种类、资源状况及生存状况，尤其是重点保护种类。调查方法主要有样线法、样点法、访问和资料查询。兽类主要采用现场环境调查，野外踪迹调查，包括：足迹链、窝迹、粪便，再结合访问调查及市场调查确定种类及数量等。鸟类主要采用样线法与样点法，根据生境类型及其面积的大小设计样线或样点，抽样强度高于2%。样线法是沿着预先设计的一定路线，边走边进行观察，统计鸟类数量与名称，确定种类时借助望远镜。左右肉眼能见度为这个带状样方的宽度，再乘以样线长度即是这个带状样方的面积。在无法设计样带的地方，则采用样点法：以一个中心点为圆心，调查周围能见距离内的鸟类数量与种类。两栖类与爬行类活动能力相对较差，调查时主要在有水域之处及其它适合其生存的生境中采用样点法，观察其种类与数量。从上述调查得到的种类之中，对相关重点保护物种进行进一步调查与核实，确定其种类及数量。对有疑问动物、重点保护野生动物尽量采集凭证标本并拍摄照片。</w:t>
      </w:r>
    </w:p>
    <w:p w14:paraId="278BD5E7">
      <w:pPr>
        <w:spacing w:line="360" w:lineRule="auto"/>
        <w:ind w:firstLine="480" w:firstLineChars="200"/>
        <w:rPr>
          <w:color w:val="auto"/>
          <w:kern w:val="0"/>
          <w:sz w:val="24"/>
          <w:u w:val="single"/>
        </w:rPr>
      </w:pPr>
      <w:r>
        <w:rPr>
          <w:color w:val="auto"/>
          <w:kern w:val="0"/>
          <w:sz w:val="24"/>
          <w:u w:val="single"/>
        </w:rPr>
        <w:t>（4）生物安全调查</w:t>
      </w:r>
    </w:p>
    <w:p w14:paraId="3A99B3D1">
      <w:pPr>
        <w:spacing w:line="360" w:lineRule="auto"/>
        <w:ind w:firstLine="480" w:firstLineChars="200"/>
        <w:rPr>
          <w:color w:val="auto"/>
          <w:kern w:val="0"/>
          <w:sz w:val="24"/>
          <w:u w:val="single"/>
        </w:rPr>
      </w:pPr>
      <w:r>
        <w:rPr>
          <w:color w:val="auto"/>
          <w:kern w:val="0"/>
          <w:sz w:val="24"/>
          <w:u w:val="single"/>
        </w:rPr>
        <w:t>结合动植物样线、样方调查，记录病虫害种类、程度及外来物种种类，种群数量状况。</w:t>
      </w:r>
    </w:p>
    <w:p w14:paraId="35943BE8">
      <w:pPr>
        <w:spacing w:line="360" w:lineRule="auto"/>
        <w:ind w:firstLine="480" w:firstLineChars="200"/>
        <w:rPr>
          <w:color w:val="auto"/>
          <w:kern w:val="0"/>
          <w:sz w:val="24"/>
          <w:u w:val="single"/>
        </w:rPr>
      </w:pPr>
      <w:r>
        <w:rPr>
          <w:color w:val="auto"/>
          <w:kern w:val="0"/>
          <w:sz w:val="24"/>
          <w:u w:val="single"/>
        </w:rPr>
        <w:t>（5）社会因素调查</w:t>
      </w:r>
    </w:p>
    <w:p w14:paraId="12CB0B1A">
      <w:pPr>
        <w:spacing w:line="360" w:lineRule="auto"/>
        <w:ind w:firstLine="480" w:firstLineChars="200"/>
        <w:rPr>
          <w:color w:val="auto"/>
          <w:kern w:val="0"/>
          <w:sz w:val="24"/>
          <w:u w:val="single"/>
        </w:rPr>
      </w:pPr>
      <w:r>
        <w:rPr>
          <w:color w:val="auto"/>
          <w:kern w:val="0"/>
          <w:sz w:val="24"/>
          <w:u w:val="single"/>
        </w:rPr>
        <w:t>通过访问、访谈、查阅相关文献资料等方式，调查记录相关利益群体对建设项目的态度。也可在一定范围内通过问卷调查方式，根据定量化的调查结果打分，抽样对象应包括自然保护区周边社区的各类群体。</w:t>
      </w:r>
    </w:p>
    <w:p w14:paraId="1275936E">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u w:val="single"/>
        </w:rPr>
      </w:pPr>
      <w:r>
        <w:rPr>
          <w:rFonts w:hint="eastAsia" w:ascii="Times New Roman" w:hAnsi="Times New Roman" w:eastAsia="宋体" w:cs="Times New Roman"/>
          <w:b/>
          <w:color w:val="auto"/>
          <w:sz w:val="28"/>
          <w:szCs w:val="28"/>
          <w:u w:val="single"/>
        </w:rPr>
        <w:t>3.3</w:t>
      </w:r>
      <w:r>
        <w:rPr>
          <w:rFonts w:ascii="Times New Roman" w:hAnsi="Times New Roman" w:eastAsia="宋体" w:cs="Times New Roman"/>
          <w:b/>
          <w:color w:val="auto"/>
          <w:sz w:val="28"/>
          <w:szCs w:val="28"/>
          <w:u w:val="single"/>
        </w:rPr>
        <w:t>.3样地样线设置</w:t>
      </w:r>
    </w:p>
    <w:p w14:paraId="43A5922A">
      <w:pPr>
        <w:adjustRightInd w:val="0"/>
        <w:spacing w:line="360" w:lineRule="auto"/>
        <w:jc w:val="left"/>
        <w:outlineLvl w:val="3"/>
        <w:rPr>
          <w:b/>
          <w:bCs/>
          <w:color w:val="auto"/>
          <w:sz w:val="24"/>
          <w:u w:val="single"/>
        </w:rPr>
      </w:pPr>
      <w:r>
        <w:rPr>
          <w:rFonts w:hint="eastAsia"/>
          <w:b/>
          <w:bCs/>
          <w:color w:val="auto"/>
          <w:sz w:val="24"/>
          <w:u w:val="single"/>
        </w:rPr>
        <w:t>3.3</w:t>
      </w:r>
      <w:r>
        <w:rPr>
          <w:b/>
          <w:bCs/>
          <w:color w:val="auto"/>
          <w:sz w:val="24"/>
          <w:u w:val="single"/>
        </w:rPr>
        <w:t>.3.1植被及植物多样性调查</w:t>
      </w:r>
    </w:p>
    <w:p w14:paraId="41E53FBB">
      <w:pPr>
        <w:spacing w:line="360" w:lineRule="auto"/>
        <w:ind w:firstLine="480" w:firstLineChars="200"/>
        <w:rPr>
          <w:color w:val="auto"/>
          <w:kern w:val="0"/>
          <w:sz w:val="24"/>
          <w:u w:val="single"/>
        </w:rPr>
      </w:pPr>
      <w:r>
        <w:rPr>
          <w:color w:val="auto"/>
          <w:kern w:val="0"/>
          <w:sz w:val="24"/>
          <w:u w:val="single"/>
        </w:rPr>
        <w:t>根据评价地的地貌特征和项目置，以样地样方调查为主，对城市生态环境的主要植物种类进行调查；对资源植物和珍稀濒危植物调查采取野外调查和查阅相关植被调查报告相结合的方法进行。根据拟建项目区的植被状况，确定典型的群落地段，采用法瑞学派选样法对群落进行调查，设置乔木群落样方面积20×20m</w:t>
      </w:r>
      <w:r>
        <w:rPr>
          <w:color w:val="auto"/>
          <w:kern w:val="0"/>
          <w:sz w:val="24"/>
          <w:u w:val="single"/>
          <w:vertAlign w:val="superscript"/>
        </w:rPr>
        <w:t>2</w:t>
      </w:r>
      <w:r>
        <w:rPr>
          <w:color w:val="auto"/>
          <w:kern w:val="0"/>
          <w:sz w:val="24"/>
          <w:u w:val="single"/>
        </w:rPr>
        <w:t>，灌木样方面积5×5m</w:t>
      </w:r>
      <w:r>
        <w:rPr>
          <w:color w:val="auto"/>
          <w:kern w:val="0"/>
          <w:sz w:val="24"/>
          <w:u w:val="single"/>
          <w:vertAlign w:val="superscript"/>
        </w:rPr>
        <w:t>2</w:t>
      </w:r>
      <w:r>
        <w:rPr>
          <w:color w:val="auto"/>
          <w:kern w:val="0"/>
          <w:sz w:val="24"/>
          <w:u w:val="single"/>
        </w:rPr>
        <w:t>，草丛植被、沼泽及水生植被样方面积为5m×5m、2m×2m或1m×1m，记录样方内的所有植物种类，并利用GPS确定样方位置。根据区域环境状况、植被类型、群系组成及结构等设置了35个样方进行了详细调查，本次样方调查涵盖了针叶林、阔叶林、灌丛、草丛等评价区常见且具有代表性的类型。具体样方调查点位见调查样方和样线分布图。</w:t>
      </w:r>
    </w:p>
    <w:p w14:paraId="12CAC70C">
      <w:pPr>
        <w:adjustRightInd w:val="0"/>
        <w:spacing w:line="360" w:lineRule="auto"/>
        <w:jc w:val="left"/>
        <w:outlineLvl w:val="3"/>
        <w:rPr>
          <w:b/>
          <w:bCs/>
          <w:color w:val="auto"/>
          <w:sz w:val="24"/>
          <w:u w:val="single"/>
        </w:rPr>
      </w:pPr>
      <w:r>
        <w:rPr>
          <w:rFonts w:hint="eastAsia"/>
          <w:b/>
          <w:bCs/>
          <w:color w:val="auto"/>
          <w:sz w:val="24"/>
          <w:u w:val="single"/>
        </w:rPr>
        <w:t>3.3</w:t>
      </w:r>
      <w:r>
        <w:rPr>
          <w:b/>
          <w:bCs/>
          <w:color w:val="auto"/>
          <w:sz w:val="24"/>
          <w:u w:val="single"/>
        </w:rPr>
        <w:t>.3.2野生动物调查</w:t>
      </w:r>
    </w:p>
    <w:p w14:paraId="0842D03C">
      <w:pPr>
        <w:spacing w:line="360" w:lineRule="auto"/>
        <w:ind w:firstLine="480" w:firstLineChars="200"/>
        <w:rPr>
          <w:color w:val="auto"/>
          <w:kern w:val="0"/>
          <w:sz w:val="24"/>
          <w:u w:val="single"/>
        </w:rPr>
      </w:pPr>
      <w:r>
        <w:rPr>
          <w:color w:val="auto"/>
          <w:kern w:val="0"/>
          <w:sz w:val="24"/>
          <w:u w:val="single"/>
        </w:rPr>
        <w:t>陆生动物调查采用样点样线法、访问和资料查询，在调查过程中，确定评价区内动物的种类、资源状况及生存状况，尤其是重点保护种类。兽类主要采用现场环境调查，野外踪迹调查，包括：足迹链、窝迹、粪便，再结合访问调查及市场调查确定种类及数量等。鸟类主要采用样线法与样点法，根据生境类型及其面积的大小设计样线或样点，抽样强度高于2%。样线法是沿着预先设计的一定路线，边走边进行观察，统计鸟类数量与名称，确定种类时借助望远镜。左右肉眼能见度为这个带状样方的宽度，乘上样线长度即是这个带状样方的面积。在无法设计样带的地方，则采用样点法：以一个中心点为圆心，调查周围能见距离内的鸟类数量与种类。两栖类与爬行类活动能力相对较差，调查时主要在有水域之处及其它适合其生存的生境中采用样点法，观察其种类与数量。从上述调查得到的种类之中，对相关重点保护物种进行进一步调查与核实，确定其种类及数量。对有疑问动物、重点保护野生动物尽量采集凭证标本并拍摄照片。</w:t>
      </w:r>
    </w:p>
    <w:p w14:paraId="063B3C1B">
      <w:pPr>
        <w:spacing w:line="360" w:lineRule="auto"/>
        <w:ind w:firstLine="480" w:firstLineChars="200"/>
        <w:rPr>
          <w:color w:val="auto"/>
          <w:kern w:val="0"/>
          <w:sz w:val="24"/>
          <w:u w:val="single"/>
        </w:rPr>
      </w:pPr>
      <w:r>
        <w:rPr>
          <w:color w:val="auto"/>
          <w:kern w:val="0"/>
          <w:sz w:val="24"/>
          <w:u w:val="single"/>
        </w:rPr>
        <w:t>根据工程影响区范围内现状特点，选取典型生境设置样方样带，在工程影响1km范围内进行实地调查，本次调查范围与评价范围一致。现场调查共设置了5条样线，具体样线布置以及样线观测的动物种类和数量见动物调查样线表和样线分布图。</w:t>
      </w:r>
    </w:p>
    <w:p w14:paraId="297D9507">
      <w:pPr>
        <w:adjustRightInd w:val="0"/>
        <w:spacing w:line="360" w:lineRule="auto"/>
        <w:jc w:val="left"/>
        <w:outlineLvl w:val="3"/>
        <w:rPr>
          <w:b/>
          <w:bCs/>
          <w:color w:val="auto"/>
          <w:sz w:val="24"/>
          <w:u w:val="single"/>
        </w:rPr>
      </w:pPr>
      <w:r>
        <w:rPr>
          <w:rFonts w:hint="eastAsia"/>
          <w:b/>
          <w:bCs/>
          <w:color w:val="auto"/>
          <w:sz w:val="24"/>
          <w:u w:val="single"/>
        </w:rPr>
        <w:t>3.3</w:t>
      </w:r>
      <w:r>
        <w:rPr>
          <w:b/>
          <w:bCs/>
          <w:color w:val="auto"/>
          <w:sz w:val="24"/>
          <w:u w:val="single"/>
        </w:rPr>
        <w:t>.3.3水生生物调查</w:t>
      </w:r>
    </w:p>
    <w:p w14:paraId="51CAF061">
      <w:pPr>
        <w:spacing w:line="360" w:lineRule="auto"/>
        <w:ind w:firstLine="480" w:firstLineChars="200"/>
        <w:rPr>
          <w:color w:val="auto"/>
          <w:kern w:val="0"/>
          <w:sz w:val="24"/>
          <w:u w:val="single"/>
        </w:rPr>
      </w:pPr>
      <w:r>
        <w:rPr>
          <w:color w:val="auto"/>
          <w:kern w:val="0"/>
          <w:sz w:val="24"/>
          <w:u w:val="single"/>
        </w:rPr>
        <w:t>水生生物调查，主要依据《淡水浮游生物研究方法》等进行，同时询问当地居民、查阅相关资料等方式。</w:t>
      </w:r>
    </w:p>
    <w:p w14:paraId="717493F9">
      <w:pPr>
        <w:spacing w:line="360" w:lineRule="auto"/>
        <w:ind w:firstLine="480" w:firstLineChars="200"/>
        <w:rPr>
          <w:color w:val="auto"/>
          <w:kern w:val="0"/>
          <w:sz w:val="24"/>
          <w:u w:val="single"/>
        </w:rPr>
      </w:pPr>
      <w:r>
        <w:rPr>
          <w:color w:val="auto"/>
          <w:kern w:val="0"/>
          <w:sz w:val="24"/>
          <w:u w:val="single"/>
        </w:rPr>
        <w:t>（1）浮游藻类</w:t>
      </w:r>
    </w:p>
    <w:p w14:paraId="205DB663">
      <w:pPr>
        <w:spacing w:line="360" w:lineRule="auto"/>
        <w:ind w:firstLine="480" w:firstLineChars="200"/>
        <w:rPr>
          <w:color w:val="auto"/>
          <w:kern w:val="0"/>
          <w:sz w:val="24"/>
          <w:u w:val="single"/>
        </w:rPr>
      </w:pPr>
      <w:r>
        <w:rPr>
          <w:color w:val="auto"/>
          <w:kern w:val="0"/>
          <w:sz w:val="24"/>
          <w:u w:val="single"/>
        </w:rPr>
        <w:t>①样品的采集</w:t>
      </w:r>
    </w:p>
    <w:p w14:paraId="462AC26A">
      <w:pPr>
        <w:spacing w:line="360" w:lineRule="auto"/>
        <w:ind w:firstLine="480" w:firstLineChars="200"/>
        <w:rPr>
          <w:color w:val="auto"/>
          <w:kern w:val="0"/>
          <w:sz w:val="24"/>
          <w:u w:val="single"/>
        </w:rPr>
      </w:pPr>
      <w:r>
        <w:rPr>
          <w:color w:val="auto"/>
          <w:kern w:val="0"/>
          <w:sz w:val="24"/>
          <w:u w:val="single"/>
        </w:rPr>
        <w:t>定性样品的采集，用25号浮游生物网（网目为0.064mm），在水面和0.5m深水层之间以每秒20～30cm的速度作∞字形循回缓慢拖动（网内不得有气泡）约5min左右（视浮游生物多寡而定）采样。定量样品的采集，用1L有机玻璃采水器采水1L，收集水样装入编号玻璃瓶内，加入5%甲醛溶液固定后密封保存。</w:t>
      </w:r>
    </w:p>
    <w:p w14:paraId="71713D2A">
      <w:pPr>
        <w:spacing w:line="360" w:lineRule="auto"/>
        <w:ind w:firstLine="480" w:firstLineChars="200"/>
        <w:rPr>
          <w:color w:val="auto"/>
          <w:kern w:val="0"/>
          <w:sz w:val="24"/>
          <w:u w:val="single"/>
        </w:rPr>
      </w:pPr>
      <w:r>
        <w:rPr>
          <w:color w:val="auto"/>
          <w:kern w:val="0"/>
          <w:sz w:val="24"/>
          <w:u w:val="single"/>
        </w:rPr>
        <w:t>②浮游植物的鉴定和定量分析</w:t>
      </w:r>
    </w:p>
    <w:p w14:paraId="20445A3D">
      <w:pPr>
        <w:spacing w:line="360" w:lineRule="auto"/>
        <w:ind w:firstLine="480" w:firstLineChars="200"/>
        <w:rPr>
          <w:color w:val="auto"/>
          <w:kern w:val="0"/>
          <w:sz w:val="24"/>
          <w:u w:val="single"/>
        </w:rPr>
      </w:pPr>
      <w:r>
        <w:rPr>
          <w:color w:val="auto"/>
          <w:kern w:val="0"/>
          <w:sz w:val="24"/>
          <w:u w:val="single"/>
        </w:rPr>
        <w:t>定性标本，在显微镜下，用目镜测微尺测量大小，根据其大小、形态、内含物参照藻类分类标准（参考胡鸿钧等《中国淡水藻类》）定出属种，一般确定到属。</w:t>
      </w:r>
    </w:p>
    <w:p w14:paraId="794691E0">
      <w:pPr>
        <w:spacing w:line="360" w:lineRule="auto"/>
        <w:ind w:firstLine="480" w:firstLineChars="200"/>
        <w:rPr>
          <w:color w:val="auto"/>
          <w:kern w:val="0"/>
          <w:sz w:val="24"/>
          <w:u w:val="single"/>
        </w:rPr>
      </w:pPr>
      <w:r>
        <w:rPr>
          <w:color w:val="auto"/>
          <w:kern w:val="0"/>
          <w:sz w:val="24"/>
          <w:u w:val="single"/>
        </w:rPr>
        <w:t>（2）浮游动物</w:t>
      </w:r>
    </w:p>
    <w:p w14:paraId="235735AA">
      <w:pPr>
        <w:spacing w:line="360" w:lineRule="auto"/>
        <w:ind w:firstLine="480" w:firstLineChars="200"/>
        <w:rPr>
          <w:color w:val="auto"/>
          <w:kern w:val="0"/>
          <w:sz w:val="24"/>
          <w:u w:val="single"/>
        </w:rPr>
      </w:pPr>
      <w:r>
        <w:rPr>
          <w:color w:val="auto"/>
          <w:kern w:val="0"/>
          <w:sz w:val="24"/>
          <w:u w:val="single"/>
        </w:rPr>
        <w:t>浮游动物定性标本的采集，选择不同的水域区，用13号浮游生物网（125目）在水面下约0.5至1m水深处缓慢作∞形循回拖动5min左右，将采得的水样装入编号广口瓶中。采得的水样加5%的甲醛液固定，带回实验室后在显微镜和解剖镜下进行种类鉴定，并统计优势种类。</w:t>
      </w:r>
    </w:p>
    <w:p w14:paraId="63B274D3">
      <w:pPr>
        <w:spacing w:line="360" w:lineRule="auto"/>
        <w:ind w:firstLine="480" w:firstLineChars="200"/>
        <w:rPr>
          <w:color w:val="auto"/>
          <w:kern w:val="0"/>
          <w:sz w:val="24"/>
          <w:u w:val="single"/>
        </w:rPr>
      </w:pPr>
      <w:r>
        <w:rPr>
          <w:color w:val="auto"/>
          <w:kern w:val="0"/>
          <w:sz w:val="24"/>
          <w:u w:val="single"/>
        </w:rPr>
        <w:t>浮游动物定量标本的采集，用1L的有机玻璃采水器采水样1L，收集水样装入编号玻璃瓶中，加入5%的甲醛液固定。</w:t>
      </w:r>
    </w:p>
    <w:p w14:paraId="5038BA16">
      <w:pPr>
        <w:spacing w:line="360" w:lineRule="auto"/>
        <w:ind w:firstLine="480" w:firstLineChars="200"/>
        <w:rPr>
          <w:color w:val="auto"/>
          <w:kern w:val="0"/>
          <w:sz w:val="24"/>
          <w:u w:val="single"/>
        </w:rPr>
      </w:pPr>
      <w:r>
        <w:rPr>
          <w:color w:val="auto"/>
          <w:kern w:val="0"/>
          <w:sz w:val="24"/>
          <w:u w:val="single"/>
        </w:rPr>
        <w:t>甲壳动物（枝角类和挠足类），按上述方法取10～50升水样，用25号浮游生物网过滤，把过滤物放入标本瓶中。计数时，根据样品中甲壳动物的多少分若干次全部过数。</w:t>
      </w:r>
    </w:p>
    <w:p w14:paraId="2B47CC5D">
      <w:pPr>
        <w:spacing w:line="360" w:lineRule="auto"/>
        <w:ind w:firstLine="480" w:firstLineChars="200"/>
        <w:rPr>
          <w:color w:val="auto"/>
          <w:kern w:val="0"/>
          <w:sz w:val="24"/>
          <w:u w:val="single"/>
        </w:rPr>
      </w:pPr>
      <w:r>
        <w:rPr>
          <w:color w:val="auto"/>
          <w:kern w:val="0"/>
          <w:sz w:val="24"/>
          <w:u w:val="single"/>
        </w:rPr>
        <w:t>（3）底栖无脊椎动物</w:t>
      </w:r>
    </w:p>
    <w:p w14:paraId="7C77D49D">
      <w:pPr>
        <w:spacing w:line="360" w:lineRule="auto"/>
        <w:ind w:firstLine="480" w:firstLineChars="200"/>
        <w:rPr>
          <w:color w:val="auto"/>
          <w:kern w:val="0"/>
          <w:sz w:val="24"/>
          <w:u w:val="single"/>
        </w:rPr>
      </w:pPr>
      <w:r>
        <w:rPr>
          <w:color w:val="auto"/>
          <w:kern w:val="0"/>
          <w:sz w:val="24"/>
          <w:u w:val="single"/>
        </w:rPr>
        <w:t>底栖动物定量标本的采集，利用蚌斗式采泥器在水域进行采集，采得的泥样，先倒入40目/寸的筛网中，然后将筛底放入水中轻轻摇荡，洗去样本中的污泥，最后将筛中的筛渣进行分捡，用5%福尔马林液固定。底栖动物定性标本的采集，定量样品采完后，分别在各调查点位上采一定数量泥样作为定性标准用。将每个断面采集的底栖无脊椎动物样品，按采集编号进行整理鉴定。鉴定到属或种后，分种逐一进行种类数量统计，并用精度为0.01g的电子天平称重，称重前需将标本放吸水纸上，吸去虫体体表的水分。最后算出每立方米为单位的种类密度及生物量。</w:t>
      </w:r>
    </w:p>
    <w:p w14:paraId="1C247A28">
      <w:pPr>
        <w:spacing w:line="360" w:lineRule="auto"/>
        <w:ind w:firstLine="480" w:firstLineChars="200"/>
        <w:rPr>
          <w:color w:val="auto"/>
          <w:kern w:val="0"/>
          <w:sz w:val="24"/>
          <w:u w:val="single"/>
        </w:rPr>
      </w:pPr>
      <w:r>
        <w:rPr>
          <w:color w:val="auto"/>
          <w:kern w:val="0"/>
          <w:sz w:val="24"/>
          <w:u w:val="single"/>
        </w:rPr>
        <w:t>（4）鱼类</w:t>
      </w:r>
    </w:p>
    <w:p w14:paraId="3E6F1265">
      <w:pPr>
        <w:spacing w:line="360" w:lineRule="auto"/>
        <w:ind w:firstLine="480" w:firstLineChars="200"/>
        <w:rPr>
          <w:color w:val="auto"/>
          <w:kern w:val="0"/>
          <w:sz w:val="24"/>
          <w:u w:val="single"/>
        </w:rPr>
      </w:pPr>
      <w:r>
        <w:rPr>
          <w:color w:val="auto"/>
          <w:kern w:val="0"/>
          <w:sz w:val="24"/>
          <w:u w:val="single"/>
        </w:rPr>
        <w:t>鱼类资源调查主要通过渔获物调查、走访渔民和查阅相关文献资料三者相结合。</w:t>
      </w:r>
    </w:p>
    <w:p w14:paraId="0E599F0E">
      <w:pPr>
        <w:spacing w:line="360" w:lineRule="auto"/>
        <w:ind w:firstLine="480" w:firstLineChars="200"/>
        <w:rPr>
          <w:rFonts w:hint="default"/>
          <w:color w:val="auto"/>
          <w:kern w:val="0"/>
          <w:sz w:val="24"/>
          <w:u w:val="single"/>
          <w:lang w:val="en-US" w:eastAsia="zh-CN"/>
        </w:rPr>
      </w:pPr>
      <w:r>
        <w:rPr>
          <w:rFonts w:hint="eastAsia"/>
          <w:color w:val="auto"/>
          <w:kern w:val="0"/>
          <w:sz w:val="24"/>
          <w:u w:val="single"/>
          <w:lang w:val="en-US" w:eastAsia="zh-CN"/>
        </w:rPr>
        <w:t>样方设置情况见下表3.3-1：</w:t>
      </w:r>
    </w:p>
    <w:p w14:paraId="2E05380C">
      <w:pPr>
        <w:widowControl/>
        <w:kinsoku w:val="0"/>
        <w:autoSpaceDE w:val="0"/>
        <w:autoSpaceDN w:val="0"/>
        <w:adjustRightInd w:val="0"/>
        <w:snapToGrid w:val="0"/>
        <w:spacing w:line="219" w:lineRule="auto"/>
        <w:jc w:val="center"/>
        <w:textAlignment w:val="baseline"/>
        <w:rPr>
          <w:rFonts w:hint="eastAsia" w:ascii="宋体" w:hAnsi="宋体" w:eastAsia="宋体" w:cs="宋体"/>
          <w:snapToGrid w:val="0"/>
          <w:color w:val="auto"/>
          <w:kern w:val="0"/>
          <w:sz w:val="22"/>
          <w:szCs w:val="22"/>
          <w:lang w:val="en-US" w:eastAsia="zh-CN"/>
        </w:rPr>
      </w:pPr>
      <w:r>
        <w:rPr>
          <w:rFonts w:ascii="宋体" w:hAnsi="宋体" w:eastAsia="宋体" w:cs="宋体"/>
          <w:b/>
          <w:bCs/>
          <w:snapToGrid w:val="0"/>
          <w:color w:val="auto"/>
          <w:spacing w:val="-3"/>
          <w:kern w:val="0"/>
          <w:sz w:val="22"/>
          <w:szCs w:val="22"/>
          <w:lang w:eastAsia="en-US"/>
        </w:rPr>
        <w:t>表</w:t>
      </w:r>
      <w:r>
        <w:rPr>
          <w:rFonts w:hint="eastAsia" w:ascii="宋体" w:hAnsi="宋体" w:cs="宋体"/>
          <w:b/>
          <w:bCs/>
          <w:snapToGrid w:val="0"/>
          <w:color w:val="auto"/>
          <w:spacing w:val="-3"/>
          <w:kern w:val="0"/>
          <w:sz w:val="22"/>
          <w:szCs w:val="22"/>
          <w:lang w:val="en-US" w:eastAsia="zh-CN"/>
        </w:rPr>
        <w:t>3.3</w:t>
      </w:r>
      <w:r>
        <w:rPr>
          <w:rFonts w:ascii="宋体" w:hAnsi="宋体" w:eastAsia="宋体" w:cs="宋体"/>
          <w:b/>
          <w:bCs/>
          <w:snapToGrid w:val="0"/>
          <w:color w:val="auto"/>
          <w:spacing w:val="-3"/>
          <w:kern w:val="0"/>
          <w:sz w:val="22"/>
          <w:szCs w:val="22"/>
          <w:lang w:eastAsia="en-US"/>
        </w:rPr>
        <w:t>-1</w:t>
      </w:r>
      <w:r>
        <w:rPr>
          <w:rFonts w:hint="eastAsia" w:ascii="宋体" w:hAnsi="宋体" w:cs="宋体"/>
          <w:b/>
          <w:bCs/>
          <w:snapToGrid w:val="0"/>
          <w:color w:val="auto"/>
          <w:spacing w:val="-3"/>
          <w:kern w:val="0"/>
          <w:sz w:val="22"/>
          <w:szCs w:val="22"/>
          <w:lang w:val="en-US" w:eastAsia="zh-CN"/>
        </w:rPr>
        <w:t xml:space="preserve"> 评价区植物样方</w:t>
      </w:r>
      <w:r>
        <w:rPr>
          <w:rFonts w:ascii="宋体" w:hAnsi="宋体" w:eastAsia="宋体" w:cs="宋体"/>
          <w:b/>
          <w:bCs/>
          <w:snapToGrid w:val="0"/>
          <w:color w:val="auto"/>
          <w:spacing w:val="-3"/>
          <w:kern w:val="0"/>
          <w:sz w:val="22"/>
          <w:szCs w:val="22"/>
          <w:lang w:eastAsia="en-US"/>
        </w:rPr>
        <w:t>设置情况</w:t>
      </w:r>
      <w:r>
        <w:rPr>
          <w:rFonts w:hint="eastAsia" w:ascii="宋体" w:hAnsi="宋体" w:cs="宋体"/>
          <w:b/>
          <w:bCs/>
          <w:snapToGrid w:val="0"/>
          <w:color w:val="auto"/>
          <w:spacing w:val="-3"/>
          <w:kern w:val="0"/>
          <w:sz w:val="22"/>
          <w:szCs w:val="22"/>
          <w:lang w:val="en-US" w:eastAsia="zh-CN"/>
        </w:rPr>
        <w:t>一览表</w:t>
      </w:r>
    </w:p>
    <w:p w14:paraId="11F8C24E">
      <w:pPr>
        <w:widowControl/>
        <w:kinsoku w:val="0"/>
        <w:autoSpaceDE w:val="0"/>
        <w:autoSpaceDN w:val="0"/>
        <w:adjustRightInd w:val="0"/>
        <w:snapToGrid w:val="0"/>
        <w:spacing w:line="100" w:lineRule="auto"/>
        <w:jc w:val="left"/>
        <w:textAlignment w:val="baseline"/>
        <w:rPr>
          <w:rFonts w:ascii="Arial" w:hAnsi="Arial" w:eastAsia="Arial" w:cs="Arial"/>
          <w:snapToGrid w:val="0"/>
          <w:color w:val="auto"/>
          <w:kern w:val="0"/>
          <w:sz w:val="2"/>
          <w:szCs w:val="21"/>
          <w:lang w:eastAsia="en-US"/>
        </w:rPr>
      </w:pPr>
    </w:p>
    <w:tbl>
      <w:tblPr>
        <w:tblStyle w:val="5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3"/>
        <w:gridCol w:w="1541"/>
        <w:gridCol w:w="2053"/>
        <w:gridCol w:w="1584"/>
        <w:gridCol w:w="1383"/>
        <w:gridCol w:w="1104"/>
      </w:tblGrid>
      <w:tr w14:paraId="3914F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Align w:val="center"/>
          </w:tcPr>
          <w:p w14:paraId="368A1632">
            <w:pPr>
              <w:widowControl/>
              <w:jc w:val="center"/>
              <w:rPr>
                <w:b/>
                <w:bCs/>
                <w:color w:val="auto"/>
                <w:kern w:val="0"/>
                <w:sz w:val="21"/>
                <w:szCs w:val="21"/>
                <w:lang w:val="en-US" w:eastAsia="en-US"/>
              </w:rPr>
            </w:pPr>
            <w:r>
              <w:rPr>
                <w:b/>
                <w:bCs/>
                <w:color w:val="auto"/>
                <w:kern w:val="0"/>
                <w:sz w:val="21"/>
                <w:szCs w:val="21"/>
                <w:lang w:val="en-US" w:eastAsia="en-US"/>
              </w:rPr>
              <w:t>序号</w:t>
            </w:r>
          </w:p>
        </w:tc>
        <w:tc>
          <w:tcPr>
            <w:tcW w:w="927" w:type="pct"/>
            <w:vAlign w:val="center"/>
          </w:tcPr>
          <w:p w14:paraId="33040384">
            <w:pPr>
              <w:widowControl/>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样方名称</w:t>
            </w:r>
          </w:p>
        </w:tc>
        <w:tc>
          <w:tcPr>
            <w:tcW w:w="1235" w:type="pct"/>
            <w:vAlign w:val="center"/>
          </w:tcPr>
          <w:p w14:paraId="6A095446">
            <w:pPr>
              <w:widowControl/>
              <w:jc w:val="center"/>
              <w:rPr>
                <w:rFonts w:hint="default"/>
                <w:b/>
                <w:bCs/>
                <w:color w:val="auto"/>
                <w:kern w:val="0"/>
                <w:sz w:val="21"/>
                <w:szCs w:val="21"/>
                <w:lang w:val="en-US" w:eastAsia="zh-CN"/>
              </w:rPr>
            </w:pPr>
            <w:r>
              <w:rPr>
                <w:rFonts w:hint="eastAsia"/>
                <w:b/>
                <w:bCs/>
                <w:color w:val="auto"/>
                <w:kern w:val="0"/>
                <w:sz w:val="21"/>
                <w:szCs w:val="21"/>
                <w:lang w:val="en-US" w:eastAsia="zh-CN"/>
              </w:rPr>
              <w:t>样方位置</w:t>
            </w:r>
          </w:p>
        </w:tc>
        <w:tc>
          <w:tcPr>
            <w:tcW w:w="1785" w:type="pct"/>
            <w:gridSpan w:val="2"/>
            <w:vAlign w:val="center"/>
          </w:tcPr>
          <w:p w14:paraId="2CA4B30B">
            <w:pPr>
              <w:widowControl/>
              <w:jc w:val="center"/>
              <w:rPr>
                <w:b/>
                <w:bCs/>
                <w:color w:val="auto"/>
                <w:kern w:val="0"/>
                <w:sz w:val="21"/>
                <w:szCs w:val="21"/>
                <w:lang w:val="en-US" w:eastAsia="en-US"/>
              </w:rPr>
            </w:pPr>
            <w:r>
              <w:rPr>
                <w:rFonts w:hint="eastAsia"/>
                <w:b/>
                <w:bCs/>
                <w:color w:val="auto"/>
                <w:kern w:val="0"/>
                <w:sz w:val="21"/>
                <w:szCs w:val="21"/>
                <w:lang w:val="en-US" w:eastAsia="zh-CN"/>
              </w:rPr>
              <w:t>经纬度</w:t>
            </w:r>
            <w:r>
              <w:rPr>
                <w:b/>
                <w:bCs/>
                <w:color w:val="auto"/>
                <w:kern w:val="0"/>
                <w:sz w:val="21"/>
                <w:szCs w:val="21"/>
                <w:lang w:val="en-US" w:eastAsia="en-US"/>
              </w:rPr>
              <w:t>坐标</w:t>
            </w:r>
          </w:p>
        </w:tc>
        <w:tc>
          <w:tcPr>
            <w:tcW w:w="664" w:type="pct"/>
            <w:vAlign w:val="center"/>
          </w:tcPr>
          <w:p w14:paraId="46DD0310">
            <w:pPr>
              <w:widowControl/>
              <w:jc w:val="center"/>
              <w:rPr>
                <w:rFonts w:hint="default"/>
                <w:b/>
                <w:bCs/>
                <w:color w:val="auto"/>
                <w:kern w:val="0"/>
                <w:sz w:val="21"/>
                <w:szCs w:val="21"/>
                <w:lang w:val="en-US" w:eastAsia="zh-CN"/>
              </w:rPr>
            </w:pPr>
            <w:r>
              <w:rPr>
                <w:rFonts w:hint="eastAsia"/>
                <w:b/>
                <w:bCs/>
                <w:color w:val="auto"/>
                <w:kern w:val="0"/>
                <w:sz w:val="21"/>
                <w:szCs w:val="21"/>
                <w:lang w:val="en-US" w:eastAsia="zh-CN"/>
              </w:rPr>
              <w:t>海拔高度m</w:t>
            </w:r>
          </w:p>
        </w:tc>
      </w:tr>
      <w:tr w14:paraId="15853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4F97868F">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927" w:type="pct"/>
            <w:vMerge w:val="restart"/>
            <w:vAlign w:val="center"/>
          </w:tcPr>
          <w:p w14:paraId="5AC75B5B">
            <w:pPr>
              <w:widowControl/>
              <w:jc w:val="center"/>
              <w:rPr>
                <w:color w:val="auto"/>
                <w:kern w:val="0"/>
                <w:sz w:val="21"/>
                <w:szCs w:val="21"/>
                <w:lang w:val="en-US" w:eastAsia="en-US"/>
              </w:rPr>
            </w:pPr>
            <w:r>
              <w:rPr>
                <w:rFonts w:hint="default"/>
                <w:color w:val="auto"/>
                <w:kern w:val="0"/>
                <w:sz w:val="21"/>
                <w:szCs w:val="21"/>
                <w:lang w:val="en-US" w:eastAsia="en-US"/>
              </w:rPr>
              <w:t>芦苇植物群落</w:t>
            </w:r>
          </w:p>
        </w:tc>
        <w:tc>
          <w:tcPr>
            <w:tcW w:w="1235" w:type="pct"/>
            <w:vAlign w:val="center"/>
          </w:tcPr>
          <w:p w14:paraId="2FEBD996">
            <w:pPr>
              <w:widowControl/>
              <w:jc w:val="center"/>
              <w:rPr>
                <w:color w:val="auto"/>
                <w:kern w:val="0"/>
                <w:sz w:val="21"/>
                <w:szCs w:val="21"/>
                <w:lang w:val="en-US" w:eastAsia="en-US"/>
              </w:rPr>
            </w:pPr>
            <w:r>
              <w:rPr>
                <w:rFonts w:hint="eastAsia"/>
                <w:color w:val="auto"/>
                <w:kern w:val="0"/>
                <w:sz w:val="21"/>
                <w:szCs w:val="21"/>
                <w:lang w:val="en-US" w:eastAsia="zh-CN"/>
              </w:rPr>
              <w:t>方台湖五组</w:t>
            </w:r>
            <w:r>
              <w:rPr>
                <w:color w:val="auto"/>
                <w:kern w:val="0"/>
                <w:sz w:val="21"/>
                <w:szCs w:val="21"/>
                <w:lang w:val="en-US" w:eastAsia="en-US"/>
              </w:rPr>
              <w:t>湿地</w:t>
            </w:r>
          </w:p>
        </w:tc>
        <w:tc>
          <w:tcPr>
            <w:tcW w:w="953" w:type="pct"/>
            <w:tcBorders>
              <w:right w:val="single" w:color="auto" w:sz="4" w:space="0"/>
            </w:tcBorders>
            <w:vAlign w:val="center"/>
          </w:tcPr>
          <w:p w14:paraId="0BE9BFCB">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9665232</w:t>
            </w:r>
          </w:p>
        </w:tc>
        <w:tc>
          <w:tcPr>
            <w:tcW w:w="831" w:type="pct"/>
            <w:tcBorders>
              <w:left w:val="single" w:color="auto" w:sz="4" w:space="0"/>
            </w:tcBorders>
            <w:vAlign w:val="center"/>
          </w:tcPr>
          <w:p w14:paraId="42B48715">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49863110</w:t>
            </w:r>
          </w:p>
        </w:tc>
        <w:tc>
          <w:tcPr>
            <w:tcW w:w="664" w:type="pct"/>
            <w:vAlign w:val="center"/>
          </w:tcPr>
          <w:p w14:paraId="448816AC">
            <w:pPr>
              <w:widowControl/>
              <w:jc w:val="center"/>
              <w:rPr>
                <w:rFonts w:hint="default"/>
                <w:color w:val="auto"/>
                <w:kern w:val="0"/>
                <w:sz w:val="21"/>
                <w:szCs w:val="21"/>
                <w:lang w:val="en-US" w:eastAsia="zh-CN"/>
              </w:rPr>
            </w:pPr>
            <w:r>
              <w:rPr>
                <w:rFonts w:hint="eastAsia"/>
                <w:color w:val="auto"/>
                <w:kern w:val="0"/>
                <w:sz w:val="21"/>
                <w:szCs w:val="21"/>
                <w:lang w:val="en-US" w:eastAsia="zh-CN"/>
              </w:rPr>
              <w:t>27</w:t>
            </w:r>
          </w:p>
        </w:tc>
      </w:tr>
      <w:tr w14:paraId="7C582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227865D7">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927" w:type="pct"/>
            <w:vMerge w:val="continue"/>
            <w:vAlign w:val="center"/>
          </w:tcPr>
          <w:p w14:paraId="127E5E3C">
            <w:pPr>
              <w:widowControl/>
              <w:jc w:val="center"/>
              <w:rPr>
                <w:rFonts w:hint="default"/>
                <w:color w:val="auto"/>
                <w:kern w:val="0"/>
                <w:sz w:val="21"/>
                <w:szCs w:val="21"/>
                <w:lang w:val="en-US" w:eastAsia="en-US"/>
              </w:rPr>
            </w:pPr>
          </w:p>
        </w:tc>
        <w:tc>
          <w:tcPr>
            <w:tcW w:w="1235" w:type="pct"/>
            <w:vAlign w:val="center"/>
          </w:tcPr>
          <w:p w14:paraId="52782DDF">
            <w:pPr>
              <w:widowControl/>
              <w:jc w:val="center"/>
              <w:rPr>
                <w:rFonts w:hint="default"/>
                <w:color w:val="auto"/>
                <w:kern w:val="0"/>
                <w:sz w:val="21"/>
                <w:szCs w:val="21"/>
                <w:lang w:val="en-US" w:eastAsia="en-US"/>
              </w:rPr>
            </w:pPr>
            <w:r>
              <w:rPr>
                <w:rFonts w:hint="eastAsia"/>
                <w:color w:val="auto"/>
                <w:kern w:val="0"/>
                <w:sz w:val="21"/>
                <w:szCs w:val="21"/>
                <w:lang w:val="en-US" w:eastAsia="zh-CN"/>
              </w:rPr>
              <w:t>采桑湖渔场南侧</w:t>
            </w:r>
          </w:p>
        </w:tc>
        <w:tc>
          <w:tcPr>
            <w:tcW w:w="953" w:type="pct"/>
            <w:tcBorders>
              <w:right w:val="single" w:color="auto" w:sz="4" w:space="0"/>
            </w:tcBorders>
            <w:vAlign w:val="center"/>
          </w:tcPr>
          <w:p w14:paraId="3FB36F70">
            <w:pPr>
              <w:widowControl/>
              <w:jc w:val="center"/>
              <w:rPr>
                <w:rFonts w:hint="default"/>
                <w:color w:val="auto"/>
                <w:kern w:val="0"/>
                <w:sz w:val="21"/>
                <w:szCs w:val="21"/>
                <w:lang w:val="en-US" w:eastAsia="en-US"/>
              </w:rPr>
            </w:pPr>
            <w:r>
              <w:rPr>
                <w:rFonts w:hint="default"/>
                <w:color w:val="auto"/>
                <w:kern w:val="0"/>
                <w:sz w:val="21"/>
                <w:szCs w:val="21"/>
                <w:lang w:val="en-US" w:eastAsia="en-US"/>
              </w:rPr>
              <w:t>112.7</w:t>
            </w:r>
            <w:r>
              <w:rPr>
                <w:rFonts w:hint="eastAsia"/>
                <w:color w:val="auto"/>
                <w:kern w:val="0"/>
                <w:sz w:val="21"/>
                <w:szCs w:val="21"/>
                <w:lang w:val="en-US" w:eastAsia="zh-CN"/>
              </w:rPr>
              <w:t>8448582</w:t>
            </w:r>
          </w:p>
        </w:tc>
        <w:tc>
          <w:tcPr>
            <w:tcW w:w="831" w:type="pct"/>
            <w:tcBorders>
              <w:left w:val="single" w:color="auto" w:sz="4" w:space="0"/>
            </w:tcBorders>
            <w:vAlign w:val="center"/>
          </w:tcPr>
          <w:p w14:paraId="55104677">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49945285</w:t>
            </w:r>
          </w:p>
        </w:tc>
        <w:tc>
          <w:tcPr>
            <w:tcW w:w="664" w:type="pct"/>
            <w:vAlign w:val="center"/>
          </w:tcPr>
          <w:p w14:paraId="31213B17">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4DBA9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09A81C71">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3</w:t>
            </w:r>
          </w:p>
        </w:tc>
        <w:tc>
          <w:tcPr>
            <w:tcW w:w="927" w:type="pct"/>
            <w:vMerge w:val="continue"/>
            <w:vAlign w:val="center"/>
          </w:tcPr>
          <w:p w14:paraId="41A440D3">
            <w:pPr>
              <w:widowControl/>
              <w:jc w:val="center"/>
              <w:rPr>
                <w:rFonts w:hint="default"/>
                <w:color w:val="auto"/>
                <w:kern w:val="0"/>
                <w:sz w:val="21"/>
                <w:szCs w:val="21"/>
                <w:lang w:val="en-US" w:eastAsia="en-US"/>
              </w:rPr>
            </w:pPr>
          </w:p>
        </w:tc>
        <w:tc>
          <w:tcPr>
            <w:tcW w:w="1235" w:type="pct"/>
            <w:vAlign w:val="center"/>
          </w:tcPr>
          <w:p w14:paraId="0DDD3F09">
            <w:pPr>
              <w:widowControl/>
              <w:jc w:val="center"/>
              <w:rPr>
                <w:color w:val="auto"/>
                <w:kern w:val="0"/>
                <w:sz w:val="21"/>
                <w:szCs w:val="21"/>
                <w:lang w:val="en-US" w:eastAsia="en-US"/>
              </w:rPr>
            </w:pPr>
            <w:r>
              <w:rPr>
                <w:rFonts w:hint="eastAsia"/>
                <w:color w:val="auto"/>
                <w:kern w:val="0"/>
                <w:sz w:val="21"/>
                <w:szCs w:val="21"/>
                <w:lang w:val="en-US" w:eastAsia="zh-CN"/>
              </w:rPr>
              <w:t>项目</w:t>
            </w:r>
            <w:r>
              <w:rPr>
                <w:rFonts w:hint="eastAsia" w:ascii="Times New Roman" w:eastAsia="宋体"/>
                <w:color w:val="auto"/>
                <w:kern w:val="0"/>
                <w:sz w:val="21"/>
                <w:szCs w:val="21"/>
                <w:lang w:val="en-US" w:eastAsia="zh-CN"/>
              </w:rPr>
              <w:t>东侧</w:t>
            </w:r>
            <w:r>
              <w:rPr>
                <w:color w:val="auto"/>
                <w:kern w:val="0"/>
                <w:sz w:val="21"/>
                <w:szCs w:val="21"/>
                <w:lang w:val="en-US" w:eastAsia="en-US"/>
              </w:rPr>
              <w:t>湿地</w:t>
            </w:r>
          </w:p>
        </w:tc>
        <w:tc>
          <w:tcPr>
            <w:tcW w:w="953" w:type="pct"/>
            <w:tcBorders>
              <w:right w:val="single" w:color="auto" w:sz="4" w:space="0"/>
            </w:tcBorders>
            <w:vAlign w:val="center"/>
          </w:tcPr>
          <w:p w14:paraId="65D192D6">
            <w:pPr>
              <w:widowControl/>
              <w:jc w:val="center"/>
              <w:rPr>
                <w:rFonts w:hint="default"/>
                <w:color w:val="auto"/>
                <w:kern w:val="0"/>
                <w:sz w:val="21"/>
                <w:szCs w:val="21"/>
                <w:lang w:val="en-US" w:eastAsia="en-US"/>
              </w:rPr>
            </w:pPr>
            <w:r>
              <w:rPr>
                <w:rFonts w:hint="default"/>
                <w:color w:val="auto"/>
                <w:kern w:val="0"/>
                <w:sz w:val="21"/>
                <w:szCs w:val="21"/>
                <w:lang w:val="en-US" w:eastAsia="en-US"/>
              </w:rPr>
              <w:t>112.7</w:t>
            </w:r>
            <w:r>
              <w:rPr>
                <w:rFonts w:hint="eastAsia"/>
                <w:color w:val="auto"/>
                <w:kern w:val="0"/>
                <w:sz w:val="21"/>
                <w:szCs w:val="21"/>
                <w:lang w:val="en-US" w:eastAsia="zh-CN"/>
              </w:rPr>
              <w:t>9882623</w:t>
            </w:r>
          </w:p>
        </w:tc>
        <w:tc>
          <w:tcPr>
            <w:tcW w:w="831" w:type="pct"/>
            <w:tcBorders>
              <w:left w:val="single" w:color="auto" w:sz="4" w:space="0"/>
            </w:tcBorders>
            <w:vAlign w:val="center"/>
          </w:tcPr>
          <w:p w14:paraId="1B29FE23">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49198221</w:t>
            </w:r>
          </w:p>
        </w:tc>
        <w:tc>
          <w:tcPr>
            <w:tcW w:w="664" w:type="pct"/>
            <w:vAlign w:val="center"/>
          </w:tcPr>
          <w:p w14:paraId="4FEA7A95">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7F077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1192228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4</w:t>
            </w:r>
          </w:p>
        </w:tc>
        <w:tc>
          <w:tcPr>
            <w:tcW w:w="927" w:type="pct"/>
            <w:vMerge w:val="continue"/>
            <w:vAlign w:val="center"/>
          </w:tcPr>
          <w:p w14:paraId="57EFFC57">
            <w:pPr>
              <w:widowControl/>
              <w:jc w:val="center"/>
              <w:rPr>
                <w:rFonts w:hint="default"/>
                <w:color w:val="auto"/>
                <w:kern w:val="0"/>
                <w:sz w:val="21"/>
                <w:szCs w:val="21"/>
                <w:lang w:val="en-US" w:eastAsia="en-US"/>
              </w:rPr>
            </w:pPr>
          </w:p>
        </w:tc>
        <w:tc>
          <w:tcPr>
            <w:tcW w:w="1235" w:type="pct"/>
            <w:vAlign w:val="center"/>
          </w:tcPr>
          <w:p w14:paraId="56312417">
            <w:pPr>
              <w:widowControl/>
              <w:jc w:val="center"/>
              <w:rPr>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p>
        </w:tc>
        <w:tc>
          <w:tcPr>
            <w:tcW w:w="953" w:type="pct"/>
            <w:tcBorders>
              <w:right w:val="single" w:color="auto" w:sz="4" w:space="0"/>
            </w:tcBorders>
            <w:vAlign w:val="center"/>
          </w:tcPr>
          <w:p w14:paraId="56754FF1">
            <w:pPr>
              <w:widowControl/>
              <w:jc w:val="center"/>
              <w:rPr>
                <w:rFonts w:hint="default"/>
                <w:color w:val="auto"/>
                <w:kern w:val="0"/>
                <w:sz w:val="21"/>
                <w:szCs w:val="21"/>
                <w:lang w:val="en-US" w:eastAsia="en-US"/>
              </w:rPr>
            </w:pPr>
            <w:r>
              <w:rPr>
                <w:rFonts w:hint="default"/>
                <w:color w:val="auto"/>
                <w:kern w:val="0"/>
                <w:sz w:val="21"/>
                <w:szCs w:val="21"/>
                <w:lang w:val="en-US" w:eastAsia="en-US"/>
              </w:rPr>
              <w:t>112.7</w:t>
            </w:r>
            <w:r>
              <w:rPr>
                <w:rFonts w:hint="eastAsia"/>
                <w:color w:val="auto"/>
                <w:kern w:val="0"/>
                <w:sz w:val="21"/>
                <w:szCs w:val="21"/>
                <w:lang w:val="en-US" w:eastAsia="zh-CN"/>
              </w:rPr>
              <w:t>9761791</w:t>
            </w:r>
          </w:p>
        </w:tc>
        <w:tc>
          <w:tcPr>
            <w:tcW w:w="831" w:type="pct"/>
            <w:tcBorders>
              <w:left w:val="single" w:color="auto" w:sz="4" w:space="0"/>
            </w:tcBorders>
            <w:vAlign w:val="center"/>
          </w:tcPr>
          <w:p w14:paraId="714DD54F">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50085353</w:t>
            </w:r>
          </w:p>
        </w:tc>
        <w:tc>
          <w:tcPr>
            <w:tcW w:w="664" w:type="pct"/>
            <w:vAlign w:val="center"/>
          </w:tcPr>
          <w:p w14:paraId="24C96EC4">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0E6CE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76232FD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6</w:t>
            </w:r>
          </w:p>
        </w:tc>
        <w:tc>
          <w:tcPr>
            <w:tcW w:w="927" w:type="pct"/>
            <w:vMerge w:val="restart"/>
            <w:vAlign w:val="center"/>
          </w:tcPr>
          <w:p w14:paraId="5BEF5029">
            <w:pPr>
              <w:widowControl/>
              <w:jc w:val="center"/>
              <w:rPr>
                <w:color w:val="auto"/>
                <w:kern w:val="0"/>
                <w:sz w:val="21"/>
                <w:szCs w:val="21"/>
                <w:lang w:val="en-US" w:eastAsia="en-US"/>
              </w:rPr>
            </w:pPr>
            <w:r>
              <w:rPr>
                <w:rFonts w:hint="default"/>
                <w:color w:val="auto"/>
                <w:kern w:val="0"/>
                <w:sz w:val="21"/>
                <w:szCs w:val="21"/>
                <w:lang w:val="en-US" w:eastAsia="en-US"/>
              </w:rPr>
              <w:t>酸模叶蓼植物群落</w:t>
            </w:r>
          </w:p>
        </w:tc>
        <w:tc>
          <w:tcPr>
            <w:tcW w:w="1235" w:type="pct"/>
            <w:vAlign w:val="center"/>
          </w:tcPr>
          <w:p w14:paraId="578079E0">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方台湖五组东侧临近采桑湖岸堤</w:t>
            </w:r>
          </w:p>
        </w:tc>
        <w:tc>
          <w:tcPr>
            <w:tcW w:w="953" w:type="pct"/>
            <w:tcBorders>
              <w:right w:val="single" w:color="auto" w:sz="4" w:space="0"/>
            </w:tcBorders>
            <w:shd w:val="clear" w:color="auto" w:fill="auto"/>
            <w:vAlign w:val="center"/>
          </w:tcPr>
          <w:p w14:paraId="71E82D85">
            <w:pPr>
              <w:widowControl/>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112.7</w:t>
            </w:r>
            <w:r>
              <w:rPr>
                <w:rFonts w:hint="eastAsia"/>
                <w:color w:val="auto"/>
                <w:kern w:val="0"/>
                <w:sz w:val="21"/>
                <w:szCs w:val="21"/>
                <w:lang w:val="en-US" w:eastAsia="zh-CN"/>
              </w:rPr>
              <w:t>9866345</w:t>
            </w:r>
          </w:p>
        </w:tc>
        <w:tc>
          <w:tcPr>
            <w:tcW w:w="831" w:type="pct"/>
            <w:tcBorders>
              <w:left w:val="single" w:color="auto" w:sz="4" w:space="0"/>
            </w:tcBorders>
            <w:shd w:val="clear" w:color="auto" w:fill="auto"/>
            <w:vAlign w:val="center"/>
          </w:tcPr>
          <w:p w14:paraId="3AC5EECB">
            <w:pPr>
              <w:widowControl/>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29.</w:t>
            </w:r>
            <w:r>
              <w:rPr>
                <w:rFonts w:hint="eastAsia"/>
                <w:color w:val="auto"/>
                <w:kern w:val="0"/>
                <w:sz w:val="21"/>
                <w:szCs w:val="21"/>
                <w:lang w:val="en-US" w:eastAsia="zh-CN"/>
              </w:rPr>
              <w:t>50034292</w:t>
            </w:r>
          </w:p>
        </w:tc>
        <w:tc>
          <w:tcPr>
            <w:tcW w:w="664" w:type="pct"/>
            <w:vAlign w:val="center"/>
          </w:tcPr>
          <w:p w14:paraId="47473AD5">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25</w:t>
            </w:r>
          </w:p>
        </w:tc>
      </w:tr>
      <w:tr w14:paraId="61555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424FB66C">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7</w:t>
            </w:r>
          </w:p>
        </w:tc>
        <w:tc>
          <w:tcPr>
            <w:tcW w:w="927" w:type="pct"/>
            <w:vMerge w:val="continue"/>
            <w:vAlign w:val="center"/>
          </w:tcPr>
          <w:p w14:paraId="716213CF">
            <w:pPr>
              <w:widowControl/>
              <w:jc w:val="center"/>
              <w:rPr>
                <w:rFonts w:hint="default"/>
                <w:color w:val="auto"/>
                <w:kern w:val="0"/>
                <w:sz w:val="21"/>
                <w:szCs w:val="21"/>
                <w:lang w:val="en-US" w:eastAsia="en-US"/>
              </w:rPr>
            </w:pPr>
          </w:p>
        </w:tc>
        <w:tc>
          <w:tcPr>
            <w:tcW w:w="1235" w:type="pct"/>
            <w:vAlign w:val="center"/>
          </w:tcPr>
          <w:p w14:paraId="611ED6EF">
            <w:pPr>
              <w:widowControl/>
              <w:jc w:val="center"/>
              <w:rPr>
                <w:rFonts w:hint="default"/>
                <w:color w:val="auto"/>
                <w:kern w:val="0"/>
                <w:sz w:val="21"/>
                <w:szCs w:val="21"/>
                <w:lang w:val="en-US" w:eastAsia="en-US"/>
              </w:rPr>
            </w:pPr>
            <w:r>
              <w:rPr>
                <w:rFonts w:hint="eastAsia" w:ascii="Times New Roman" w:eastAsia="宋体"/>
                <w:color w:val="auto"/>
                <w:kern w:val="0"/>
                <w:sz w:val="21"/>
                <w:szCs w:val="21"/>
                <w:lang w:val="en-US" w:eastAsia="zh-CN"/>
              </w:rPr>
              <w:t>采桑湖</w:t>
            </w:r>
            <w:r>
              <w:rPr>
                <w:rFonts w:hint="eastAsia"/>
                <w:color w:val="auto"/>
                <w:kern w:val="0"/>
                <w:sz w:val="21"/>
                <w:szCs w:val="21"/>
                <w:lang w:val="en-US" w:eastAsia="zh-CN"/>
              </w:rPr>
              <w:t>渔场北侧</w:t>
            </w:r>
          </w:p>
        </w:tc>
        <w:tc>
          <w:tcPr>
            <w:tcW w:w="953" w:type="pct"/>
            <w:tcBorders>
              <w:right w:val="single" w:color="auto" w:sz="4" w:space="0"/>
            </w:tcBorders>
            <w:vAlign w:val="center"/>
          </w:tcPr>
          <w:p w14:paraId="37E54B8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112.78931379</w:t>
            </w:r>
          </w:p>
        </w:tc>
        <w:tc>
          <w:tcPr>
            <w:tcW w:w="831" w:type="pct"/>
            <w:tcBorders>
              <w:left w:val="single" w:color="auto" w:sz="4" w:space="0"/>
            </w:tcBorders>
            <w:vAlign w:val="center"/>
          </w:tcPr>
          <w:p w14:paraId="056D6BBE">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50287048</w:t>
            </w:r>
          </w:p>
        </w:tc>
        <w:tc>
          <w:tcPr>
            <w:tcW w:w="664" w:type="pct"/>
            <w:vAlign w:val="center"/>
          </w:tcPr>
          <w:p w14:paraId="7FACC200">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668CC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594F126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8</w:t>
            </w:r>
          </w:p>
        </w:tc>
        <w:tc>
          <w:tcPr>
            <w:tcW w:w="927" w:type="pct"/>
            <w:vMerge w:val="continue"/>
            <w:vAlign w:val="center"/>
          </w:tcPr>
          <w:p w14:paraId="446BC5EA">
            <w:pPr>
              <w:widowControl/>
              <w:jc w:val="center"/>
              <w:rPr>
                <w:rFonts w:hint="default"/>
                <w:color w:val="auto"/>
                <w:kern w:val="0"/>
                <w:sz w:val="21"/>
                <w:szCs w:val="21"/>
                <w:lang w:val="en-US" w:eastAsia="en-US"/>
              </w:rPr>
            </w:pPr>
          </w:p>
        </w:tc>
        <w:tc>
          <w:tcPr>
            <w:tcW w:w="1235" w:type="pct"/>
            <w:vAlign w:val="center"/>
          </w:tcPr>
          <w:p w14:paraId="4DC982E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采桑湖渔场西北侧</w:t>
            </w:r>
          </w:p>
        </w:tc>
        <w:tc>
          <w:tcPr>
            <w:tcW w:w="953" w:type="pct"/>
            <w:tcBorders>
              <w:right w:val="single" w:color="auto" w:sz="4" w:space="0"/>
            </w:tcBorders>
            <w:vAlign w:val="center"/>
          </w:tcPr>
          <w:p w14:paraId="0A595E1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112.78716803</w:t>
            </w:r>
          </w:p>
        </w:tc>
        <w:tc>
          <w:tcPr>
            <w:tcW w:w="831" w:type="pct"/>
            <w:tcBorders>
              <w:left w:val="single" w:color="auto" w:sz="4" w:space="0"/>
            </w:tcBorders>
            <w:vAlign w:val="center"/>
          </w:tcPr>
          <w:p w14:paraId="4A52EE3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29.50436449</w:t>
            </w:r>
          </w:p>
        </w:tc>
        <w:tc>
          <w:tcPr>
            <w:tcW w:w="664" w:type="pct"/>
            <w:vAlign w:val="center"/>
          </w:tcPr>
          <w:p w14:paraId="7FEF2A66">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1B63C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vAlign w:val="center"/>
          </w:tcPr>
          <w:p w14:paraId="77FF2CF9">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9</w:t>
            </w:r>
          </w:p>
        </w:tc>
        <w:tc>
          <w:tcPr>
            <w:tcW w:w="927" w:type="pct"/>
            <w:vMerge w:val="restart"/>
            <w:vAlign w:val="center"/>
          </w:tcPr>
          <w:p w14:paraId="4FDA69A0">
            <w:pPr>
              <w:widowControl/>
              <w:jc w:val="center"/>
              <w:rPr>
                <w:color w:val="auto"/>
                <w:kern w:val="0"/>
                <w:sz w:val="21"/>
                <w:szCs w:val="21"/>
                <w:lang w:val="en-US" w:eastAsia="en-US"/>
              </w:rPr>
            </w:pPr>
            <w:r>
              <w:rPr>
                <w:rFonts w:hint="default"/>
                <w:color w:val="auto"/>
                <w:kern w:val="0"/>
                <w:sz w:val="21"/>
                <w:szCs w:val="21"/>
                <w:lang w:val="en-US" w:eastAsia="en-US"/>
              </w:rPr>
              <w:t>莲（人工）植物群落</w:t>
            </w:r>
          </w:p>
        </w:tc>
        <w:tc>
          <w:tcPr>
            <w:tcW w:w="1235" w:type="pct"/>
            <w:vAlign w:val="center"/>
          </w:tcPr>
          <w:p w14:paraId="3F1F6C8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项目西南侧鱼塘</w:t>
            </w:r>
          </w:p>
        </w:tc>
        <w:tc>
          <w:tcPr>
            <w:tcW w:w="953" w:type="pct"/>
            <w:tcBorders>
              <w:right w:val="single" w:color="auto" w:sz="4" w:space="0"/>
            </w:tcBorders>
            <w:shd w:val="clear" w:color="auto" w:fill="auto"/>
            <w:vAlign w:val="center"/>
          </w:tcPr>
          <w:p w14:paraId="65027031">
            <w:pPr>
              <w:widowControl/>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112.78</w:t>
            </w:r>
            <w:r>
              <w:rPr>
                <w:rFonts w:hint="eastAsia"/>
                <w:color w:val="auto"/>
                <w:kern w:val="0"/>
                <w:sz w:val="21"/>
                <w:szCs w:val="21"/>
                <w:lang w:val="en-US" w:eastAsia="zh-CN"/>
              </w:rPr>
              <w:t>648138</w:t>
            </w:r>
          </w:p>
        </w:tc>
        <w:tc>
          <w:tcPr>
            <w:tcW w:w="831" w:type="pct"/>
            <w:tcBorders>
              <w:left w:val="single" w:color="auto" w:sz="4" w:space="0"/>
            </w:tcBorders>
            <w:shd w:val="clear" w:color="auto" w:fill="auto"/>
            <w:vAlign w:val="center"/>
          </w:tcPr>
          <w:p w14:paraId="55079C92">
            <w:pPr>
              <w:widowControl/>
              <w:jc w:val="center"/>
              <w:rPr>
                <w:rFonts w:hint="default" w:ascii="Times New Roman" w:hAnsi="Times New Roman" w:eastAsia="宋体" w:cs="Times New Roman"/>
                <w:color w:val="auto"/>
                <w:kern w:val="0"/>
                <w:sz w:val="21"/>
                <w:szCs w:val="21"/>
                <w:lang w:val="en-US" w:eastAsia="en-US" w:bidi="ar-SA"/>
              </w:rPr>
            </w:pPr>
            <w:r>
              <w:rPr>
                <w:rFonts w:hint="default"/>
                <w:color w:val="auto"/>
                <w:kern w:val="0"/>
                <w:sz w:val="21"/>
                <w:szCs w:val="21"/>
                <w:lang w:val="en-US" w:eastAsia="en-US"/>
              </w:rPr>
              <w:t>29.</w:t>
            </w:r>
            <w:r>
              <w:rPr>
                <w:rFonts w:hint="eastAsia"/>
                <w:color w:val="auto"/>
                <w:kern w:val="0"/>
                <w:sz w:val="21"/>
                <w:szCs w:val="21"/>
                <w:lang w:val="en-US" w:eastAsia="zh-CN"/>
              </w:rPr>
              <w:t>49803347</w:t>
            </w:r>
          </w:p>
        </w:tc>
        <w:tc>
          <w:tcPr>
            <w:tcW w:w="664" w:type="pct"/>
            <w:shd w:val="clear" w:color="auto" w:fill="auto"/>
            <w:vAlign w:val="center"/>
          </w:tcPr>
          <w:p w14:paraId="2DB74CD2">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24</w:t>
            </w:r>
          </w:p>
        </w:tc>
      </w:tr>
      <w:tr w14:paraId="45749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vAlign w:val="center"/>
          </w:tcPr>
          <w:p w14:paraId="4123AC50">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10</w:t>
            </w:r>
          </w:p>
        </w:tc>
        <w:tc>
          <w:tcPr>
            <w:tcW w:w="927" w:type="pct"/>
            <w:vMerge w:val="continue"/>
            <w:vAlign w:val="center"/>
          </w:tcPr>
          <w:p w14:paraId="6EB5FE6E">
            <w:pPr>
              <w:widowControl/>
              <w:jc w:val="center"/>
              <w:rPr>
                <w:rFonts w:hint="default"/>
                <w:color w:val="auto"/>
                <w:kern w:val="0"/>
                <w:sz w:val="21"/>
                <w:szCs w:val="21"/>
                <w:lang w:val="en-US" w:eastAsia="en-US"/>
              </w:rPr>
            </w:pPr>
          </w:p>
        </w:tc>
        <w:tc>
          <w:tcPr>
            <w:tcW w:w="1235" w:type="pct"/>
            <w:vAlign w:val="center"/>
          </w:tcPr>
          <w:p w14:paraId="57296996">
            <w:pPr>
              <w:widowControl/>
              <w:jc w:val="center"/>
              <w:rPr>
                <w:color w:val="auto"/>
                <w:kern w:val="0"/>
                <w:sz w:val="21"/>
                <w:szCs w:val="21"/>
                <w:lang w:val="en-US" w:eastAsia="en-US"/>
              </w:rPr>
            </w:pPr>
            <w:r>
              <w:rPr>
                <w:rFonts w:hint="eastAsia" w:ascii="Times New Roman" w:eastAsia="宋体"/>
                <w:color w:val="auto"/>
                <w:kern w:val="0"/>
                <w:sz w:val="21"/>
                <w:szCs w:val="21"/>
                <w:lang w:val="en-US" w:eastAsia="zh-CN"/>
              </w:rPr>
              <w:t>项目</w:t>
            </w:r>
            <w:r>
              <w:rPr>
                <w:rFonts w:hint="eastAsia"/>
                <w:color w:val="auto"/>
                <w:kern w:val="0"/>
                <w:sz w:val="21"/>
                <w:szCs w:val="21"/>
                <w:lang w:val="en-US" w:eastAsia="zh-CN"/>
              </w:rPr>
              <w:t>西</w:t>
            </w:r>
            <w:r>
              <w:rPr>
                <w:rFonts w:hint="eastAsia" w:ascii="Times New Roman" w:eastAsia="宋体"/>
                <w:color w:val="auto"/>
                <w:kern w:val="0"/>
                <w:sz w:val="21"/>
                <w:szCs w:val="21"/>
                <w:lang w:val="en-US" w:eastAsia="zh-CN"/>
              </w:rPr>
              <w:t>侧鱼塘</w:t>
            </w:r>
          </w:p>
        </w:tc>
        <w:tc>
          <w:tcPr>
            <w:tcW w:w="953" w:type="pct"/>
            <w:tcBorders>
              <w:right w:val="single" w:color="auto" w:sz="4" w:space="0"/>
            </w:tcBorders>
            <w:shd w:val="clear" w:color="auto" w:fill="auto"/>
            <w:vAlign w:val="center"/>
          </w:tcPr>
          <w:p w14:paraId="0FDAE581">
            <w:pPr>
              <w:widowControl/>
              <w:jc w:val="center"/>
              <w:rPr>
                <w:rFonts w:hint="default" w:ascii="Times New Roman" w:hAnsi="Times New Roman" w:eastAsia="宋体" w:cs="Times New Roman"/>
                <w:color w:val="auto"/>
                <w:kern w:val="0"/>
                <w:sz w:val="21"/>
                <w:szCs w:val="21"/>
                <w:lang w:val="en-US" w:eastAsia="en-US" w:bidi="ar-SA"/>
              </w:rPr>
            </w:pPr>
            <w:r>
              <w:rPr>
                <w:rFonts w:hint="default"/>
                <w:color w:val="auto"/>
                <w:kern w:val="0"/>
                <w:sz w:val="21"/>
                <w:szCs w:val="21"/>
                <w:lang w:val="en-US" w:eastAsia="en-US"/>
              </w:rPr>
              <w:t>112.</w:t>
            </w:r>
            <w:r>
              <w:rPr>
                <w:rFonts w:hint="eastAsia"/>
                <w:color w:val="auto"/>
                <w:kern w:val="0"/>
                <w:sz w:val="21"/>
                <w:szCs w:val="21"/>
                <w:lang w:val="en-US" w:eastAsia="zh-CN"/>
              </w:rPr>
              <w:t>79055834</w:t>
            </w:r>
          </w:p>
        </w:tc>
        <w:tc>
          <w:tcPr>
            <w:tcW w:w="831" w:type="pct"/>
            <w:tcBorders>
              <w:left w:val="single" w:color="auto" w:sz="4" w:space="0"/>
            </w:tcBorders>
            <w:shd w:val="clear" w:color="auto" w:fill="auto"/>
            <w:vAlign w:val="center"/>
          </w:tcPr>
          <w:p w14:paraId="18E8B190">
            <w:pPr>
              <w:widowControl/>
              <w:jc w:val="center"/>
              <w:rPr>
                <w:rFonts w:hint="eastAsia"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29.</w:t>
            </w:r>
            <w:r>
              <w:rPr>
                <w:rFonts w:hint="eastAsia"/>
                <w:color w:val="auto"/>
                <w:kern w:val="0"/>
                <w:sz w:val="21"/>
                <w:szCs w:val="21"/>
                <w:lang w:val="en-US" w:eastAsia="zh-CN"/>
              </w:rPr>
              <w:t>49648333</w:t>
            </w:r>
          </w:p>
        </w:tc>
        <w:tc>
          <w:tcPr>
            <w:tcW w:w="664" w:type="pct"/>
            <w:shd w:val="clear" w:color="auto" w:fill="auto"/>
            <w:vAlign w:val="center"/>
          </w:tcPr>
          <w:p w14:paraId="410FAD80">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26</w:t>
            </w:r>
          </w:p>
        </w:tc>
      </w:tr>
      <w:tr w14:paraId="75783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vAlign w:val="center"/>
          </w:tcPr>
          <w:p w14:paraId="6B7F729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w:t>
            </w:r>
          </w:p>
        </w:tc>
        <w:tc>
          <w:tcPr>
            <w:tcW w:w="927" w:type="pct"/>
            <w:vMerge w:val="continue"/>
            <w:vAlign w:val="center"/>
          </w:tcPr>
          <w:p w14:paraId="06CED1B8">
            <w:pPr>
              <w:widowControl/>
              <w:jc w:val="center"/>
              <w:rPr>
                <w:rFonts w:hint="default"/>
                <w:color w:val="auto"/>
                <w:kern w:val="0"/>
                <w:sz w:val="21"/>
                <w:szCs w:val="21"/>
                <w:lang w:val="en-US" w:eastAsia="en-US"/>
              </w:rPr>
            </w:pPr>
          </w:p>
        </w:tc>
        <w:tc>
          <w:tcPr>
            <w:tcW w:w="1235" w:type="pct"/>
            <w:vAlign w:val="center"/>
          </w:tcPr>
          <w:p w14:paraId="6D6D3B56">
            <w:pPr>
              <w:widowControl/>
              <w:jc w:val="center"/>
              <w:rPr>
                <w:color w:val="auto"/>
                <w:kern w:val="0"/>
                <w:sz w:val="21"/>
                <w:szCs w:val="21"/>
                <w:lang w:val="en-US" w:eastAsia="en-US"/>
              </w:rPr>
            </w:pPr>
            <w:r>
              <w:rPr>
                <w:rFonts w:hint="eastAsia" w:ascii="Times New Roman" w:eastAsia="宋体"/>
                <w:color w:val="auto"/>
                <w:kern w:val="0"/>
                <w:sz w:val="21"/>
                <w:szCs w:val="21"/>
                <w:lang w:val="en-US" w:eastAsia="zh-CN"/>
              </w:rPr>
              <w:t>项目</w:t>
            </w:r>
            <w:r>
              <w:rPr>
                <w:rFonts w:hint="eastAsia"/>
                <w:color w:val="auto"/>
                <w:kern w:val="0"/>
                <w:sz w:val="21"/>
                <w:szCs w:val="21"/>
                <w:lang w:val="en-US" w:eastAsia="zh-CN"/>
              </w:rPr>
              <w:t>南侧</w:t>
            </w:r>
            <w:r>
              <w:rPr>
                <w:rFonts w:hint="eastAsia" w:ascii="Times New Roman" w:eastAsia="宋体"/>
                <w:color w:val="auto"/>
                <w:kern w:val="0"/>
                <w:sz w:val="21"/>
                <w:szCs w:val="21"/>
                <w:lang w:val="en-US" w:eastAsia="zh-CN"/>
              </w:rPr>
              <w:t>鱼塘</w:t>
            </w:r>
          </w:p>
        </w:tc>
        <w:tc>
          <w:tcPr>
            <w:tcW w:w="953" w:type="pct"/>
            <w:tcBorders>
              <w:right w:val="single" w:color="auto" w:sz="4" w:space="0"/>
            </w:tcBorders>
            <w:shd w:val="clear" w:color="auto" w:fill="auto"/>
            <w:vAlign w:val="center"/>
          </w:tcPr>
          <w:p w14:paraId="2B50C7CF">
            <w:pPr>
              <w:widowControl/>
              <w:jc w:val="center"/>
              <w:rPr>
                <w:rFonts w:hint="default" w:ascii="Times New Roman" w:hAnsi="Times New Roman" w:eastAsia="宋体" w:cs="Times New Roman"/>
                <w:color w:val="auto"/>
                <w:kern w:val="0"/>
                <w:sz w:val="21"/>
                <w:szCs w:val="21"/>
                <w:lang w:val="en-US" w:eastAsia="en-US" w:bidi="ar-SA"/>
              </w:rPr>
            </w:pPr>
            <w:r>
              <w:rPr>
                <w:rFonts w:hint="default"/>
                <w:color w:val="auto"/>
                <w:kern w:val="0"/>
                <w:sz w:val="21"/>
                <w:szCs w:val="21"/>
                <w:lang w:val="en-US" w:eastAsia="en-US"/>
              </w:rPr>
              <w:t>112.</w:t>
            </w:r>
            <w:r>
              <w:rPr>
                <w:rFonts w:hint="eastAsia"/>
                <w:color w:val="auto"/>
                <w:kern w:val="0"/>
                <w:sz w:val="21"/>
                <w:szCs w:val="21"/>
                <w:lang w:val="en-US" w:eastAsia="zh-CN"/>
              </w:rPr>
              <w:t>79015064</w:t>
            </w:r>
          </w:p>
        </w:tc>
        <w:tc>
          <w:tcPr>
            <w:tcW w:w="831" w:type="pct"/>
            <w:tcBorders>
              <w:left w:val="single" w:color="auto" w:sz="4" w:space="0"/>
            </w:tcBorders>
            <w:shd w:val="clear" w:color="auto" w:fill="auto"/>
            <w:vAlign w:val="center"/>
          </w:tcPr>
          <w:p w14:paraId="52089F50">
            <w:pPr>
              <w:widowControl/>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29.</w:t>
            </w:r>
            <w:r>
              <w:rPr>
                <w:rFonts w:hint="eastAsia"/>
                <w:color w:val="auto"/>
                <w:kern w:val="0"/>
                <w:sz w:val="21"/>
                <w:szCs w:val="21"/>
                <w:lang w:val="en-US" w:eastAsia="zh-CN"/>
              </w:rPr>
              <w:t>49325226</w:t>
            </w:r>
          </w:p>
        </w:tc>
        <w:tc>
          <w:tcPr>
            <w:tcW w:w="664" w:type="pct"/>
            <w:shd w:val="clear" w:color="auto" w:fill="auto"/>
            <w:vAlign w:val="center"/>
          </w:tcPr>
          <w:p w14:paraId="6EF940E8">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27</w:t>
            </w:r>
          </w:p>
        </w:tc>
      </w:tr>
      <w:tr w14:paraId="1C1CC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vAlign w:val="center"/>
          </w:tcPr>
          <w:p w14:paraId="24EB425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12</w:t>
            </w:r>
          </w:p>
        </w:tc>
        <w:tc>
          <w:tcPr>
            <w:tcW w:w="927" w:type="pct"/>
            <w:vMerge w:val="continue"/>
            <w:vAlign w:val="center"/>
          </w:tcPr>
          <w:p w14:paraId="630B9065">
            <w:pPr>
              <w:widowControl/>
              <w:jc w:val="center"/>
              <w:rPr>
                <w:rFonts w:hint="default"/>
                <w:color w:val="auto"/>
                <w:kern w:val="0"/>
                <w:sz w:val="21"/>
                <w:szCs w:val="21"/>
                <w:lang w:val="en-US" w:eastAsia="en-US"/>
              </w:rPr>
            </w:pPr>
          </w:p>
        </w:tc>
        <w:tc>
          <w:tcPr>
            <w:tcW w:w="1235" w:type="pct"/>
            <w:vAlign w:val="center"/>
          </w:tcPr>
          <w:p w14:paraId="71FCAA23">
            <w:pPr>
              <w:widowControl/>
              <w:jc w:val="center"/>
              <w:rPr>
                <w:color w:val="auto"/>
                <w:kern w:val="0"/>
                <w:sz w:val="21"/>
                <w:szCs w:val="21"/>
                <w:lang w:val="en-US" w:eastAsia="en-US"/>
              </w:rPr>
            </w:pPr>
            <w:r>
              <w:rPr>
                <w:rFonts w:hint="eastAsia"/>
                <w:color w:val="auto"/>
                <w:kern w:val="0"/>
                <w:sz w:val="21"/>
                <w:szCs w:val="21"/>
                <w:lang w:val="en-US" w:eastAsia="zh-CN"/>
              </w:rPr>
              <w:t>采桑湖南侧</w:t>
            </w:r>
            <w:r>
              <w:rPr>
                <w:rFonts w:hint="eastAsia" w:ascii="Times New Roman" w:eastAsia="宋体"/>
                <w:color w:val="auto"/>
                <w:kern w:val="0"/>
                <w:sz w:val="21"/>
                <w:szCs w:val="21"/>
                <w:lang w:val="en-US" w:eastAsia="zh-CN"/>
              </w:rPr>
              <w:t>鱼塘</w:t>
            </w:r>
          </w:p>
        </w:tc>
        <w:tc>
          <w:tcPr>
            <w:tcW w:w="953" w:type="pct"/>
            <w:tcBorders>
              <w:right w:val="single" w:color="auto" w:sz="4" w:space="0"/>
            </w:tcBorders>
            <w:shd w:val="clear" w:color="auto" w:fill="auto"/>
            <w:vAlign w:val="center"/>
          </w:tcPr>
          <w:p w14:paraId="0A79B4BF">
            <w:pPr>
              <w:widowControl/>
              <w:jc w:val="center"/>
              <w:rPr>
                <w:rFonts w:hint="default" w:ascii="Times New Roman" w:hAnsi="Times New Roman" w:eastAsia="宋体" w:cs="Times New Roman"/>
                <w:color w:val="auto"/>
                <w:kern w:val="0"/>
                <w:sz w:val="21"/>
                <w:szCs w:val="21"/>
                <w:lang w:val="en-US" w:eastAsia="en-US" w:bidi="ar-SA"/>
              </w:rPr>
            </w:pPr>
            <w:r>
              <w:rPr>
                <w:rFonts w:hint="default"/>
                <w:color w:val="auto"/>
                <w:kern w:val="0"/>
                <w:sz w:val="21"/>
                <w:szCs w:val="21"/>
                <w:lang w:val="en-US" w:eastAsia="en-US"/>
              </w:rPr>
              <w:t>112.</w:t>
            </w:r>
            <w:r>
              <w:rPr>
                <w:rFonts w:hint="eastAsia"/>
                <w:color w:val="auto"/>
                <w:kern w:val="0"/>
                <w:sz w:val="21"/>
                <w:szCs w:val="21"/>
                <w:lang w:val="en-US" w:eastAsia="zh-CN"/>
              </w:rPr>
              <w:t>78978586</w:t>
            </w:r>
          </w:p>
        </w:tc>
        <w:tc>
          <w:tcPr>
            <w:tcW w:w="831" w:type="pct"/>
            <w:tcBorders>
              <w:left w:val="single" w:color="auto" w:sz="4" w:space="0"/>
            </w:tcBorders>
            <w:shd w:val="clear" w:color="auto" w:fill="auto"/>
            <w:vAlign w:val="center"/>
          </w:tcPr>
          <w:p w14:paraId="236081D2">
            <w:pPr>
              <w:widowControl/>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lang w:val="en-US" w:eastAsia="en-US"/>
              </w:rPr>
              <w:t>29.</w:t>
            </w:r>
            <w:r>
              <w:rPr>
                <w:rFonts w:hint="eastAsia"/>
                <w:color w:val="auto"/>
                <w:kern w:val="0"/>
                <w:sz w:val="21"/>
                <w:szCs w:val="21"/>
                <w:lang w:val="en-US" w:eastAsia="zh-CN"/>
              </w:rPr>
              <w:t>50092823</w:t>
            </w:r>
          </w:p>
        </w:tc>
        <w:tc>
          <w:tcPr>
            <w:tcW w:w="664" w:type="pct"/>
            <w:shd w:val="clear" w:color="auto" w:fill="auto"/>
            <w:vAlign w:val="center"/>
          </w:tcPr>
          <w:p w14:paraId="7ADD6652">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26</w:t>
            </w:r>
          </w:p>
        </w:tc>
      </w:tr>
      <w:tr w14:paraId="25520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6C987CA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13</w:t>
            </w:r>
          </w:p>
        </w:tc>
        <w:tc>
          <w:tcPr>
            <w:tcW w:w="927" w:type="pct"/>
            <w:vMerge w:val="restart"/>
            <w:vAlign w:val="center"/>
          </w:tcPr>
          <w:p w14:paraId="57AC92A4">
            <w:pPr>
              <w:widowControl/>
              <w:jc w:val="center"/>
              <w:rPr>
                <w:color w:val="auto"/>
                <w:kern w:val="0"/>
                <w:sz w:val="21"/>
                <w:szCs w:val="21"/>
                <w:lang w:val="en-US" w:eastAsia="en-US"/>
              </w:rPr>
            </w:pPr>
            <w:r>
              <w:rPr>
                <w:rFonts w:hint="default"/>
                <w:color w:val="auto"/>
                <w:kern w:val="0"/>
                <w:sz w:val="21"/>
                <w:szCs w:val="21"/>
                <w:lang w:val="en-US" w:eastAsia="en-US"/>
              </w:rPr>
              <w:t>构树植物群落</w:t>
            </w:r>
          </w:p>
        </w:tc>
        <w:tc>
          <w:tcPr>
            <w:tcW w:w="1235" w:type="pct"/>
            <w:vAlign w:val="center"/>
          </w:tcPr>
          <w:p w14:paraId="26211ECC">
            <w:pPr>
              <w:widowControl/>
              <w:jc w:val="center"/>
              <w:rPr>
                <w:rFonts w:hint="default"/>
                <w:color w:val="auto"/>
                <w:kern w:val="0"/>
                <w:sz w:val="21"/>
                <w:szCs w:val="21"/>
                <w:lang w:val="en-US" w:eastAsia="en-US"/>
              </w:rPr>
            </w:pPr>
            <w:r>
              <w:rPr>
                <w:rFonts w:hint="eastAsia" w:ascii="Times New Roman" w:eastAsia="宋体"/>
                <w:color w:val="auto"/>
                <w:kern w:val="0"/>
                <w:sz w:val="21"/>
                <w:szCs w:val="21"/>
                <w:lang w:val="en-US" w:eastAsia="zh-CN"/>
              </w:rPr>
              <w:t>方台湖五组</w:t>
            </w:r>
            <w:r>
              <w:rPr>
                <w:rFonts w:hint="eastAsia"/>
                <w:color w:val="auto"/>
                <w:kern w:val="0"/>
                <w:sz w:val="21"/>
                <w:szCs w:val="21"/>
                <w:lang w:val="en-US" w:eastAsia="zh-CN"/>
              </w:rPr>
              <w:t>居民区</w:t>
            </w:r>
          </w:p>
        </w:tc>
        <w:tc>
          <w:tcPr>
            <w:tcW w:w="953" w:type="pct"/>
            <w:tcBorders>
              <w:right w:val="single" w:color="auto" w:sz="4" w:space="0"/>
            </w:tcBorders>
            <w:vAlign w:val="center"/>
          </w:tcPr>
          <w:p w14:paraId="1A3E9A4E">
            <w:pPr>
              <w:widowControl/>
              <w:jc w:val="center"/>
              <w:rPr>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79785395</w:t>
            </w:r>
          </w:p>
        </w:tc>
        <w:tc>
          <w:tcPr>
            <w:tcW w:w="831" w:type="pct"/>
            <w:tcBorders>
              <w:left w:val="single" w:color="auto" w:sz="4" w:space="0"/>
            </w:tcBorders>
            <w:vAlign w:val="center"/>
          </w:tcPr>
          <w:p w14:paraId="7D8FB146">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50003180</w:t>
            </w:r>
          </w:p>
        </w:tc>
        <w:tc>
          <w:tcPr>
            <w:tcW w:w="664" w:type="pct"/>
            <w:vAlign w:val="center"/>
          </w:tcPr>
          <w:p w14:paraId="26B16E65">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26</w:t>
            </w:r>
          </w:p>
        </w:tc>
      </w:tr>
      <w:tr w14:paraId="4465C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6E4BAA1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14</w:t>
            </w:r>
          </w:p>
        </w:tc>
        <w:tc>
          <w:tcPr>
            <w:tcW w:w="927" w:type="pct"/>
            <w:vMerge w:val="continue"/>
            <w:vAlign w:val="center"/>
          </w:tcPr>
          <w:p w14:paraId="797AA798">
            <w:pPr>
              <w:widowControl/>
              <w:jc w:val="center"/>
              <w:rPr>
                <w:rFonts w:hint="default"/>
                <w:color w:val="auto"/>
                <w:kern w:val="0"/>
                <w:sz w:val="21"/>
                <w:szCs w:val="21"/>
                <w:lang w:val="en-US" w:eastAsia="en-US"/>
              </w:rPr>
            </w:pPr>
          </w:p>
        </w:tc>
        <w:tc>
          <w:tcPr>
            <w:tcW w:w="1235" w:type="pct"/>
            <w:vAlign w:val="center"/>
          </w:tcPr>
          <w:p w14:paraId="41E5F8D6">
            <w:pPr>
              <w:widowControl/>
              <w:jc w:val="center"/>
              <w:rPr>
                <w:rFonts w:hint="default"/>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居民</w:t>
            </w:r>
            <w:r>
              <w:rPr>
                <w:rFonts w:hint="eastAsia" w:ascii="Times New Roman" w:eastAsia="宋体"/>
                <w:color w:val="auto"/>
                <w:kern w:val="0"/>
                <w:sz w:val="21"/>
                <w:szCs w:val="21"/>
                <w:lang w:val="en-US" w:eastAsia="zh-CN"/>
              </w:rPr>
              <w:t>区</w:t>
            </w:r>
          </w:p>
        </w:tc>
        <w:tc>
          <w:tcPr>
            <w:tcW w:w="953" w:type="pct"/>
            <w:tcBorders>
              <w:right w:val="single" w:color="auto" w:sz="4" w:space="0"/>
            </w:tcBorders>
            <w:vAlign w:val="center"/>
          </w:tcPr>
          <w:p w14:paraId="5E78C934">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78912067</w:t>
            </w:r>
          </w:p>
        </w:tc>
        <w:tc>
          <w:tcPr>
            <w:tcW w:w="831" w:type="pct"/>
            <w:tcBorders>
              <w:left w:val="single" w:color="auto" w:sz="4" w:space="0"/>
            </w:tcBorders>
            <w:vAlign w:val="center"/>
          </w:tcPr>
          <w:p w14:paraId="424EF730">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49493318</w:t>
            </w:r>
          </w:p>
        </w:tc>
        <w:tc>
          <w:tcPr>
            <w:tcW w:w="664" w:type="pct"/>
            <w:vAlign w:val="center"/>
          </w:tcPr>
          <w:p w14:paraId="4603D9DB">
            <w:pPr>
              <w:widowControl/>
              <w:jc w:val="center"/>
              <w:rPr>
                <w:rFonts w:hint="eastAsia"/>
                <w:color w:val="auto"/>
                <w:kern w:val="0"/>
                <w:sz w:val="21"/>
                <w:szCs w:val="21"/>
                <w:lang w:val="en-US" w:eastAsia="zh-CN"/>
              </w:rPr>
            </w:pPr>
            <w:r>
              <w:rPr>
                <w:rFonts w:hint="eastAsia"/>
                <w:color w:val="auto"/>
                <w:kern w:val="0"/>
                <w:sz w:val="21"/>
                <w:szCs w:val="21"/>
                <w:lang w:val="en-US" w:eastAsia="zh-CN"/>
              </w:rPr>
              <w:t>25</w:t>
            </w:r>
          </w:p>
        </w:tc>
      </w:tr>
      <w:tr w14:paraId="2583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0048B04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15</w:t>
            </w:r>
          </w:p>
        </w:tc>
        <w:tc>
          <w:tcPr>
            <w:tcW w:w="927" w:type="pct"/>
            <w:vMerge w:val="continue"/>
            <w:vAlign w:val="center"/>
          </w:tcPr>
          <w:p w14:paraId="1F7423EE">
            <w:pPr>
              <w:widowControl/>
              <w:jc w:val="center"/>
              <w:rPr>
                <w:rFonts w:hint="default"/>
                <w:color w:val="auto"/>
                <w:kern w:val="0"/>
                <w:sz w:val="21"/>
                <w:szCs w:val="21"/>
                <w:lang w:val="en-US" w:eastAsia="en-US"/>
              </w:rPr>
            </w:pPr>
          </w:p>
        </w:tc>
        <w:tc>
          <w:tcPr>
            <w:tcW w:w="1235" w:type="pct"/>
            <w:vAlign w:val="center"/>
          </w:tcPr>
          <w:p w14:paraId="6B98F2A8">
            <w:pPr>
              <w:widowControl/>
              <w:jc w:val="center"/>
              <w:rPr>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居民</w:t>
            </w:r>
            <w:r>
              <w:rPr>
                <w:rFonts w:hint="eastAsia" w:ascii="Times New Roman" w:eastAsia="宋体"/>
                <w:color w:val="auto"/>
                <w:kern w:val="0"/>
                <w:sz w:val="21"/>
                <w:szCs w:val="21"/>
                <w:lang w:val="en-US" w:eastAsia="zh-CN"/>
              </w:rPr>
              <w:t>区</w:t>
            </w:r>
          </w:p>
        </w:tc>
        <w:tc>
          <w:tcPr>
            <w:tcW w:w="953" w:type="pct"/>
            <w:tcBorders>
              <w:right w:val="single" w:color="auto" w:sz="4" w:space="0"/>
            </w:tcBorders>
            <w:vAlign w:val="center"/>
          </w:tcPr>
          <w:p w14:paraId="48348CA7">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78429257</w:t>
            </w:r>
          </w:p>
        </w:tc>
        <w:tc>
          <w:tcPr>
            <w:tcW w:w="831" w:type="pct"/>
            <w:tcBorders>
              <w:left w:val="single" w:color="auto" w:sz="4" w:space="0"/>
            </w:tcBorders>
            <w:vAlign w:val="center"/>
          </w:tcPr>
          <w:p w14:paraId="7C287566">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49442890</w:t>
            </w:r>
          </w:p>
        </w:tc>
        <w:tc>
          <w:tcPr>
            <w:tcW w:w="664" w:type="pct"/>
            <w:vAlign w:val="center"/>
          </w:tcPr>
          <w:p w14:paraId="549E59BF">
            <w:pPr>
              <w:widowControl/>
              <w:jc w:val="center"/>
              <w:rPr>
                <w:rFonts w:hint="eastAsia"/>
                <w:color w:val="auto"/>
                <w:kern w:val="0"/>
                <w:sz w:val="21"/>
                <w:szCs w:val="21"/>
                <w:lang w:val="en-US" w:eastAsia="zh-CN"/>
              </w:rPr>
            </w:pPr>
            <w:r>
              <w:rPr>
                <w:rFonts w:hint="eastAsia"/>
                <w:color w:val="auto"/>
                <w:kern w:val="0"/>
                <w:sz w:val="21"/>
                <w:szCs w:val="21"/>
                <w:lang w:val="en-US" w:eastAsia="zh-CN"/>
              </w:rPr>
              <w:t>26</w:t>
            </w:r>
          </w:p>
        </w:tc>
      </w:tr>
      <w:tr w14:paraId="2F62A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7" w:type="pct"/>
            <w:vAlign w:val="center"/>
          </w:tcPr>
          <w:p w14:paraId="03F97DE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16</w:t>
            </w:r>
          </w:p>
        </w:tc>
        <w:tc>
          <w:tcPr>
            <w:tcW w:w="927" w:type="pct"/>
            <w:vMerge w:val="continue"/>
            <w:vAlign w:val="center"/>
          </w:tcPr>
          <w:p w14:paraId="19E74BB7">
            <w:pPr>
              <w:widowControl/>
              <w:jc w:val="center"/>
              <w:rPr>
                <w:rFonts w:hint="default"/>
                <w:color w:val="auto"/>
                <w:kern w:val="0"/>
                <w:sz w:val="21"/>
                <w:szCs w:val="21"/>
                <w:lang w:val="en-US" w:eastAsia="en-US"/>
              </w:rPr>
            </w:pPr>
          </w:p>
        </w:tc>
        <w:tc>
          <w:tcPr>
            <w:tcW w:w="1235" w:type="pct"/>
            <w:vAlign w:val="center"/>
          </w:tcPr>
          <w:p w14:paraId="36E4259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采桑湖渔场居民区</w:t>
            </w:r>
          </w:p>
        </w:tc>
        <w:tc>
          <w:tcPr>
            <w:tcW w:w="953" w:type="pct"/>
            <w:tcBorders>
              <w:right w:val="single" w:color="auto" w:sz="4" w:space="0"/>
            </w:tcBorders>
            <w:vAlign w:val="center"/>
          </w:tcPr>
          <w:p w14:paraId="23CEA26B">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78802633</w:t>
            </w:r>
          </w:p>
        </w:tc>
        <w:tc>
          <w:tcPr>
            <w:tcW w:w="831" w:type="pct"/>
            <w:tcBorders>
              <w:left w:val="single" w:color="auto" w:sz="4" w:space="0"/>
            </w:tcBorders>
            <w:vAlign w:val="center"/>
          </w:tcPr>
          <w:p w14:paraId="63C6BF6A">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50294518</w:t>
            </w:r>
          </w:p>
        </w:tc>
        <w:tc>
          <w:tcPr>
            <w:tcW w:w="664" w:type="pct"/>
            <w:vAlign w:val="center"/>
          </w:tcPr>
          <w:p w14:paraId="69A1BA36">
            <w:pPr>
              <w:widowControl/>
              <w:jc w:val="center"/>
              <w:rPr>
                <w:rFonts w:hint="eastAsia"/>
                <w:color w:val="auto"/>
                <w:kern w:val="0"/>
                <w:sz w:val="21"/>
                <w:szCs w:val="21"/>
                <w:lang w:val="en-US" w:eastAsia="zh-CN"/>
              </w:rPr>
            </w:pPr>
            <w:r>
              <w:rPr>
                <w:rFonts w:hint="eastAsia"/>
                <w:color w:val="auto"/>
                <w:kern w:val="0"/>
                <w:sz w:val="21"/>
                <w:szCs w:val="21"/>
                <w:lang w:val="en-US" w:eastAsia="zh-CN"/>
              </w:rPr>
              <w:t>26</w:t>
            </w:r>
          </w:p>
        </w:tc>
      </w:tr>
      <w:tr w14:paraId="3CC7C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55677A1E">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17</w:t>
            </w:r>
          </w:p>
        </w:tc>
        <w:tc>
          <w:tcPr>
            <w:tcW w:w="927" w:type="pct"/>
            <w:vMerge w:val="restart"/>
            <w:vAlign w:val="center"/>
          </w:tcPr>
          <w:p w14:paraId="6297B6B2">
            <w:pPr>
              <w:widowControl/>
              <w:jc w:val="center"/>
              <w:rPr>
                <w:color w:val="auto"/>
                <w:kern w:val="0"/>
                <w:sz w:val="21"/>
                <w:szCs w:val="21"/>
                <w:lang w:val="en-US" w:eastAsia="en-US"/>
              </w:rPr>
            </w:pPr>
            <w:r>
              <w:rPr>
                <w:rFonts w:hint="default"/>
                <w:color w:val="auto"/>
                <w:kern w:val="0"/>
                <w:sz w:val="21"/>
                <w:szCs w:val="21"/>
                <w:lang w:val="en-US" w:eastAsia="en-US"/>
              </w:rPr>
              <w:t>加杨植物群落</w:t>
            </w:r>
          </w:p>
        </w:tc>
        <w:tc>
          <w:tcPr>
            <w:tcW w:w="1235" w:type="pct"/>
            <w:vAlign w:val="center"/>
          </w:tcPr>
          <w:p w14:paraId="4B282F47">
            <w:pPr>
              <w:widowControl/>
              <w:jc w:val="center"/>
              <w:rPr>
                <w:rFonts w:hint="default"/>
                <w:color w:val="auto"/>
                <w:kern w:val="0"/>
                <w:sz w:val="21"/>
                <w:szCs w:val="21"/>
                <w:lang w:val="en-US" w:eastAsia="en-US"/>
              </w:rPr>
            </w:pPr>
            <w:r>
              <w:rPr>
                <w:rFonts w:hint="eastAsia" w:ascii="Times New Roman" w:eastAsia="宋体"/>
                <w:color w:val="auto"/>
                <w:kern w:val="0"/>
                <w:sz w:val="21"/>
                <w:szCs w:val="21"/>
                <w:lang w:val="en-US" w:eastAsia="zh-CN"/>
              </w:rPr>
              <w:t>方台湖五组</w:t>
            </w:r>
            <w:r>
              <w:rPr>
                <w:rFonts w:hint="eastAsia"/>
                <w:color w:val="auto"/>
                <w:kern w:val="0"/>
                <w:sz w:val="21"/>
                <w:szCs w:val="21"/>
                <w:lang w:val="en-US" w:eastAsia="zh-CN"/>
              </w:rPr>
              <w:t>南侧道路</w:t>
            </w:r>
          </w:p>
        </w:tc>
        <w:tc>
          <w:tcPr>
            <w:tcW w:w="953" w:type="pct"/>
            <w:tcBorders>
              <w:right w:val="single" w:color="auto" w:sz="4" w:space="0"/>
            </w:tcBorders>
            <w:vAlign w:val="center"/>
          </w:tcPr>
          <w:p w14:paraId="629F64E3">
            <w:pPr>
              <w:widowControl/>
              <w:jc w:val="center"/>
              <w:rPr>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79206038</w:t>
            </w:r>
          </w:p>
        </w:tc>
        <w:tc>
          <w:tcPr>
            <w:tcW w:w="831" w:type="pct"/>
            <w:tcBorders>
              <w:left w:val="single" w:color="auto" w:sz="4" w:space="0"/>
            </w:tcBorders>
            <w:vAlign w:val="center"/>
          </w:tcPr>
          <w:p w14:paraId="5D50691C">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50079750</w:t>
            </w:r>
          </w:p>
        </w:tc>
        <w:tc>
          <w:tcPr>
            <w:tcW w:w="664" w:type="pct"/>
            <w:vAlign w:val="center"/>
          </w:tcPr>
          <w:p w14:paraId="01A982F7">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27</w:t>
            </w:r>
          </w:p>
        </w:tc>
      </w:tr>
      <w:tr w14:paraId="27C54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6EA0A8F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18</w:t>
            </w:r>
          </w:p>
        </w:tc>
        <w:tc>
          <w:tcPr>
            <w:tcW w:w="927" w:type="pct"/>
            <w:vMerge w:val="continue"/>
            <w:vAlign w:val="center"/>
          </w:tcPr>
          <w:p w14:paraId="4CB293EC">
            <w:pPr>
              <w:widowControl/>
              <w:jc w:val="center"/>
              <w:rPr>
                <w:rFonts w:hint="default"/>
                <w:color w:val="auto"/>
                <w:kern w:val="0"/>
                <w:sz w:val="21"/>
                <w:szCs w:val="21"/>
                <w:lang w:val="en-US" w:eastAsia="en-US"/>
              </w:rPr>
            </w:pPr>
          </w:p>
        </w:tc>
        <w:tc>
          <w:tcPr>
            <w:tcW w:w="1235" w:type="pct"/>
            <w:vAlign w:val="center"/>
          </w:tcPr>
          <w:p w14:paraId="75D04B7F">
            <w:pPr>
              <w:widowControl/>
              <w:jc w:val="center"/>
              <w:rPr>
                <w:rFonts w:hint="default"/>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居民点西侧道路</w:t>
            </w:r>
          </w:p>
        </w:tc>
        <w:tc>
          <w:tcPr>
            <w:tcW w:w="953" w:type="pct"/>
            <w:tcBorders>
              <w:right w:val="single" w:color="auto" w:sz="4" w:space="0"/>
            </w:tcBorders>
            <w:vAlign w:val="center"/>
          </w:tcPr>
          <w:p w14:paraId="3A8E9EA5">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78639555</w:t>
            </w:r>
          </w:p>
        </w:tc>
        <w:tc>
          <w:tcPr>
            <w:tcW w:w="831" w:type="pct"/>
            <w:tcBorders>
              <w:left w:val="single" w:color="auto" w:sz="4" w:space="0"/>
            </w:tcBorders>
            <w:vAlign w:val="center"/>
          </w:tcPr>
          <w:p w14:paraId="180D64D3">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54929160</w:t>
            </w:r>
          </w:p>
        </w:tc>
        <w:tc>
          <w:tcPr>
            <w:tcW w:w="664" w:type="pct"/>
            <w:vAlign w:val="center"/>
          </w:tcPr>
          <w:p w14:paraId="4DA51956">
            <w:pPr>
              <w:widowControl/>
              <w:jc w:val="center"/>
              <w:rPr>
                <w:rFonts w:hint="eastAsia"/>
                <w:color w:val="auto"/>
                <w:kern w:val="0"/>
                <w:sz w:val="21"/>
                <w:szCs w:val="21"/>
                <w:lang w:val="en-US" w:eastAsia="zh-CN"/>
              </w:rPr>
            </w:pPr>
            <w:r>
              <w:rPr>
                <w:rFonts w:hint="eastAsia"/>
                <w:color w:val="auto"/>
                <w:kern w:val="0"/>
                <w:sz w:val="21"/>
                <w:szCs w:val="21"/>
                <w:lang w:val="en-US" w:eastAsia="zh-CN"/>
              </w:rPr>
              <w:t>26</w:t>
            </w:r>
          </w:p>
        </w:tc>
      </w:tr>
      <w:tr w14:paraId="5EC1D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4B1297F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19</w:t>
            </w:r>
          </w:p>
        </w:tc>
        <w:tc>
          <w:tcPr>
            <w:tcW w:w="927" w:type="pct"/>
            <w:vMerge w:val="continue"/>
            <w:vAlign w:val="center"/>
          </w:tcPr>
          <w:p w14:paraId="6212B387">
            <w:pPr>
              <w:widowControl/>
              <w:jc w:val="center"/>
              <w:rPr>
                <w:rFonts w:hint="default"/>
                <w:color w:val="auto"/>
                <w:kern w:val="0"/>
                <w:sz w:val="21"/>
                <w:szCs w:val="21"/>
                <w:lang w:val="en-US" w:eastAsia="en-US"/>
              </w:rPr>
            </w:pPr>
          </w:p>
        </w:tc>
        <w:tc>
          <w:tcPr>
            <w:tcW w:w="1235" w:type="pct"/>
            <w:vAlign w:val="center"/>
          </w:tcPr>
          <w:p w14:paraId="39DE71B5">
            <w:pPr>
              <w:widowControl/>
              <w:jc w:val="center"/>
              <w:rPr>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居民点南侧道路</w:t>
            </w:r>
          </w:p>
        </w:tc>
        <w:tc>
          <w:tcPr>
            <w:tcW w:w="953" w:type="pct"/>
            <w:tcBorders>
              <w:right w:val="single" w:color="auto" w:sz="4" w:space="0"/>
            </w:tcBorders>
            <w:vAlign w:val="center"/>
          </w:tcPr>
          <w:p w14:paraId="510865A3">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78624535</w:t>
            </w:r>
          </w:p>
        </w:tc>
        <w:tc>
          <w:tcPr>
            <w:tcW w:w="831" w:type="pct"/>
            <w:tcBorders>
              <w:left w:val="single" w:color="auto" w:sz="4" w:space="0"/>
            </w:tcBorders>
            <w:vAlign w:val="center"/>
          </w:tcPr>
          <w:p w14:paraId="4E595C04">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50361749</w:t>
            </w:r>
          </w:p>
        </w:tc>
        <w:tc>
          <w:tcPr>
            <w:tcW w:w="664" w:type="pct"/>
            <w:vAlign w:val="center"/>
          </w:tcPr>
          <w:p w14:paraId="2423A3E2">
            <w:pPr>
              <w:widowControl/>
              <w:jc w:val="center"/>
              <w:rPr>
                <w:rFonts w:hint="eastAsia"/>
                <w:color w:val="auto"/>
                <w:kern w:val="0"/>
                <w:sz w:val="21"/>
                <w:szCs w:val="21"/>
                <w:lang w:val="en-US" w:eastAsia="zh-CN"/>
              </w:rPr>
            </w:pPr>
            <w:r>
              <w:rPr>
                <w:rFonts w:hint="eastAsia"/>
                <w:color w:val="auto"/>
                <w:kern w:val="0"/>
                <w:sz w:val="21"/>
                <w:szCs w:val="21"/>
                <w:lang w:val="en-US" w:eastAsia="zh-CN"/>
              </w:rPr>
              <w:t>25</w:t>
            </w:r>
          </w:p>
        </w:tc>
      </w:tr>
      <w:tr w14:paraId="1B898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87" w:type="pct"/>
            <w:vAlign w:val="center"/>
          </w:tcPr>
          <w:p w14:paraId="62100C9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927" w:type="pct"/>
            <w:vMerge w:val="continue"/>
            <w:vAlign w:val="center"/>
          </w:tcPr>
          <w:p w14:paraId="4E1D2036">
            <w:pPr>
              <w:widowControl/>
              <w:jc w:val="center"/>
              <w:rPr>
                <w:rFonts w:hint="default"/>
                <w:color w:val="auto"/>
                <w:kern w:val="0"/>
                <w:sz w:val="21"/>
                <w:szCs w:val="21"/>
                <w:lang w:val="en-US" w:eastAsia="en-US"/>
              </w:rPr>
            </w:pPr>
          </w:p>
        </w:tc>
        <w:tc>
          <w:tcPr>
            <w:tcW w:w="1235" w:type="pct"/>
            <w:vAlign w:val="center"/>
          </w:tcPr>
          <w:p w14:paraId="5AC6E0B2">
            <w:pPr>
              <w:widowControl/>
              <w:jc w:val="center"/>
              <w:rPr>
                <w:rFonts w:hint="default"/>
                <w:color w:val="auto"/>
                <w:kern w:val="0"/>
                <w:sz w:val="21"/>
                <w:szCs w:val="21"/>
                <w:lang w:val="en-US" w:eastAsia="en-US"/>
              </w:rPr>
            </w:pPr>
            <w:r>
              <w:rPr>
                <w:rFonts w:hint="eastAsia" w:ascii="Times New Roman" w:eastAsia="宋体"/>
                <w:color w:val="auto"/>
                <w:kern w:val="0"/>
                <w:sz w:val="21"/>
                <w:szCs w:val="21"/>
                <w:lang w:val="en-US" w:eastAsia="zh-CN"/>
              </w:rPr>
              <w:t>采桑湖渔场</w:t>
            </w:r>
            <w:r>
              <w:rPr>
                <w:rFonts w:hint="eastAsia"/>
                <w:color w:val="auto"/>
                <w:kern w:val="0"/>
                <w:sz w:val="21"/>
                <w:szCs w:val="21"/>
                <w:lang w:val="en-US" w:eastAsia="zh-CN"/>
              </w:rPr>
              <w:t>南侧道路</w:t>
            </w:r>
          </w:p>
        </w:tc>
        <w:tc>
          <w:tcPr>
            <w:tcW w:w="953" w:type="pct"/>
            <w:tcBorders>
              <w:right w:val="single" w:color="auto" w:sz="4" w:space="0"/>
            </w:tcBorders>
            <w:vAlign w:val="center"/>
          </w:tcPr>
          <w:p w14:paraId="4D59BE3A">
            <w:pPr>
              <w:widowControl/>
              <w:jc w:val="center"/>
              <w:rPr>
                <w:rFonts w:hint="default"/>
                <w:color w:val="auto"/>
                <w:kern w:val="0"/>
                <w:sz w:val="21"/>
                <w:szCs w:val="21"/>
                <w:lang w:val="en-US" w:eastAsia="en-US"/>
              </w:rPr>
            </w:pPr>
            <w:r>
              <w:rPr>
                <w:rFonts w:hint="default"/>
                <w:color w:val="auto"/>
                <w:kern w:val="0"/>
                <w:sz w:val="21"/>
                <w:szCs w:val="21"/>
                <w:lang w:val="en-US" w:eastAsia="en-US"/>
              </w:rPr>
              <w:t>112.</w:t>
            </w:r>
            <w:r>
              <w:rPr>
                <w:rFonts w:hint="eastAsia"/>
                <w:color w:val="auto"/>
                <w:kern w:val="0"/>
                <w:sz w:val="21"/>
                <w:szCs w:val="21"/>
                <w:lang w:val="en-US" w:eastAsia="zh-CN"/>
              </w:rPr>
              <w:t>7894454</w:t>
            </w:r>
          </w:p>
        </w:tc>
        <w:tc>
          <w:tcPr>
            <w:tcW w:w="831" w:type="pct"/>
            <w:tcBorders>
              <w:left w:val="single" w:color="auto" w:sz="4" w:space="0"/>
            </w:tcBorders>
            <w:vAlign w:val="center"/>
          </w:tcPr>
          <w:p w14:paraId="1AAC84FA">
            <w:pPr>
              <w:widowControl/>
              <w:jc w:val="center"/>
              <w:rPr>
                <w:rFonts w:hint="default"/>
                <w:color w:val="auto"/>
                <w:kern w:val="0"/>
                <w:sz w:val="21"/>
                <w:szCs w:val="21"/>
                <w:lang w:val="en-US" w:eastAsia="en-US"/>
              </w:rPr>
            </w:pPr>
            <w:r>
              <w:rPr>
                <w:rFonts w:hint="default"/>
                <w:color w:val="auto"/>
                <w:kern w:val="0"/>
                <w:sz w:val="21"/>
                <w:szCs w:val="21"/>
                <w:lang w:val="en-US" w:eastAsia="en-US"/>
              </w:rPr>
              <w:t>29.</w:t>
            </w:r>
            <w:r>
              <w:rPr>
                <w:rFonts w:hint="eastAsia"/>
                <w:color w:val="auto"/>
                <w:kern w:val="0"/>
                <w:sz w:val="21"/>
                <w:szCs w:val="21"/>
                <w:lang w:val="en-US" w:eastAsia="zh-CN"/>
              </w:rPr>
              <w:t>49519465</w:t>
            </w:r>
          </w:p>
        </w:tc>
        <w:tc>
          <w:tcPr>
            <w:tcW w:w="664" w:type="pct"/>
            <w:vAlign w:val="center"/>
          </w:tcPr>
          <w:p w14:paraId="4181DC29">
            <w:pPr>
              <w:widowControl/>
              <w:jc w:val="center"/>
              <w:rPr>
                <w:rFonts w:hint="eastAsia"/>
                <w:color w:val="auto"/>
                <w:kern w:val="0"/>
                <w:sz w:val="21"/>
                <w:szCs w:val="21"/>
                <w:lang w:val="en-US" w:eastAsia="zh-CN"/>
              </w:rPr>
            </w:pPr>
            <w:r>
              <w:rPr>
                <w:rFonts w:hint="eastAsia"/>
                <w:color w:val="auto"/>
                <w:kern w:val="0"/>
                <w:sz w:val="21"/>
                <w:szCs w:val="21"/>
                <w:lang w:val="en-US" w:eastAsia="zh-CN"/>
              </w:rPr>
              <w:t>26</w:t>
            </w:r>
          </w:p>
        </w:tc>
      </w:tr>
      <w:tr w14:paraId="44C19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Align w:val="center"/>
          </w:tcPr>
          <w:p w14:paraId="13A2595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21</w:t>
            </w:r>
          </w:p>
        </w:tc>
        <w:tc>
          <w:tcPr>
            <w:tcW w:w="927" w:type="pct"/>
            <w:vMerge w:val="restart"/>
            <w:vAlign w:val="center"/>
          </w:tcPr>
          <w:p w14:paraId="7BAA1C39">
            <w:pPr>
              <w:widowControl/>
              <w:jc w:val="center"/>
              <w:rPr>
                <w:color w:val="auto"/>
                <w:kern w:val="0"/>
                <w:sz w:val="21"/>
                <w:szCs w:val="21"/>
                <w:lang w:val="en-US" w:eastAsia="en-US"/>
              </w:rPr>
            </w:pPr>
            <w:r>
              <w:rPr>
                <w:rFonts w:hint="default"/>
                <w:color w:val="auto"/>
                <w:kern w:val="0"/>
                <w:sz w:val="21"/>
                <w:szCs w:val="21"/>
                <w:lang w:val="en-US" w:eastAsia="en-US"/>
              </w:rPr>
              <w:t>桑植物群落样</w:t>
            </w:r>
          </w:p>
        </w:tc>
        <w:tc>
          <w:tcPr>
            <w:tcW w:w="1235" w:type="pct"/>
            <w:vAlign w:val="center"/>
          </w:tcPr>
          <w:p w14:paraId="3481FA1B">
            <w:pPr>
              <w:widowControl/>
              <w:jc w:val="center"/>
              <w:rPr>
                <w:rFonts w:hint="default"/>
                <w:color w:val="auto"/>
                <w:kern w:val="0"/>
                <w:sz w:val="21"/>
                <w:szCs w:val="21"/>
                <w:lang w:val="en-US" w:eastAsia="en-US"/>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现有农田两侧</w:t>
            </w:r>
          </w:p>
        </w:tc>
        <w:tc>
          <w:tcPr>
            <w:tcW w:w="953" w:type="pct"/>
            <w:tcBorders>
              <w:right w:val="single" w:color="auto" w:sz="4" w:space="0"/>
            </w:tcBorders>
            <w:vAlign w:val="center"/>
          </w:tcPr>
          <w:p w14:paraId="4401792A">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w:t>
            </w:r>
            <w:r>
              <w:rPr>
                <w:rFonts w:hint="eastAsia"/>
                <w:color w:val="auto"/>
                <w:kern w:val="0"/>
                <w:sz w:val="21"/>
                <w:szCs w:val="21"/>
                <w:lang w:val="en-US" w:eastAsia="zh-CN"/>
              </w:rPr>
              <w:t>78655648</w:t>
            </w:r>
          </w:p>
        </w:tc>
        <w:tc>
          <w:tcPr>
            <w:tcW w:w="831" w:type="pct"/>
            <w:tcBorders>
              <w:left w:val="single" w:color="auto" w:sz="4" w:space="0"/>
            </w:tcBorders>
            <w:vAlign w:val="center"/>
          </w:tcPr>
          <w:p w14:paraId="519ACE60">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49322424</w:t>
            </w:r>
          </w:p>
        </w:tc>
        <w:tc>
          <w:tcPr>
            <w:tcW w:w="664" w:type="pct"/>
            <w:vAlign w:val="center"/>
          </w:tcPr>
          <w:p w14:paraId="5D32AE7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29</w:t>
            </w:r>
          </w:p>
        </w:tc>
      </w:tr>
      <w:tr w14:paraId="05E53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Align w:val="center"/>
          </w:tcPr>
          <w:p w14:paraId="1174CCE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22</w:t>
            </w:r>
          </w:p>
        </w:tc>
        <w:tc>
          <w:tcPr>
            <w:tcW w:w="927" w:type="pct"/>
            <w:vMerge w:val="continue"/>
            <w:vAlign w:val="center"/>
          </w:tcPr>
          <w:p w14:paraId="0520D76E">
            <w:pPr>
              <w:widowControl/>
              <w:jc w:val="center"/>
              <w:rPr>
                <w:rFonts w:hint="default"/>
                <w:color w:val="auto"/>
                <w:kern w:val="0"/>
                <w:sz w:val="21"/>
                <w:szCs w:val="21"/>
                <w:lang w:val="en-US" w:eastAsia="en-US"/>
              </w:rPr>
            </w:pPr>
          </w:p>
        </w:tc>
        <w:tc>
          <w:tcPr>
            <w:tcW w:w="1235" w:type="pct"/>
            <w:vAlign w:val="center"/>
          </w:tcPr>
          <w:p w14:paraId="2C089A83">
            <w:pPr>
              <w:widowControl/>
              <w:jc w:val="center"/>
              <w:rPr>
                <w:color w:val="auto"/>
                <w:kern w:val="0"/>
                <w:sz w:val="21"/>
                <w:szCs w:val="21"/>
                <w:lang w:val="en-US" w:eastAsia="en-US"/>
              </w:rPr>
            </w:pPr>
            <w:r>
              <w:rPr>
                <w:rFonts w:hint="eastAsia" w:cs="Times New Roman"/>
                <w:b w:val="0"/>
                <w:bCs w:val="0"/>
                <w:caps w:val="0"/>
                <w:smallCaps w:val="0"/>
                <w:color w:val="auto"/>
                <w:spacing w:val="0"/>
                <w:w w:val="100"/>
                <w:position w:val="0"/>
                <w:sz w:val="21"/>
                <w:szCs w:val="21"/>
                <w:highlight w:val="none"/>
                <w:u w:val="none" w:color="auto"/>
                <w:lang w:val="en-US" w:eastAsia="zh-CN" w:bidi="ar-SA"/>
              </w:rPr>
              <w:t>方台湖五组农田两侧</w:t>
            </w:r>
          </w:p>
        </w:tc>
        <w:tc>
          <w:tcPr>
            <w:tcW w:w="953" w:type="pct"/>
            <w:tcBorders>
              <w:right w:val="single" w:color="auto" w:sz="4" w:space="0"/>
            </w:tcBorders>
            <w:vAlign w:val="center"/>
          </w:tcPr>
          <w:p w14:paraId="14116DF6">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8533340</w:t>
            </w:r>
          </w:p>
        </w:tc>
        <w:tc>
          <w:tcPr>
            <w:tcW w:w="831" w:type="pct"/>
            <w:tcBorders>
              <w:left w:val="single" w:color="auto" w:sz="4" w:space="0"/>
            </w:tcBorders>
            <w:vAlign w:val="center"/>
          </w:tcPr>
          <w:p w14:paraId="5E3FBCB5">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50106830</w:t>
            </w:r>
          </w:p>
        </w:tc>
        <w:tc>
          <w:tcPr>
            <w:tcW w:w="664" w:type="pct"/>
            <w:vAlign w:val="center"/>
          </w:tcPr>
          <w:p w14:paraId="21615354">
            <w:pPr>
              <w:widowControl/>
              <w:jc w:val="center"/>
              <w:rPr>
                <w:rFonts w:hint="eastAsia"/>
                <w:color w:val="auto"/>
                <w:kern w:val="0"/>
                <w:sz w:val="21"/>
                <w:szCs w:val="21"/>
                <w:lang w:val="en-US" w:eastAsia="zh-CN"/>
              </w:rPr>
            </w:pPr>
            <w:r>
              <w:rPr>
                <w:rFonts w:hint="eastAsia"/>
                <w:color w:val="auto"/>
                <w:kern w:val="0"/>
                <w:sz w:val="21"/>
                <w:szCs w:val="21"/>
                <w:lang w:val="en-US" w:eastAsia="zh-CN"/>
              </w:rPr>
              <w:t>26</w:t>
            </w:r>
          </w:p>
        </w:tc>
      </w:tr>
      <w:tr w14:paraId="7EE89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Align w:val="center"/>
          </w:tcPr>
          <w:p w14:paraId="48265FD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23</w:t>
            </w:r>
          </w:p>
        </w:tc>
        <w:tc>
          <w:tcPr>
            <w:tcW w:w="927" w:type="pct"/>
            <w:vMerge w:val="continue"/>
            <w:vAlign w:val="center"/>
          </w:tcPr>
          <w:p w14:paraId="2B1EE09F">
            <w:pPr>
              <w:widowControl/>
              <w:jc w:val="center"/>
              <w:rPr>
                <w:rFonts w:hint="default"/>
                <w:color w:val="auto"/>
                <w:kern w:val="0"/>
                <w:sz w:val="21"/>
                <w:szCs w:val="21"/>
                <w:lang w:val="en-US" w:eastAsia="en-US"/>
              </w:rPr>
            </w:pPr>
          </w:p>
        </w:tc>
        <w:tc>
          <w:tcPr>
            <w:tcW w:w="1235" w:type="pct"/>
            <w:vAlign w:val="center"/>
          </w:tcPr>
          <w:p w14:paraId="18989F45">
            <w:pPr>
              <w:widowControl/>
              <w:jc w:val="center"/>
              <w:rPr>
                <w:color w:val="auto"/>
                <w:kern w:val="0"/>
                <w:sz w:val="21"/>
                <w:szCs w:val="21"/>
                <w:lang w:val="en-US" w:eastAsia="en-US"/>
              </w:rPr>
            </w:pPr>
            <w:r>
              <w:rPr>
                <w:rFonts w:hint="eastAsia" w:cs="Times New Roman"/>
                <w:b w:val="0"/>
                <w:bCs w:val="0"/>
                <w:caps w:val="0"/>
                <w:smallCaps w:val="0"/>
                <w:color w:val="auto"/>
                <w:spacing w:val="0"/>
                <w:w w:val="100"/>
                <w:position w:val="0"/>
                <w:sz w:val="21"/>
                <w:szCs w:val="21"/>
                <w:highlight w:val="none"/>
                <w:u w:val="none" w:color="auto"/>
                <w:lang w:val="en-US" w:eastAsia="zh-CN" w:bidi="ar-SA"/>
              </w:rPr>
              <w:t>采桑湖西侧农田两侧</w:t>
            </w:r>
          </w:p>
        </w:tc>
        <w:tc>
          <w:tcPr>
            <w:tcW w:w="953" w:type="pct"/>
            <w:tcBorders>
              <w:right w:val="single" w:color="auto" w:sz="4" w:space="0"/>
            </w:tcBorders>
            <w:vAlign w:val="center"/>
          </w:tcPr>
          <w:p w14:paraId="55BE3312">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8642774</w:t>
            </w:r>
          </w:p>
        </w:tc>
        <w:tc>
          <w:tcPr>
            <w:tcW w:w="831" w:type="pct"/>
            <w:tcBorders>
              <w:left w:val="single" w:color="auto" w:sz="4" w:space="0"/>
            </w:tcBorders>
            <w:vAlign w:val="center"/>
          </w:tcPr>
          <w:p w14:paraId="6357A636">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50262770</w:t>
            </w:r>
          </w:p>
        </w:tc>
        <w:tc>
          <w:tcPr>
            <w:tcW w:w="664" w:type="pct"/>
            <w:vAlign w:val="center"/>
          </w:tcPr>
          <w:p w14:paraId="5891DCA2">
            <w:pPr>
              <w:widowControl/>
              <w:jc w:val="center"/>
              <w:rPr>
                <w:rFonts w:hint="eastAsia"/>
                <w:color w:val="auto"/>
                <w:kern w:val="0"/>
                <w:sz w:val="21"/>
                <w:szCs w:val="21"/>
                <w:lang w:val="en-US" w:eastAsia="zh-CN"/>
              </w:rPr>
            </w:pPr>
            <w:r>
              <w:rPr>
                <w:rFonts w:hint="eastAsia"/>
                <w:color w:val="auto"/>
                <w:kern w:val="0"/>
                <w:sz w:val="21"/>
                <w:szCs w:val="21"/>
                <w:lang w:val="en-US" w:eastAsia="zh-CN"/>
              </w:rPr>
              <w:t>28</w:t>
            </w:r>
          </w:p>
        </w:tc>
      </w:tr>
      <w:tr w14:paraId="7DE29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Align w:val="center"/>
          </w:tcPr>
          <w:p w14:paraId="7DD9FA52">
            <w:pPr>
              <w:widowControl/>
              <w:jc w:val="center"/>
              <w:rPr>
                <w:rFonts w:hint="default" w:eastAsia="宋体"/>
                <w:color w:val="auto"/>
                <w:kern w:val="0"/>
                <w:sz w:val="21"/>
                <w:szCs w:val="21"/>
                <w:lang w:val="en-US" w:eastAsia="zh-CN"/>
              </w:rPr>
            </w:pPr>
            <w:r>
              <w:rPr>
                <w:rFonts w:hint="eastAsia" w:ascii="Times New Roman" w:eastAsia="宋体"/>
                <w:color w:val="auto"/>
                <w:kern w:val="0"/>
                <w:sz w:val="21"/>
                <w:szCs w:val="21"/>
                <w:lang w:val="en-US" w:eastAsia="zh-CN"/>
              </w:rPr>
              <w:t>24</w:t>
            </w:r>
          </w:p>
        </w:tc>
        <w:tc>
          <w:tcPr>
            <w:tcW w:w="927" w:type="pct"/>
            <w:vMerge w:val="continue"/>
            <w:vAlign w:val="center"/>
          </w:tcPr>
          <w:p w14:paraId="6234B6A2">
            <w:pPr>
              <w:widowControl/>
              <w:jc w:val="center"/>
              <w:rPr>
                <w:rFonts w:hint="default"/>
                <w:color w:val="auto"/>
                <w:kern w:val="0"/>
                <w:sz w:val="21"/>
                <w:szCs w:val="21"/>
                <w:lang w:val="en-US" w:eastAsia="en-US"/>
              </w:rPr>
            </w:pPr>
          </w:p>
        </w:tc>
        <w:tc>
          <w:tcPr>
            <w:tcW w:w="1235" w:type="pct"/>
            <w:vAlign w:val="center"/>
          </w:tcPr>
          <w:p w14:paraId="3FB24E5C">
            <w:pPr>
              <w:widowControl/>
              <w:jc w:val="center"/>
              <w:rPr>
                <w:color w:val="auto"/>
                <w:kern w:val="0"/>
                <w:sz w:val="21"/>
                <w:szCs w:val="21"/>
                <w:lang w:val="en-US" w:eastAsia="en-US"/>
              </w:rPr>
            </w:pPr>
            <w:r>
              <w:rPr>
                <w:rFonts w:hint="eastAsia" w:cs="Times New Roman"/>
                <w:b w:val="0"/>
                <w:bCs w:val="0"/>
                <w:caps w:val="0"/>
                <w:smallCaps w:val="0"/>
                <w:color w:val="auto"/>
                <w:spacing w:val="0"/>
                <w:w w:val="100"/>
                <w:position w:val="0"/>
                <w:sz w:val="21"/>
                <w:szCs w:val="21"/>
                <w:highlight w:val="none"/>
                <w:u w:val="none" w:color="auto"/>
                <w:lang w:val="en-US" w:eastAsia="zh-CN" w:bidi="ar-SA"/>
              </w:rPr>
              <w:t>采桑湖南侧农田两侧</w:t>
            </w:r>
          </w:p>
        </w:tc>
        <w:tc>
          <w:tcPr>
            <w:tcW w:w="953" w:type="pct"/>
            <w:tcBorders>
              <w:right w:val="single" w:color="auto" w:sz="4" w:space="0"/>
            </w:tcBorders>
            <w:vAlign w:val="center"/>
          </w:tcPr>
          <w:p w14:paraId="1EAD01E5">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112.79</w:t>
            </w:r>
            <w:r>
              <w:rPr>
                <w:rFonts w:hint="eastAsia"/>
                <w:color w:val="auto"/>
                <w:kern w:val="0"/>
                <w:sz w:val="21"/>
                <w:szCs w:val="21"/>
                <w:lang w:val="en-US" w:eastAsia="zh-CN"/>
              </w:rPr>
              <w:t>671669</w:t>
            </w:r>
          </w:p>
        </w:tc>
        <w:tc>
          <w:tcPr>
            <w:tcW w:w="831" w:type="pct"/>
            <w:tcBorders>
              <w:left w:val="single" w:color="auto" w:sz="4" w:space="0"/>
            </w:tcBorders>
            <w:vAlign w:val="center"/>
          </w:tcPr>
          <w:p w14:paraId="012641D8">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49927543</w:t>
            </w:r>
          </w:p>
        </w:tc>
        <w:tc>
          <w:tcPr>
            <w:tcW w:w="664" w:type="pct"/>
            <w:vAlign w:val="center"/>
          </w:tcPr>
          <w:p w14:paraId="4A0D3649">
            <w:pPr>
              <w:widowControl/>
              <w:jc w:val="center"/>
              <w:rPr>
                <w:rFonts w:hint="eastAsia"/>
                <w:color w:val="auto"/>
                <w:kern w:val="0"/>
                <w:sz w:val="21"/>
                <w:szCs w:val="21"/>
                <w:lang w:val="en-US" w:eastAsia="zh-CN"/>
              </w:rPr>
            </w:pPr>
            <w:r>
              <w:rPr>
                <w:rFonts w:hint="eastAsia"/>
                <w:color w:val="auto"/>
                <w:kern w:val="0"/>
                <w:sz w:val="21"/>
                <w:szCs w:val="21"/>
                <w:lang w:val="en-US" w:eastAsia="zh-CN"/>
              </w:rPr>
              <w:t>28</w:t>
            </w:r>
          </w:p>
        </w:tc>
      </w:tr>
      <w:tr w14:paraId="1D356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shd w:val="clear" w:color="auto" w:fill="auto"/>
            <w:vAlign w:val="center"/>
          </w:tcPr>
          <w:p w14:paraId="744240B6">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25</w:t>
            </w:r>
          </w:p>
        </w:tc>
        <w:tc>
          <w:tcPr>
            <w:tcW w:w="927" w:type="pct"/>
            <w:vMerge w:val="restart"/>
            <w:vAlign w:val="center"/>
          </w:tcPr>
          <w:p w14:paraId="224D70E0">
            <w:pPr>
              <w:widowControl/>
              <w:jc w:val="center"/>
              <w:rPr>
                <w:color w:val="auto"/>
                <w:kern w:val="0"/>
                <w:sz w:val="21"/>
                <w:szCs w:val="21"/>
                <w:lang w:val="en-US" w:eastAsia="en-US"/>
              </w:rPr>
            </w:pPr>
            <w:r>
              <w:rPr>
                <w:rFonts w:hint="default"/>
                <w:color w:val="auto"/>
                <w:kern w:val="0"/>
                <w:sz w:val="21"/>
                <w:szCs w:val="21"/>
                <w:lang w:val="en-US" w:eastAsia="en-US"/>
              </w:rPr>
              <w:t>狗牙根植物群落</w:t>
            </w:r>
          </w:p>
        </w:tc>
        <w:tc>
          <w:tcPr>
            <w:tcW w:w="1235" w:type="pct"/>
            <w:vAlign w:val="center"/>
          </w:tcPr>
          <w:p w14:paraId="3BCAAEDC">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S217道路西侧（</w:t>
            </w:r>
            <w:r>
              <w:rPr>
                <w:rFonts w:hint="eastAsia" w:cs="Times New Roman"/>
                <w:b w:val="0"/>
                <w:bCs w:val="0"/>
                <w:caps w:val="0"/>
                <w:smallCaps w:val="0"/>
                <w:color w:val="auto"/>
                <w:spacing w:val="0"/>
                <w:w w:val="100"/>
                <w:position w:val="0"/>
                <w:sz w:val="21"/>
                <w:szCs w:val="21"/>
                <w:highlight w:val="none"/>
                <w:u w:val="none" w:color="auto"/>
                <w:lang w:val="en-US" w:eastAsia="zh-CN" w:bidi="ar-SA"/>
              </w:rPr>
              <w:t>方台湖五组</w:t>
            </w:r>
            <w:r>
              <w:rPr>
                <w:rFonts w:hint="eastAsia"/>
                <w:color w:val="auto"/>
                <w:kern w:val="0"/>
                <w:sz w:val="21"/>
                <w:szCs w:val="21"/>
                <w:lang w:val="en-US" w:eastAsia="zh-CN"/>
              </w:rPr>
              <w:t>）</w:t>
            </w:r>
          </w:p>
        </w:tc>
        <w:tc>
          <w:tcPr>
            <w:tcW w:w="953" w:type="pct"/>
            <w:tcBorders>
              <w:right w:val="single" w:color="auto" w:sz="4" w:space="0"/>
            </w:tcBorders>
            <w:vAlign w:val="center"/>
          </w:tcPr>
          <w:p w14:paraId="4D61BDA4">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w:t>
            </w:r>
            <w:r>
              <w:rPr>
                <w:rFonts w:hint="eastAsia"/>
                <w:color w:val="auto"/>
                <w:kern w:val="0"/>
                <w:sz w:val="21"/>
                <w:szCs w:val="21"/>
                <w:lang w:val="en-US" w:eastAsia="zh-CN"/>
              </w:rPr>
              <w:t>79697418</w:t>
            </w:r>
          </w:p>
        </w:tc>
        <w:tc>
          <w:tcPr>
            <w:tcW w:w="831" w:type="pct"/>
            <w:tcBorders>
              <w:left w:val="single" w:color="auto" w:sz="4" w:space="0"/>
            </w:tcBorders>
            <w:vAlign w:val="center"/>
          </w:tcPr>
          <w:p w14:paraId="190C0A4B">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29.49</w:t>
            </w:r>
            <w:r>
              <w:rPr>
                <w:rFonts w:hint="eastAsia"/>
                <w:color w:val="auto"/>
                <w:kern w:val="0"/>
                <w:sz w:val="21"/>
                <w:szCs w:val="21"/>
                <w:lang w:val="en-US" w:eastAsia="zh-CN"/>
              </w:rPr>
              <w:t>825758</w:t>
            </w:r>
          </w:p>
        </w:tc>
        <w:tc>
          <w:tcPr>
            <w:tcW w:w="664" w:type="pct"/>
            <w:vAlign w:val="center"/>
          </w:tcPr>
          <w:p w14:paraId="0CD7B390">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25</w:t>
            </w:r>
          </w:p>
        </w:tc>
      </w:tr>
      <w:tr w14:paraId="6176D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shd w:val="clear" w:color="auto" w:fill="auto"/>
            <w:vAlign w:val="center"/>
          </w:tcPr>
          <w:p w14:paraId="26920B47">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26</w:t>
            </w:r>
          </w:p>
        </w:tc>
        <w:tc>
          <w:tcPr>
            <w:tcW w:w="927" w:type="pct"/>
            <w:vMerge w:val="continue"/>
            <w:vAlign w:val="center"/>
          </w:tcPr>
          <w:p w14:paraId="675C1008">
            <w:pPr>
              <w:widowControl/>
              <w:jc w:val="center"/>
              <w:rPr>
                <w:rFonts w:hint="default"/>
                <w:color w:val="auto"/>
                <w:kern w:val="0"/>
                <w:sz w:val="21"/>
                <w:szCs w:val="21"/>
                <w:lang w:val="en-US" w:eastAsia="en-US"/>
              </w:rPr>
            </w:pPr>
          </w:p>
        </w:tc>
        <w:tc>
          <w:tcPr>
            <w:tcW w:w="1235" w:type="pct"/>
            <w:vAlign w:val="center"/>
          </w:tcPr>
          <w:p w14:paraId="6B977F24">
            <w:pPr>
              <w:widowControl/>
              <w:jc w:val="center"/>
              <w:rPr>
                <w:rFonts w:hint="default"/>
                <w:color w:val="auto"/>
                <w:kern w:val="0"/>
                <w:sz w:val="21"/>
                <w:szCs w:val="21"/>
                <w:lang w:val="en-US" w:eastAsia="en-US"/>
              </w:rPr>
            </w:pPr>
            <w:r>
              <w:rPr>
                <w:rFonts w:hint="eastAsia" w:ascii="Times New Roman" w:eastAsia="宋体"/>
                <w:color w:val="auto"/>
                <w:kern w:val="0"/>
                <w:sz w:val="21"/>
                <w:szCs w:val="21"/>
                <w:lang w:val="en-US" w:eastAsia="zh-CN"/>
              </w:rPr>
              <w:t>S217道路</w:t>
            </w:r>
            <w:r>
              <w:rPr>
                <w:rFonts w:hint="eastAsia"/>
                <w:color w:val="auto"/>
                <w:kern w:val="0"/>
                <w:sz w:val="21"/>
                <w:szCs w:val="21"/>
                <w:lang w:val="en-US" w:eastAsia="zh-CN"/>
              </w:rPr>
              <w:t>西侧（</w:t>
            </w: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olor w:val="auto"/>
                <w:kern w:val="0"/>
                <w:sz w:val="21"/>
                <w:szCs w:val="21"/>
                <w:lang w:val="en-US" w:eastAsia="zh-CN"/>
              </w:rPr>
              <w:t>）</w:t>
            </w:r>
          </w:p>
        </w:tc>
        <w:tc>
          <w:tcPr>
            <w:tcW w:w="953" w:type="pct"/>
            <w:tcBorders>
              <w:right w:val="single" w:color="auto" w:sz="4" w:space="0"/>
            </w:tcBorders>
            <w:vAlign w:val="center"/>
          </w:tcPr>
          <w:p w14:paraId="568E0D40">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8920650</w:t>
            </w:r>
          </w:p>
        </w:tc>
        <w:tc>
          <w:tcPr>
            <w:tcW w:w="831" w:type="pct"/>
            <w:tcBorders>
              <w:left w:val="single" w:color="auto" w:sz="4" w:space="0"/>
            </w:tcBorders>
            <w:vAlign w:val="center"/>
          </w:tcPr>
          <w:p w14:paraId="7F899C6F">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29.49</w:t>
            </w:r>
            <w:r>
              <w:rPr>
                <w:rFonts w:hint="eastAsia"/>
                <w:color w:val="auto"/>
                <w:kern w:val="0"/>
                <w:sz w:val="21"/>
                <w:szCs w:val="21"/>
                <w:lang w:val="en-US" w:eastAsia="zh-CN"/>
              </w:rPr>
              <w:t>239311</w:t>
            </w:r>
          </w:p>
        </w:tc>
        <w:tc>
          <w:tcPr>
            <w:tcW w:w="664" w:type="pct"/>
            <w:vAlign w:val="center"/>
          </w:tcPr>
          <w:p w14:paraId="25FD37A5">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68BCA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shd w:val="clear" w:color="auto" w:fill="auto"/>
            <w:vAlign w:val="center"/>
          </w:tcPr>
          <w:p w14:paraId="11B4CFD9">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27</w:t>
            </w:r>
          </w:p>
        </w:tc>
        <w:tc>
          <w:tcPr>
            <w:tcW w:w="927" w:type="pct"/>
            <w:vMerge w:val="continue"/>
            <w:vAlign w:val="center"/>
          </w:tcPr>
          <w:p w14:paraId="02735454">
            <w:pPr>
              <w:widowControl/>
              <w:jc w:val="center"/>
              <w:rPr>
                <w:rFonts w:hint="default"/>
                <w:color w:val="auto"/>
                <w:kern w:val="0"/>
                <w:sz w:val="21"/>
                <w:szCs w:val="21"/>
                <w:lang w:val="en-US" w:eastAsia="en-US"/>
              </w:rPr>
            </w:pPr>
          </w:p>
        </w:tc>
        <w:tc>
          <w:tcPr>
            <w:tcW w:w="1235" w:type="pct"/>
            <w:vAlign w:val="center"/>
          </w:tcPr>
          <w:p w14:paraId="55D6560F">
            <w:pPr>
              <w:widowControl/>
              <w:jc w:val="center"/>
              <w:rPr>
                <w:color w:val="auto"/>
                <w:kern w:val="0"/>
                <w:sz w:val="21"/>
                <w:szCs w:val="21"/>
                <w:lang w:val="en-US" w:eastAsia="en-US"/>
              </w:rPr>
            </w:pPr>
            <w:r>
              <w:rPr>
                <w:rFonts w:hint="eastAsia"/>
                <w:color w:val="auto"/>
                <w:kern w:val="0"/>
                <w:sz w:val="21"/>
                <w:szCs w:val="21"/>
                <w:lang w:val="en-US" w:eastAsia="zh-CN"/>
              </w:rPr>
              <w:t>采桑湖渔场</w:t>
            </w:r>
            <w:r>
              <w:rPr>
                <w:rFonts w:hint="eastAsia" w:ascii="Times New Roman" w:eastAsia="宋体"/>
                <w:color w:val="auto"/>
                <w:kern w:val="0"/>
                <w:sz w:val="21"/>
                <w:szCs w:val="21"/>
                <w:lang w:val="en-US" w:eastAsia="zh-CN"/>
              </w:rPr>
              <w:t>西侧</w:t>
            </w:r>
          </w:p>
        </w:tc>
        <w:tc>
          <w:tcPr>
            <w:tcW w:w="953" w:type="pct"/>
            <w:tcBorders>
              <w:right w:val="single" w:color="auto" w:sz="4" w:space="0"/>
            </w:tcBorders>
            <w:vAlign w:val="center"/>
          </w:tcPr>
          <w:p w14:paraId="24AE1683">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w:t>
            </w:r>
            <w:r>
              <w:rPr>
                <w:rFonts w:hint="eastAsia"/>
                <w:color w:val="auto"/>
                <w:kern w:val="0"/>
                <w:sz w:val="21"/>
                <w:szCs w:val="21"/>
                <w:lang w:val="en-US" w:eastAsia="zh-CN"/>
              </w:rPr>
              <w:t>78519392</w:t>
            </w:r>
          </w:p>
        </w:tc>
        <w:tc>
          <w:tcPr>
            <w:tcW w:w="831" w:type="pct"/>
            <w:tcBorders>
              <w:left w:val="single" w:color="auto" w:sz="4" w:space="0"/>
            </w:tcBorders>
            <w:vAlign w:val="center"/>
          </w:tcPr>
          <w:p w14:paraId="0111F888">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50410304</w:t>
            </w:r>
          </w:p>
        </w:tc>
        <w:tc>
          <w:tcPr>
            <w:tcW w:w="664" w:type="pct"/>
            <w:vAlign w:val="center"/>
          </w:tcPr>
          <w:p w14:paraId="1979F025">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192C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shd w:val="clear" w:color="auto" w:fill="auto"/>
            <w:vAlign w:val="center"/>
          </w:tcPr>
          <w:p w14:paraId="4CB8D062">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28</w:t>
            </w:r>
          </w:p>
        </w:tc>
        <w:tc>
          <w:tcPr>
            <w:tcW w:w="927" w:type="pct"/>
            <w:vMerge w:val="continue"/>
            <w:vAlign w:val="center"/>
          </w:tcPr>
          <w:p w14:paraId="0CCB4E36">
            <w:pPr>
              <w:widowControl/>
              <w:jc w:val="center"/>
              <w:rPr>
                <w:rFonts w:hint="default"/>
                <w:color w:val="auto"/>
                <w:kern w:val="0"/>
                <w:sz w:val="21"/>
                <w:szCs w:val="21"/>
                <w:lang w:val="en-US" w:eastAsia="en-US"/>
              </w:rPr>
            </w:pPr>
          </w:p>
        </w:tc>
        <w:tc>
          <w:tcPr>
            <w:tcW w:w="1235" w:type="pct"/>
            <w:vAlign w:val="center"/>
          </w:tcPr>
          <w:p w14:paraId="3DEE6A23">
            <w:pPr>
              <w:widowControl/>
              <w:jc w:val="center"/>
              <w:rPr>
                <w:rFonts w:hint="default"/>
                <w:color w:val="auto"/>
                <w:kern w:val="0"/>
                <w:sz w:val="21"/>
                <w:szCs w:val="21"/>
                <w:lang w:val="en-US" w:eastAsia="en-US"/>
              </w:rPr>
            </w:pPr>
            <w:r>
              <w:rPr>
                <w:rFonts w:hint="eastAsia" w:cs="Times New Roman"/>
                <w:b w:val="0"/>
                <w:bCs w:val="0"/>
                <w:caps w:val="0"/>
                <w:smallCaps w:val="0"/>
                <w:color w:val="auto"/>
                <w:spacing w:val="0"/>
                <w:w w:val="100"/>
                <w:position w:val="0"/>
                <w:sz w:val="21"/>
                <w:szCs w:val="21"/>
                <w:highlight w:val="none"/>
                <w:u w:val="none" w:color="auto"/>
                <w:lang w:val="en-US" w:eastAsia="zh-CN" w:bidi="ar-SA"/>
              </w:rPr>
              <w:t>方台湖五组北侧河堤</w:t>
            </w:r>
          </w:p>
        </w:tc>
        <w:tc>
          <w:tcPr>
            <w:tcW w:w="953" w:type="pct"/>
            <w:tcBorders>
              <w:right w:val="single" w:color="auto" w:sz="4" w:space="0"/>
            </w:tcBorders>
            <w:vAlign w:val="center"/>
          </w:tcPr>
          <w:p w14:paraId="3DD363C7">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w:t>
            </w:r>
            <w:r>
              <w:rPr>
                <w:rFonts w:hint="eastAsia"/>
                <w:color w:val="auto"/>
                <w:kern w:val="0"/>
                <w:sz w:val="21"/>
                <w:szCs w:val="21"/>
                <w:lang w:val="en-US" w:eastAsia="zh-CN"/>
              </w:rPr>
              <w:t>79757500</w:t>
            </w:r>
          </w:p>
        </w:tc>
        <w:tc>
          <w:tcPr>
            <w:tcW w:w="831" w:type="pct"/>
            <w:tcBorders>
              <w:left w:val="single" w:color="auto" w:sz="4" w:space="0"/>
            </w:tcBorders>
            <w:vAlign w:val="center"/>
          </w:tcPr>
          <w:p w14:paraId="320AF676">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50092823</w:t>
            </w:r>
          </w:p>
        </w:tc>
        <w:tc>
          <w:tcPr>
            <w:tcW w:w="664" w:type="pct"/>
            <w:vAlign w:val="center"/>
          </w:tcPr>
          <w:p w14:paraId="10FAAF43">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5BE37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7" w:type="pct"/>
            <w:shd w:val="clear" w:color="auto" w:fill="auto"/>
            <w:vAlign w:val="center"/>
          </w:tcPr>
          <w:p w14:paraId="73A41628">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29</w:t>
            </w:r>
          </w:p>
        </w:tc>
        <w:tc>
          <w:tcPr>
            <w:tcW w:w="927" w:type="pct"/>
            <w:vMerge w:val="continue"/>
            <w:vAlign w:val="center"/>
          </w:tcPr>
          <w:p w14:paraId="3306E68F">
            <w:pPr>
              <w:widowControl/>
              <w:jc w:val="center"/>
              <w:rPr>
                <w:rFonts w:hint="default"/>
                <w:color w:val="auto"/>
                <w:kern w:val="0"/>
                <w:sz w:val="21"/>
                <w:szCs w:val="21"/>
                <w:lang w:val="en-US" w:eastAsia="en-US"/>
              </w:rPr>
            </w:pPr>
          </w:p>
        </w:tc>
        <w:tc>
          <w:tcPr>
            <w:tcW w:w="1235" w:type="pct"/>
            <w:vAlign w:val="center"/>
          </w:tcPr>
          <w:p w14:paraId="4906E87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大东哈湖西侧道路</w:t>
            </w:r>
          </w:p>
        </w:tc>
        <w:tc>
          <w:tcPr>
            <w:tcW w:w="953" w:type="pct"/>
            <w:tcBorders>
              <w:right w:val="single" w:color="auto" w:sz="4" w:space="0"/>
            </w:tcBorders>
            <w:vAlign w:val="center"/>
          </w:tcPr>
          <w:p w14:paraId="111A3A9B">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112.78</w:t>
            </w:r>
            <w:r>
              <w:rPr>
                <w:rFonts w:hint="eastAsia"/>
                <w:color w:val="auto"/>
                <w:kern w:val="0"/>
                <w:sz w:val="21"/>
                <w:szCs w:val="21"/>
                <w:lang w:val="en-US" w:eastAsia="zh-CN"/>
              </w:rPr>
              <w:t>283358</w:t>
            </w:r>
          </w:p>
        </w:tc>
        <w:tc>
          <w:tcPr>
            <w:tcW w:w="831" w:type="pct"/>
            <w:tcBorders>
              <w:left w:val="single" w:color="auto" w:sz="4" w:space="0"/>
            </w:tcBorders>
            <w:vAlign w:val="center"/>
          </w:tcPr>
          <w:p w14:paraId="1CD904D6">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29.4</w:t>
            </w:r>
            <w:r>
              <w:rPr>
                <w:rFonts w:hint="eastAsia"/>
                <w:color w:val="auto"/>
                <w:kern w:val="0"/>
                <w:sz w:val="21"/>
                <w:szCs w:val="21"/>
                <w:lang w:val="en-US" w:eastAsia="zh-CN"/>
              </w:rPr>
              <w:t>9941549</w:t>
            </w:r>
          </w:p>
        </w:tc>
        <w:tc>
          <w:tcPr>
            <w:tcW w:w="664" w:type="pct"/>
            <w:vAlign w:val="center"/>
          </w:tcPr>
          <w:p w14:paraId="6A714388">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r w14:paraId="10829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shd w:val="clear" w:color="auto" w:fill="auto"/>
            <w:vAlign w:val="center"/>
          </w:tcPr>
          <w:p w14:paraId="32EC490C">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30</w:t>
            </w:r>
          </w:p>
        </w:tc>
        <w:tc>
          <w:tcPr>
            <w:tcW w:w="927" w:type="pct"/>
            <w:vMerge w:val="restart"/>
            <w:vAlign w:val="center"/>
          </w:tcPr>
          <w:p w14:paraId="350733F9">
            <w:pPr>
              <w:widowControl/>
              <w:jc w:val="center"/>
              <w:rPr>
                <w:color w:val="auto"/>
                <w:kern w:val="0"/>
                <w:sz w:val="21"/>
                <w:szCs w:val="21"/>
                <w:lang w:val="en-US" w:eastAsia="en-US"/>
              </w:rPr>
            </w:pPr>
            <w:r>
              <w:rPr>
                <w:rFonts w:hint="default"/>
                <w:color w:val="auto"/>
                <w:kern w:val="0"/>
                <w:sz w:val="21"/>
                <w:szCs w:val="21"/>
                <w:lang w:val="en-US" w:eastAsia="en-US"/>
              </w:rPr>
              <w:t>毛轴莎草植物群落</w:t>
            </w:r>
          </w:p>
        </w:tc>
        <w:tc>
          <w:tcPr>
            <w:tcW w:w="1235" w:type="pct"/>
            <w:vAlign w:val="center"/>
          </w:tcPr>
          <w:p w14:paraId="1AC65AE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项目北侧湿地岸堤</w:t>
            </w:r>
          </w:p>
        </w:tc>
        <w:tc>
          <w:tcPr>
            <w:tcW w:w="953" w:type="pct"/>
            <w:tcBorders>
              <w:right w:val="single" w:color="auto" w:sz="4" w:space="0"/>
            </w:tcBorders>
            <w:vAlign w:val="center"/>
          </w:tcPr>
          <w:p w14:paraId="5723A11C">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9509664</w:t>
            </w:r>
          </w:p>
        </w:tc>
        <w:tc>
          <w:tcPr>
            <w:tcW w:w="831" w:type="pct"/>
            <w:tcBorders>
              <w:left w:val="single" w:color="auto" w:sz="4" w:space="0"/>
            </w:tcBorders>
            <w:vAlign w:val="center"/>
          </w:tcPr>
          <w:p w14:paraId="58BDF1CE">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29.4</w:t>
            </w:r>
            <w:r>
              <w:rPr>
                <w:rFonts w:hint="eastAsia"/>
                <w:color w:val="auto"/>
                <w:kern w:val="0"/>
                <w:sz w:val="21"/>
                <w:szCs w:val="21"/>
                <w:lang w:val="en-US" w:eastAsia="zh-CN"/>
              </w:rPr>
              <w:t>9861243</w:t>
            </w:r>
          </w:p>
        </w:tc>
        <w:tc>
          <w:tcPr>
            <w:tcW w:w="664" w:type="pct"/>
            <w:vAlign w:val="center"/>
          </w:tcPr>
          <w:p w14:paraId="6F3CC16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24</w:t>
            </w:r>
          </w:p>
        </w:tc>
      </w:tr>
      <w:tr w14:paraId="79B31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shd w:val="clear" w:color="auto" w:fill="auto"/>
            <w:vAlign w:val="center"/>
          </w:tcPr>
          <w:p w14:paraId="57FCC117">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31</w:t>
            </w:r>
          </w:p>
        </w:tc>
        <w:tc>
          <w:tcPr>
            <w:tcW w:w="927" w:type="pct"/>
            <w:vMerge w:val="continue"/>
            <w:vAlign w:val="center"/>
          </w:tcPr>
          <w:p w14:paraId="38DEA017">
            <w:pPr>
              <w:widowControl/>
              <w:jc w:val="center"/>
              <w:rPr>
                <w:rFonts w:hint="default"/>
                <w:color w:val="auto"/>
                <w:kern w:val="0"/>
                <w:sz w:val="21"/>
                <w:szCs w:val="21"/>
                <w:lang w:val="en-US" w:eastAsia="en-US"/>
              </w:rPr>
            </w:pPr>
          </w:p>
        </w:tc>
        <w:tc>
          <w:tcPr>
            <w:tcW w:w="1235" w:type="pct"/>
            <w:vAlign w:val="center"/>
          </w:tcPr>
          <w:p w14:paraId="5E041853">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方台湖五组南侧湿地岸堤</w:t>
            </w:r>
          </w:p>
        </w:tc>
        <w:tc>
          <w:tcPr>
            <w:tcW w:w="953" w:type="pct"/>
            <w:tcBorders>
              <w:right w:val="single" w:color="auto" w:sz="4" w:space="0"/>
            </w:tcBorders>
            <w:vAlign w:val="center"/>
          </w:tcPr>
          <w:p w14:paraId="1560657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112.79096603</w:t>
            </w:r>
          </w:p>
        </w:tc>
        <w:tc>
          <w:tcPr>
            <w:tcW w:w="831" w:type="pct"/>
            <w:tcBorders>
              <w:left w:val="single" w:color="auto" w:sz="4" w:space="0"/>
            </w:tcBorders>
            <w:vAlign w:val="center"/>
          </w:tcPr>
          <w:p w14:paraId="594B274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29.50046134</w:t>
            </w:r>
          </w:p>
        </w:tc>
        <w:tc>
          <w:tcPr>
            <w:tcW w:w="664" w:type="pct"/>
            <w:vAlign w:val="center"/>
          </w:tcPr>
          <w:p w14:paraId="1DE878E4">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1806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7" w:type="pct"/>
            <w:shd w:val="clear" w:color="auto" w:fill="auto"/>
            <w:vAlign w:val="center"/>
          </w:tcPr>
          <w:p w14:paraId="67B17340">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32</w:t>
            </w:r>
          </w:p>
        </w:tc>
        <w:tc>
          <w:tcPr>
            <w:tcW w:w="927" w:type="pct"/>
            <w:vMerge w:val="restart"/>
            <w:vAlign w:val="center"/>
          </w:tcPr>
          <w:p w14:paraId="336D87AF">
            <w:pPr>
              <w:widowControl/>
              <w:jc w:val="center"/>
              <w:rPr>
                <w:color w:val="auto"/>
                <w:kern w:val="0"/>
                <w:sz w:val="21"/>
                <w:szCs w:val="21"/>
                <w:lang w:val="en-US" w:eastAsia="en-US"/>
              </w:rPr>
            </w:pPr>
            <w:r>
              <w:rPr>
                <w:rFonts w:hint="default"/>
                <w:color w:val="auto"/>
                <w:kern w:val="0"/>
                <w:sz w:val="21"/>
                <w:szCs w:val="21"/>
                <w:lang w:val="en-US" w:eastAsia="en-US"/>
              </w:rPr>
              <w:t>凤眼莲植物群落</w:t>
            </w:r>
          </w:p>
        </w:tc>
        <w:tc>
          <w:tcPr>
            <w:tcW w:w="1235" w:type="pct"/>
            <w:vAlign w:val="center"/>
          </w:tcPr>
          <w:p w14:paraId="4C9D8860">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采桑湖水域</w:t>
            </w:r>
            <w:r>
              <w:rPr>
                <w:rFonts w:hint="eastAsia" w:ascii="Times New Roman" w:eastAsia="宋体"/>
                <w:color w:val="auto"/>
                <w:kern w:val="0"/>
                <w:sz w:val="21"/>
                <w:szCs w:val="21"/>
                <w:lang w:val="en-US" w:eastAsia="zh-CN"/>
              </w:rPr>
              <w:t>内</w:t>
            </w:r>
          </w:p>
        </w:tc>
        <w:tc>
          <w:tcPr>
            <w:tcW w:w="953" w:type="pct"/>
            <w:tcBorders>
              <w:right w:val="single" w:color="auto" w:sz="4" w:space="0"/>
            </w:tcBorders>
            <w:vAlign w:val="center"/>
          </w:tcPr>
          <w:p w14:paraId="6FFAF129">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112.7</w:t>
            </w:r>
            <w:r>
              <w:rPr>
                <w:rFonts w:hint="eastAsia"/>
                <w:color w:val="auto"/>
                <w:kern w:val="0"/>
                <w:sz w:val="21"/>
                <w:szCs w:val="21"/>
                <w:lang w:val="en-US" w:eastAsia="zh-CN"/>
              </w:rPr>
              <w:t>8998931</w:t>
            </w:r>
          </w:p>
        </w:tc>
        <w:tc>
          <w:tcPr>
            <w:tcW w:w="831" w:type="pct"/>
            <w:tcBorders>
              <w:left w:val="single" w:color="auto" w:sz="4" w:space="0"/>
            </w:tcBorders>
            <w:vAlign w:val="center"/>
          </w:tcPr>
          <w:p w14:paraId="7A10AA2E">
            <w:pPr>
              <w:widowControl/>
              <w:jc w:val="center"/>
              <w:rPr>
                <w:rFonts w:hint="default" w:eastAsia="宋体"/>
                <w:color w:val="auto"/>
                <w:kern w:val="0"/>
                <w:sz w:val="21"/>
                <w:szCs w:val="21"/>
                <w:lang w:val="en-US" w:eastAsia="zh-CN"/>
              </w:rPr>
            </w:pPr>
            <w:r>
              <w:rPr>
                <w:rFonts w:hint="default"/>
                <w:color w:val="auto"/>
                <w:kern w:val="0"/>
                <w:sz w:val="21"/>
                <w:szCs w:val="21"/>
                <w:lang w:val="en-US" w:eastAsia="en-US"/>
              </w:rPr>
              <w:t>29.</w:t>
            </w:r>
            <w:r>
              <w:rPr>
                <w:rFonts w:hint="eastAsia"/>
                <w:color w:val="auto"/>
                <w:kern w:val="0"/>
                <w:sz w:val="21"/>
                <w:szCs w:val="21"/>
                <w:lang w:val="en-US" w:eastAsia="zh-CN"/>
              </w:rPr>
              <w:t>50344941</w:t>
            </w:r>
          </w:p>
        </w:tc>
        <w:tc>
          <w:tcPr>
            <w:tcW w:w="664" w:type="pct"/>
            <w:vAlign w:val="center"/>
          </w:tcPr>
          <w:p w14:paraId="12B723B9">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25</w:t>
            </w:r>
          </w:p>
        </w:tc>
      </w:tr>
      <w:tr w14:paraId="34411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7" w:type="pct"/>
            <w:shd w:val="clear" w:color="auto" w:fill="auto"/>
            <w:vAlign w:val="center"/>
          </w:tcPr>
          <w:p w14:paraId="62859E8C">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33</w:t>
            </w:r>
          </w:p>
        </w:tc>
        <w:tc>
          <w:tcPr>
            <w:tcW w:w="927" w:type="pct"/>
            <w:vMerge w:val="continue"/>
            <w:vAlign w:val="center"/>
          </w:tcPr>
          <w:p w14:paraId="231E80BC">
            <w:pPr>
              <w:widowControl/>
              <w:jc w:val="center"/>
              <w:rPr>
                <w:rFonts w:hint="default"/>
                <w:color w:val="auto"/>
                <w:kern w:val="0"/>
                <w:sz w:val="21"/>
                <w:szCs w:val="21"/>
                <w:lang w:val="en-US" w:eastAsia="en-US"/>
              </w:rPr>
            </w:pPr>
          </w:p>
        </w:tc>
        <w:tc>
          <w:tcPr>
            <w:tcW w:w="1235" w:type="pct"/>
            <w:vAlign w:val="center"/>
          </w:tcPr>
          <w:p w14:paraId="6706BDC1">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方台湖水域内</w:t>
            </w:r>
          </w:p>
        </w:tc>
        <w:tc>
          <w:tcPr>
            <w:tcW w:w="953" w:type="pct"/>
            <w:tcBorders>
              <w:right w:val="single" w:color="auto" w:sz="4" w:space="0"/>
            </w:tcBorders>
            <w:vAlign w:val="center"/>
          </w:tcPr>
          <w:p w14:paraId="4498873E">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112.78783321</w:t>
            </w:r>
          </w:p>
        </w:tc>
        <w:tc>
          <w:tcPr>
            <w:tcW w:w="831" w:type="pct"/>
            <w:tcBorders>
              <w:left w:val="single" w:color="auto" w:sz="4" w:space="0"/>
            </w:tcBorders>
            <w:vAlign w:val="center"/>
          </w:tcPr>
          <w:p w14:paraId="69B922FC">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29.50199274</w:t>
            </w:r>
          </w:p>
        </w:tc>
        <w:tc>
          <w:tcPr>
            <w:tcW w:w="664" w:type="pct"/>
            <w:vAlign w:val="center"/>
          </w:tcPr>
          <w:p w14:paraId="305B3E4F">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3DDB5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7" w:type="pct"/>
            <w:shd w:val="clear" w:color="auto" w:fill="auto"/>
            <w:vAlign w:val="center"/>
          </w:tcPr>
          <w:p w14:paraId="1E41E4AA">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34</w:t>
            </w:r>
          </w:p>
        </w:tc>
        <w:tc>
          <w:tcPr>
            <w:tcW w:w="927" w:type="pct"/>
            <w:vMerge w:val="continue"/>
            <w:vAlign w:val="center"/>
          </w:tcPr>
          <w:p w14:paraId="338EAAB7">
            <w:pPr>
              <w:widowControl/>
              <w:jc w:val="center"/>
              <w:rPr>
                <w:rFonts w:hint="default"/>
                <w:color w:val="auto"/>
                <w:kern w:val="0"/>
                <w:sz w:val="21"/>
                <w:szCs w:val="21"/>
                <w:lang w:val="en-US" w:eastAsia="en-US"/>
              </w:rPr>
            </w:pPr>
          </w:p>
        </w:tc>
        <w:tc>
          <w:tcPr>
            <w:tcW w:w="1235" w:type="pct"/>
            <w:vAlign w:val="center"/>
          </w:tcPr>
          <w:p w14:paraId="14FFF87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大东哈湖水域内</w:t>
            </w:r>
          </w:p>
        </w:tc>
        <w:tc>
          <w:tcPr>
            <w:tcW w:w="953" w:type="pct"/>
            <w:tcBorders>
              <w:right w:val="single" w:color="auto" w:sz="4" w:space="0"/>
            </w:tcBorders>
            <w:vAlign w:val="center"/>
          </w:tcPr>
          <w:p w14:paraId="385A6362">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112.78465748</w:t>
            </w:r>
          </w:p>
        </w:tc>
        <w:tc>
          <w:tcPr>
            <w:tcW w:w="831" w:type="pct"/>
            <w:tcBorders>
              <w:left w:val="single" w:color="auto" w:sz="4" w:space="0"/>
            </w:tcBorders>
            <w:vAlign w:val="center"/>
          </w:tcPr>
          <w:p w14:paraId="00824973">
            <w:pPr>
              <w:widowControl/>
              <w:jc w:val="center"/>
              <w:rPr>
                <w:rFonts w:hint="default"/>
                <w:color w:val="auto"/>
                <w:kern w:val="0"/>
                <w:sz w:val="21"/>
                <w:szCs w:val="21"/>
                <w:lang w:val="en-US" w:eastAsia="zh-CN"/>
              </w:rPr>
            </w:pPr>
            <w:r>
              <w:rPr>
                <w:rFonts w:hint="eastAsia"/>
                <w:color w:val="auto"/>
                <w:kern w:val="0"/>
                <w:sz w:val="21"/>
                <w:szCs w:val="21"/>
                <w:lang w:val="en-US" w:eastAsia="zh-CN"/>
              </w:rPr>
              <w:t>29.49564289</w:t>
            </w:r>
          </w:p>
        </w:tc>
        <w:tc>
          <w:tcPr>
            <w:tcW w:w="664" w:type="pct"/>
            <w:vAlign w:val="center"/>
          </w:tcPr>
          <w:p w14:paraId="689C0834">
            <w:pPr>
              <w:widowControl/>
              <w:jc w:val="center"/>
              <w:rPr>
                <w:rFonts w:hint="default"/>
                <w:color w:val="auto"/>
                <w:kern w:val="0"/>
                <w:sz w:val="21"/>
                <w:szCs w:val="21"/>
                <w:lang w:val="en-US" w:eastAsia="zh-CN"/>
              </w:rPr>
            </w:pPr>
            <w:r>
              <w:rPr>
                <w:rFonts w:hint="eastAsia"/>
                <w:color w:val="auto"/>
                <w:kern w:val="0"/>
                <w:sz w:val="21"/>
                <w:szCs w:val="21"/>
                <w:lang w:val="en-US" w:eastAsia="zh-CN"/>
              </w:rPr>
              <w:t>25</w:t>
            </w:r>
          </w:p>
        </w:tc>
      </w:tr>
      <w:tr w14:paraId="1A4EF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7" w:type="pct"/>
            <w:shd w:val="clear" w:color="auto" w:fill="auto"/>
            <w:vAlign w:val="center"/>
          </w:tcPr>
          <w:p w14:paraId="3F286E07">
            <w:pPr>
              <w:widowControl/>
              <w:jc w:val="center"/>
              <w:rPr>
                <w:rFonts w:hint="eastAsia" w:ascii="Times New Roman" w:hAnsi="Times New Roman" w:eastAsia="宋体" w:cs="Times New Roman"/>
                <w:color w:val="auto"/>
                <w:kern w:val="0"/>
                <w:sz w:val="21"/>
                <w:szCs w:val="21"/>
                <w:lang w:val="en-US" w:eastAsia="zh-CN" w:bidi="ar-SA"/>
              </w:rPr>
            </w:pPr>
            <w:bookmarkStart w:id="121" w:name="_Toc11368"/>
            <w:bookmarkStart w:id="122" w:name="_Toc25715"/>
            <w:r>
              <w:rPr>
                <w:rFonts w:hint="eastAsia"/>
                <w:color w:val="auto"/>
                <w:kern w:val="0"/>
                <w:sz w:val="21"/>
                <w:szCs w:val="21"/>
                <w:lang w:val="en-US" w:eastAsia="zh-CN"/>
              </w:rPr>
              <w:t>35</w:t>
            </w:r>
          </w:p>
        </w:tc>
        <w:tc>
          <w:tcPr>
            <w:tcW w:w="927" w:type="pct"/>
            <w:vMerge w:val="continue"/>
            <w:vAlign w:val="center"/>
          </w:tcPr>
          <w:p w14:paraId="2974BC1A">
            <w:pPr>
              <w:widowControl/>
              <w:jc w:val="center"/>
              <w:rPr>
                <w:rFonts w:hint="default"/>
                <w:color w:val="auto"/>
                <w:kern w:val="0"/>
                <w:sz w:val="21"/>
                <w:szCs w:val="21"/>
                <w:lang w:val="en-US" w:eastAsia="en-US"/>
              </w:rPr>
            </w:pPr>
          </w:p>
        </w:tc>
        <w:tc>
          <w:tcPr>
            <w:tcW w:w="1235" w:type="pct"/>
            <w:vAlign w:val="center"/>
          </w:tcPr>
          <w:p w14:paraId="51C5952F">
            <w:pPr>
              <w:widowControl/>
              <w:jc w:val="center"/>
              <w:rPr>
                <w:rFonts w:hint="default" w:eastAsia="宋体"/>
                <w:color w:val="auto"/>
                <w:kern w:val="0"/>
                <w:sz w:val="21"/>
                <w:szCs w:val="21"/>
                <w:lang w:val="en-US" w:eastAsia="zh-CN"/>
              </w:rPr>
            </w:pPr>
            <w:r>
              <w:rPr>
                <w:rFonts w:hint="default" w:ascii="Times New Roman" w:hAnsi="Times New Roman" w:eastAsia="宋体" w:cs="Times New Roman"/>
                <w:b w:val="0"/>
                <w:bCs w:val="0"/>
                <w:caps w:val="0"/>
                <w:smallCaps w:val="0"/>
                <w:color w:val="auto"/>
                <w:spacing w:val="0"/>
                <w:w w:val="100"/>
                <w:position w:val="0"/>
                <w:sz w:val="21"/>
                <w:szCs w:val="21"/>
                <w:highlight w:val="none"/>
                <w:u w:val="none" w:color="auto"/>
                <w:lang w:val="en-US" w:eastAsia="zh-CN" w:bidi="ar-SA"/>
              </w:rPr>
              <w:t>碾盘洲</w:t>
            </w:r>
            <w:r>
              <w:rPr>
                <w:rFonts w:hint="eastAsia" w:cs="Times New Roman"/>
                <w:b w:val="0"/>
                <w:bCs w:val="0"/>
                <w:caps w:val="0"/>
                <w:smallCaps w:val="0"/>
                <w:color w:val="auto"/>
                <w:spacing w:val="0"/>
                <w:w w:val="100"/>
                <w:position w:val="0"/>
                <w:sz w:val="21"/>
                <w:szCs w:val="21"/>
                <w:highlight w:val="none"/>
                <w:u w:val="none" w:color="auto"/>
                <w:lang w:val="en-US" w:eastAsia="zh-CN" w:bidi="ar-SA"/>
              </w:rPr>
              <w:t>鱼塘</w:t>
            </w:r>
          </w:p>
        </w:tc>
        <w:tc>
          <w:tcPr>
            <w:tcW w:w="953" w:type="pct"/>
            <w:tcBorders>
              <w:right w:val="single" w:color="auto" w:sz="4" w:space="0"/>
            </w:tcBorders>
            <w:vAlign w:val="center"/>
          </w:tcPr>
          <w:p w14:paraId="5AADA2F8">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112.78796196</w:t>
            </w:r>
          </w:p>
        </w:tc>
        <w:tc>
          <w:tcPr>
            <w:tcW w:w="831" w:type="pct"/>
            <w:tcBorders>
              <w:left w:val="single" w:color="auto" w:sz="4" w:space="0"/>
            </w:tcBorders>
            <w:vAlign w:val="center"/>
          </w:tcPr>
          <w:p w14:paraId="3DF10A04">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29.49250517</w:t>
            </w:r>
          </w:p>
        </w:tc>
        <w:tc>
          <w:tcPr>
            <w:tcW w:w="664" w:type="pct"/>
            <w:vAlign w:val="center"/>
          </w:tcPr>
          <w:p w14:paraId="50E8421B">
            <w:pPr>
              <w:widowControl/>
              <w:jc w:val="center"/>
              <w:rPr>
                <w:rFonts w:hint="default"/>
                <w:color w:val="auto"/>
                <w:kern w:val="0"/>
                <w:sz w:val="21"/>
                <w:szCs w:val="21"/>
                <w:lang w:val="en-US" w:eastAsia="zh-CN"/>
              </w:rPr>
            </w:pPr>
            <w:r>
              <w:rPr>
                <w:rFonts w:hint="eastAsia"/>
                <w:color w:val="auto"/>
                <w:kern w:val="0"/>
                <w:sz w:val="21"/>
                <w:szCs w:val="21"/>
                <w:lang w:val="en-US" w:eastAsia="zh-CN"/>
              </w:rPr>
              <w:t>26</w:t>
            </w:r>
          </w:p>
        </w:tc>
      </w:tr>
    </w:tbl>
    <w:p w14:paraId="7AAC4395">
      <w:pPr>
        <w:spacing w:line="360" w:lineRule="auto"/>
        <w:ind w:firstLine="482" w:firstLineChars="200"/>
        <w:rPr>
          <w:rFonts w:hint="default"/>
          <w:b/>
          <w:bCs/>
          <w:color w:val="auto"/>
          <w:kern w:val="0"/>
          <w:sz w:val="24"/>
          <w:u w:val="single"/>
          <w:lang w:val="en-US" w:eastAsia="zh-CN"/>
        </w:rPr>
      </w:pPr>
      <w:r>
        <w:rPr>
          <w:rFonts w:hint="eastAsia"/>
          <w:b/>
          <w:bCs/>
          <w:color w:val="auto"/>
          <w:kern w:val="0"/>
          <w:sz w:val="24"/>
          <w:u w:val="single"/>
          <w:lang w:val="en-US" w:eastAsia="zh-CN"/>
        </w:rPr>
        <w:t>样线</w:t>
      </w:r>
      <w:r>
        <w:rPr>
          <w:rFonts w:hint="eastAsia" w:ascii="Times New Roman" w:eastAsia="宋体"/>
          <w:b/>
          <w:bCs/>
          <w:color w:val="auto"/>
          <w:kern w:val="0"/>
          <w:sz w:val="24"/>
          <w:u w:val="single"/>
          <w:lang w:val="en-US" w:eastAsia="zh-CN"/>
        </w:rPr>
        <w:t>设置情况见下表3.3-1：</w:t>
      </w:r>
    </w:p>
    <w:p w14:paraId="75DE5FB7">
      <w:pPr>
        <w:widowControl/>
        <w:kinsoku w:val="0"/>
        <w:autoSpaceDE w:val="0"/>
        <w:autoSpaceDN w:val="0"/>
        <w:adjustRightInd w:val="0"/>
        <w:snapToGrid w:val="0"/>
        <w:spacing w:line="219" w:lineRule="auto"/>
        <w:jc w:val="center"/>
        <w:textAlignment w:val="baseline"/>
        <w:rPr>
          <w:rFonts w:hint="eastAsia" w:ascii="宋体" w:hAnsi="宋体" w:eastAsia="宋体" w:cs="宋体"/>
          <w:b/>
          <w:bCs/>
          <w:snapToGrid w:val="0"/>
          <w:color w:val="auto"/>
          <w:kern w:val="0"/>
          <w:sz w:val="22"/>
          <w:szCs w:val="22"/>
          <w:lang w:val="en-US" w:eastAsia="zh-CN"/>
        </w:rPr>
      </w:pPr>
      <w:r>
        <w:rPr>
          <w:rFonts w:ascii="宋体" w:hAnsi="宋体" w:eastAsia="宋体" w:cs="宋体"/>
          <w:b/>
          <w:bCs/>
          <w:snapToGrid w:val="0"/>
          <w:color w:val="auto"/>
          <w:spacing w:val="-3"/>
          <w:kern w:val="0"/>
          <w:sz w:val="22"/>
          <w:szCs w:val="22"/>
          <w:lang w:eastAsia="en-US"/>
        </w:rPr>
        <w:t>表</w:t>
      </w:r>
      <w:r>
        <w:rPr>
          <w:rFonts w:hint="eastAsia" w:ascii="宋体" w:hAnsi="宋体" w:cs="宋体"/>
          <w:b/>
          <w:bCs/>
          <w:snapToGrid w:val="0"/>
          <w:color w:val="auto"/>
          <w:spacing w:val="-3"/>
          <w:kern w:val="0"/>
          <w:sz w:val="22"/>
          <w:szCs w:val="22"/>
          <w:lang w:val="en-US" w:eastAsia="zh-CN"/>
        </w:rPr>
        <w:t>3.3</w:t>
      </w:r>
      <w:r>
        <w:rPr>
          <w:rFonts w:ascii="宋体" w:hAnsi="宋体" w:eastAsia="宋体" w:cs="宋体"/>
          <w:b/>
          <w:bCs/>
          <w:snapToGrid w:val="0"/>
          <w:color w:val="auto"/>
          <w:spacing w:val="-3"/>
          <w:kern w:val="0"/>
          <w:sz w:val="22"/>
          <w:szCs w:val="22"/>
          <w:lang w:eastAsia="en-US"/>
        </w:rPr>
        <w:t>-1</w:t>
      </w:r>
      <w:r>
        <w:rPr>
          <w:rFonts w:hint="eastAsia" w:ascii="宋体" w:hAnsi="宋体" w:cs="宋体"/>
          <w:b/>
          <w:bCs/>
          <w:snapToGrid w:val="0"/>
          <w:color w:val="auto"/>
          <w:spacing w:val="-3"/>
          <w:kern w:val="0"/>
          <w:sz w:val="22"/>
          <w:szCs w:val="22"/>
          <w:lang w:val="en-US" w:eastAsia="zh-CN"/>
        </w:rPr>
        <w:t xml:space="preserve"> 评价区植物样线</w:t>
      </w:r>
      <w:r>
        <w:rPr>
          <w:rFonts w:ascii="宋体" w:hAnsi="宋体" w:eastAsia="宋体" w:cs="宋体"/>
          <w:b/>
          <w:bCs/>
          <w:snapToGrid w:val="0"/>
          <w:color w:val="auto"/>
          <w:spacing w:val="-3"/>
          <w:kern w:val="0"/>
          <w:sz w:val="22"/>
          <w:szCs w:val="22"/>
          <w:lang w:eastAsia="en-US"/>
        </w:rPr>
        <w:t>设置情况</w:t>
      </w:r>
      <w:r>
        <w:rPr>
          <w:rFonts w:hint="eastAsia" w:ascii="宋体" w:hAnsi="宋体" w:cs="宋体"/>
          <w:b/>
          <w:bCs/>
          <w:snapToGrid w:val="0"/>
          <w:color w:val="auto"/>
          <w:spacing w:val="-3"/>
          <w:kern w:val="0"/>
          <w:sz w:val="22"/>
          <w:szCs w:val="22"/>
          <w:lang w:val="en-US" w:eastAsia="zh-CN"/>
        </w:rPr>
        <w:t>一览表</w:t>
      </w:r>
    </w:p>
    <w:p w14:paraId="34E7B992">
      <w:pPr>
        <w:widowControl/>
        <w:kinsoku w:val="0"/>
        <w:autoSpaceDE w:val="0"/>
        <w:autoSpaceDN w:val="0"/>
        <w:adjustRightInd w:val="0"/>
        <w:snapToGrid w:val="0"/>
        <w:spacing w:line="100" w:lineRule="auto"/>
        <w:jc w:val="left"/>
        <w:textAlignment w:val="baseline"/>
        <w:rPr>
          <w:rFonts w:ascii="Arial" w:hAnsi="Arial" w:eastAsia="Arial" w:cs="Arial"/>
          <w:b/>
          <w:bCs/>
          <w:snapToGrid w:val="0"/>
          <w:color w:val="auto"/>
          <w:kern w:val="0"/>
          <w:sz w:val="2"/>
          <w:szCs w:val="21"/>
          <w:lang w:eastAsia="en-US"/>
        </w:rPr>
      </w:pPr>
    </w:p>
    <w:tbl>
      <w:tblPr>
        <w:tblStyle w:val="54"/>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4"/>
        <w:gridCol w:w="1211"/>
        <w:gridCol w:w="3119"/>
        <w:gridCol w:w="1090"/>
        <w:gridCol w:w="1001"/>
        <w:gridCol w:w="1003"/>
      </w:tblGrid>
      <w:tr w14:paraId="10CAB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22BADC3B">
            <w:pPr>
              <w:widowControl/>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样线编号</w:t>
            </w:r>
          </w:p>
        </w:tc>
        <w:tc>
          <w:tcPr>
            <w:tcW w:w="726" w:type="pct"/>
            <w:vAlign w:val="center"/>
          </w:tcPr>
          <w:p w14:paraId="43180330">
            <w:pPr>
              <w:widowControl/>
              <w:jc w:val="center"/>
              <w:rPr>
                <w:rFonts w:hint="default"/>
                <w:b/>
                <w:bCs/>
                <w:color w:val="auto"/>
                <w:kern w:val="0"/>
                <w:sz w:val="21"/>
                <w:szCs w:val="21"/>
                <w:lang w:val="en-US" w:eastAsia="zh-CN"/>
              </w:rPr>
            </w:pPr>
            <w:r>
              <w:rPr>
                <w:rFonts w:hint="eastAsia" w:ascii="Times New Roman" w:eastAsia="宋体"/>
                <w:b/>
                <w:bCs/>
                <w:color w:val="auto"/>
                <w:kern w:val="0"/>
                <w:sz w:val="21"/>
                <w:szCs w:val="21"/>
                <w:lang w:val="en-US" w:eastAsia="zh-CN"/>
              </w:rPr>
              <w:t>样线位置</w:t>
            </w:r>
          </w:p>
        </w:tc>
        <w:tc>
          <w:tcPr>
            <w:tcW w:w="1869" w:type="pct"/>
            <w:vAlign w:val="center"/>
          </w:tcPr>
          <w:p w14:paraId="222E7EB4">
            <w:pPr>
              <w:widowControl/>
              <w:jc w:val="center"/>
              <w:rPr>
                <w:b/>
                <w:bCs/>
                <w:color w:val="auto"/>
                <w:kern w:val="0"/>
                <w:sz w:val="21"/>
                <w:szCs w:val="21"/>
                <w:lang w:val="en-US" w:eastAsia="en-US"/>
              </w:rPr>
            </w:pPr>
            <w:r>
              <w:rPr>
                <w:rFonts w:hint="eastAsia"/>
                <w:b/>
                <w:bCs/>
                <w:color w:val="auto"/>
                <w:kern w:val="0"/>
                <w:sz w:val="21"/>
                <w:szCs w:val="21"/>
                <w:lang w:val="en-US" w:eastAsia="zh-CN"/>
              </w:rPr>
              <w:t>起止</w:t>
            </w:r>
            <w:r>
              <w:rPr>
                <w:rFonts w:hint="eastAsia" w:ascii="Times New Roman" w:eastAsia="宋体"/>
                <w:b/>
                <w:bCs/>
                <w:color w:val="auto"/>
                <w:kern w:val="0"/>
                <w:sz w:val="21"/>
                <w:szCs w:val="21"/>
                <w:lang w:val="en-US" w:eastAsia="zh-CN"/>
              </w:rPr>
              <w:t>经纬度</w:t>
            </w:r>
            <w:r>
              <w:rPr>
                <w:b/>
                <w:bCs/>
                <w:color w:val="auto"/>
                <w:kern w:val="0"/>
                <w:sz w:val="21"/>
                <w:szCs w:val="21"/>
                <w:lang w:val="en-US" w:eastAsia="en-US"/>
              </w:rPr>
              <w:t>坐标</w:t>
            </w:r>
          </w:p>
        </w:tc>
        <w:tc>
          <w:tcPr>
            <w:tcW w:w="653" w:type="pct"/>
            <w:vAlign w:val="center"/>
          </w:tcPr>
          <w:p w14:paraId="6C012699">
            <w:pPr>
              <w:widowControl/>
              <w:jc w:val="center"/>
              <w:rPr>
                <w:rFonts w:hint="default"/>
                <w:b/>
                <w:bCs/>
                <w:color w:val="auto"/>
                <w:kern w:val="0"/>
                <w:sz w:val="21"/>
                <w:szCs w:val="21"/>
                <w:lang w:val="en-US" w:eastAsia="zh-CN"/>
              </w:rPr>
            </w:pPr>
            <w:r>
              <w:rPr>
                <w:rFonts w:hint="eastAsia" w:ascii="Times New Roman" w:eastAsia="宋体"/>
                <w:b/>
                <w:bCs/>
                <w:color w:val="auto"/>
                <w:kern w:val="0"/>
                <w:sz w:val="21"/>
                <w:szCs w:val="21"/>
                <w:lang w:val="en-US" w:eastAsia="zh-CN"/>
              </w:rPr>
              <w:t>海拔</w:t>
            </w:r>
            <w:r>
              <w:rPr>
                <w:rFonts w:hint="eastAsia"/>
                <w:b/>
                <w:bCs/>
                <w:color w:val="auto"/>
                <w:kern w:val="0"/>
                <w:sz w:val="21"/>
                <w:szCs w:val="21"/>
                <w:lang w:val="en-US" w:eastAsia="zh-CN"/>
              </w:rPr>
              <w:t>长度</w:t>
            </w:r>
            <w:r>
              <w:rPr>
                <w:rFonts w:hint="eastAsia" w:ascii="Times New Roman" w:eastAsia="宋体"/>
                <w:b/>
                <w:bCs/>
                <w:color w:val="auto"/>
                <w:kern w:val="0"/>
                <w:sz w:val="21"/>
                <w:szCs w:val="21"/>
                <w:lang w:val="en-US" w:eastAsia="zh-CN"/>
              </w:rPr>
              <w:t>m</w:t>
            </w:r>
          </w:p>
        </w:tc>
        <w:tc>
          <w:tcPr>
            <w:tcW w:w="600" w:type="pct"/>
            <w:vAlign w:val="center"/>
          </w:tcPr>
          <w:p w14:paraId="1BD206BE">
            <w:pPr>
              <w:widowControl/>
              <w:jc w:val="center"/>
              <w:rPr>
                <w:rFonts w:hint="default" w:ascii="Times New Roman" w:eastAsia="宋体"/>
                <w:b/>
                <w:bCs/>
                <w:color w:val="auto"/>
                <w:kern w:val="0"/>
                <w:sz w:val="21"/>
                <w:szCs w:val="21"/>
                <w:lang w:val="en-US" w:eastAsia="zh-CN"/>
              </w:rPr>
            </w:pPr>
            <w:r>
              <w:rPr>
                <w:rFonts w:hint="eastAsia"/>
                <w:b/>
                <w:bCs/>
                <w:color w:val="auto"/>
                <w:kern w:val="0"/>
                <w:sz w:val="21"/>
                <w:szCs w:val="21"/>
                <w:lang w:val="en-US" w:eastAsia="zh-CN"/>
              </w:rPr>
              <w:t>主要生境类型</w:t>
            </w:r>
          </w:p>
        </w:tc>
        <w:tc>
          <w:tcPr>
            <w:tcW w:w="601" w:type="pct"/>
            <w:vAlign w:val="center"/>
          </w:tcPr>
          <w:p w14:paraId="4616D04C">
            <w:pPr>
              <w:widowControl/>
              <w:jc w:val="center"/>
              <w:rPr>
                <w:rFonts w:hint="default" w:ascii="Times New Roman" w:eastAsia="宋体"/>
                <w:b/>
                <w:bCs/>
                <w:color w:val="auto"/>
                <w:kern w:val="0"/>
                <w:sz w:val="21"/>
                <w:szCs w:val="21"/>
                <w:lang w:val="en-US" w:eastAsia="zh-CN"/>
              </w:rPr>
            </w:pPr>
            <w:r>
              <w:rPr>
                <w:rFonts w:hint="eastAsia"/>
                <w:b/>
                <w:bCs/>
                <w:color w:val="auto"/>
                <w:kern w:val="0"/>
                <w:sz w:val="21"/>
                <w:szCs w:val="21"/>
                <w:lang w:val="en-US" w:eastAsia="zh-CN"/>
              </w:rPr>
              <w:t>调查时间</w:t>
            </w:r>
          </w:p>
        </w:tc>
      </w:tr>
      <w:tr w14:paraId="5B0B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5D7C3271">
            <w:pPr>
              <w:widowControl/>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样线01</w:t>
            </w:r>
          </w:p>
        </w:tc>
        <w:tc>
          <w:tcPr>
            <w:tcW w:w="726" w:type="pct"/>
            <w:vAlign w:val="center"/>
          </w:tcPr>
          <w:p w14:paraId="6C3B9341">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采桑湖渔场</w:t>
            </w:r>
          </w:p>
        </w:tc>
        <w:tc>
          <w:tcPr>
            <w:tcW w:w="1869" w:type="pct"/>
            <w:vAlign w:val="center"/>
          </w:tcPr>
          <w:p w14:paraId="24263DB1">
            <w:pPr>
              <w:widowControl/>
              <w:jc w:val="center"/>
              <w:rPr>
                <w:rFonts w:hint="eastAsia"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起点坐标：</w:t>
            </w:r>
            <w:r>
              <w:rPr>
                <w:rFonts w:hint="eastAsia" w:ascii="Times New Roman" w:eastAsia="宋体"/>
                <w:b w:val="0"/>
                <w:bCs w:val="0"/>
                <w:color w:val="auto"/>
                <w:kern w:val="0"/>
                <w:sz w:val="21"/>
                <w:szCs w:val="21"/>
                <w:lang w:val="en-US" w:eastAsia="zh-CN"/>
              </w:rPr>
              <w:t>112.785561253，29.516679252</w:t>
            </w:r>
          </w:p>
          <w:p w14:paraId="230F4348">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终点坐标：112.785561253，29.510714019</w:t>
            </w:r>
          </w:p>
        </w:tc>
        <w:tc>
          <w:tcPr>
            <w:tcW w:w="653" w:type="pct"/>
            <w:vAlign w:val="center"/>
          </w:tcPr>
          <w:p w14:paraId="440C2CAA">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660</w:t>
            </w:r>
          </w:p>
        </w:tc>
        <w:tc>
          <w:tcPr>
            <w:tcW w:w="600" w:type="pct"/>
            <w:vAlign w:val="center"/>
          </w:tcPr>
          <w:p w14:paraId="5247185F">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湿地</w:t>
            </w:r>
          </w:p>
        </w:tc>
        <w:tc>
          <w:tcPr>
            <w:tcW w:w="601" w:type="pct"/>
            <w:vAlign w:val="center"/>
          </w:tcPr>
          <w:p w14:paraId="7324945E">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7月24-25日</w:t>
            </w:r>
          </w:p>
        </w:tc>
      </w:tr>
      <w:tr w14:paraId="6F07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4085E7AE">
            <w:pPr>
              <w:widowControl/>
              <w:jc w:val="center"/>
              <w:rPr>
                <w:b w:val="0"/>
                <w:bCs w:val="0"/>
                <w:color w:val="auto"/>
                <w:kern w:val="0"/>
                <w:sz w:val="21"/>
                <w:szCs w:val="21"/>
                <w:lang w:val="en-US" w:eastAsia="en-US"/>
              </w:rPr>
            </w:pPr>
            <w:r>
              <w:rPr>
                <w:rFonts w:hint="eastAsia"/>
                <w:b w:val="0"/>
                <w:bCs w:val="0"/>
                <w:color w:val="auto"/>
                <w:kern w:val="0"/>
                <w:sz w:val="21"/>
                <w:szCs w:val="21"/>
                <w:lang w:val="en-US" w:eastAsia="zh-CN"/>
              </w:rPr>
              <w:t>样线02</w:t>
            </w:r>
          </w:p>
        </w:tc>
        <w:tc>
          <w:tcPr>
            <w:tcW w:w="726" w:type="pct"/>
            <w:vAlign w:val="center"/>
          </w:tcPr>
          <w:p w14:paraId="3BE878EB">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采桑湖周边</w:t>
            </w:r>
          </w:p>
        </w:tc>
        <w:tc>
          <w:tcPr>
            <w:tcW w:w="1869" w:type="pct"/>
            <w:vAlign w:val="center"/>
          </w:tcPr>
          <w:p w14:paraId="1414C59A">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起点坐标：112.786466499，29.504125173</w:t>
            </w:r>
          </w:p>
          <w:p w14:paraId="394C2AB5">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终点坐标：112.794384380，29.500820691</w:t>
            </w:r>
          </w:p>
        </w:tc>
        <w:tc>
          <w:tcPr>
            <w:tcW w:w="653" w:type="pct"/>
            <w:vAlign w:val="center"/>
          </w:tcPr>
          <w:p w14:paraId="747A5625">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850</w:t>
            </w:r>
          </w:p>
        </w:tc>
        <w:tc>
          <w:tcPr>
            <w:tcW w:w="600" w:type="pct"/>
            <w:shd w:val="clear" w:color="auto" w:fill="auto"/>
            <w:vAlign w:val="center"/>
          </w:tcPr>
          <w:p w14:paraId="08BCF9CF">
            <w:pPr>
              <w:widowControl/>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湿地</w:t>
            </w:r>
          </w:p>
        </w:tc>
        <w:tc>
          <w:tcPr>
            <w:tcW w:w="601" w:type="pct"/>
            <w:shd w:val="clear" w:color="auto" w:fill="auto"/>
            <w:vAlign w:val="center"/>
          </w:tcPr>
          <w:p w14:paraId="16B6E016">
            <w:pPr>
              <w:widowControl/>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7月20-21</w:t>
            </w:r>
            <w:r>
              <w:rPr>
                <w:rFonts w:hint="eastAsia" w:ascii="Times New Roman" w:eastAsia="宋体"/>
                <w:b w:val="0"/>
                <w:bCs w:val="0"/>
                <w:color w:val="auto"/>
                <w:kern w:val="0"/>
                <w:sz w:val="21"/>
                <w:szCs w:val="21"/>
                <w:lang w:val="en-US" w:eastAsia="zh-CN"/>
              </w:rPr>
              <w:t>日</w:t>
            </w:r>
          </w:p>
        </w:tc>
      </w:tr>
      <w:tr w14:paraId="2B02D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759B461D">
            <w:pPr>
              <w:widowControl/>
              <w:jc w:val="center"/>
              <w:rPr>
                <w:b w:val="0"/>
                <w:bCs w:val="0"/>
                <w:color w:val="auto"/>
                <w:kern w:val="0"/>
                <w:sz w:val="21"/>
                <w:szCs w:val="21"/>
                <w:lang w:val="en-US" w:eastAsia="en-US"/>
              </w:rPr>
            </w:pPr>
            <w:r>
              <w:rPr>
                <w:rFonts w:hint="eastAsia"/>
                <w:b w:val="0"/>
                <w:bCs w:val="0"/>
                <w:color w:val="auto"/>
                <w:kern w:val="0"/>
                <w:sz w:val="21"/>
                <w:szCs w:val="21"/>
                <w:lang w:val="en-US" w:eastAsia="zh-CN"/>
              </w:rPr>
              <w:t>样线03</w:t>
            </w:r>
          </w:p>
        </w:tc>
        <w:tc>
          <w:tcPr>
            <w:tcW w:w="726" w:type="pct"/>
            <w:vAlign w:val="center"/>
          </w:tcPr>
          <w:p w14:paraId="1C9FFD3C">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碾盘洲</w:t>
            </w:r>
          </w:p>
        </w:tc>
        <w:tc>
          <w:tcPr>
            <w:tcW w:w="1869" w:type="pct"/>
            <w:vAlign w:val="center"/>
          </w:tcPr>
          <w:p w14:paraId="4BF62A0B">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起点坐标：112.783998867，29.499157722</w:t>
            </w:r>
          </w:p>
          <w:p w14:paraId="6223EEC5">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终点坐标：112.780758758，29.495509917</w:t>
            </w:r>
          </w:p>
        </w:tc>
        <w:tc>
          <w:tcPr>
            <w:tcW w:w="653" w:type="pct"/>
            <w:vAlign w:val="center"/>
          </w:tcPr>
          <w:p w14:paraId="1D08A3D0">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510</w:t>
            </w:r>
          </w:p>
        </w:tc>
        <w:tc>
          <w:tcPr>
            <w:tcW w:w="600" w:type="pct"/>
            <w:vAlign w:val="center"/>
          </w:tcPr>
          <w:p w14:paraId="3F87FF01">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湿地</w:t>
            </w:r>
          </w:p>
        </w:tc>
        <w:tc>
          <w:tcPr>
            <w:tcW w:w="601" w:type="pct"/>
            <w:vAlign w:val="center"/>
          </w:tcPr>
          <w:p w14:paraId="10F67C3D">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7月18-19</w:t>
            </w:r>
            <w:r>
              <w:rPr>
                <w:rFonts w:hint="eastAsia" w:ascii="Times New Roman" w:eastAsia="宋体"/>
                <w:b w:val="0"/>
                <w:bCs w:val="0"/>
                <w:color w:val="auto"/>
                <w:kern w:val="0"/>
                <w:sz w:val="21"/>
                <w:szCs w:val="21"/>
                <w:lang w:val="en-US" w:eastAsia="zh-CN"/>
              </w:rPr>
              <w:t>日</w:t>
            </w:r>
          </w:p>
        </w:tc>
      </w:tr>
      <w:tr w14:paraId="09BF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22F89E0A">
            <w:pPr>
              <w:widowControl/>
              <w:jc w:val="center"/>
              <w:rPr>
                <w:b w:val="0"/>
                <w:bCs w:val="0"/>
                <w:color w:val="auto"/>
                <w:kern w:val="0"/>
                <w:sz w:val="21"/>
                <w:szCs w:val="21"/>
                <w:lang w:val="en-US" w:eastAsia="en-US"/>
              </w:rPr>
            </w:pPr>
            <w:r>
              <w:rPr>
                <w:rFonts w:hint="eastAsia"/>
                <w:b w:val="0"/>
                <w:bCs w:val="0"/>
                <w:color w:val="auto"/>
                <w:kern w:val="0"/>
                <w:sz w:val="21"/>
                <w:szCs w:val="21"/>
                <w:lang w:val="en-US" w:eastAsia="zh-CN"/>
              </w:rPr>
              <w:t>样线04</w:t>
            </w:r>
          </w:p>
        </w:tc>
        <w:tc>
          <w:tcPr>
            <w:tcW w:w="726" w:type="pct"/>
            <w:vAlign w:val="center"/>
          </w:tcPr>
          <w:p w14:paraId="6F11CA8E">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碾盘洲</w:t>
            </w:r>
          </w:p>
        </w:tc>
        <w:tc>
          <w:tcPr>
            <w:tcW w:w="1869" w:type="pct"/>
            <w:vAlign w:val="center"/>
          </w:tcPr>
          <w:p w14:paraId="57B3EC63">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起点坐标：112.779278179，29.493396337</w:t>
            </w:r>
          </w:p>
          <w:p w14:paraId="51D11E7A">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终点坐标：112.781252285，29.490220601</w:t>
            </w:r>
          </w:p>
        </w:tc>
        <w:tc>
          <w:tcPr>
            <w:tcW w:w="653" w:type="pct"/>
            <w:vAlign w:val="center"/>
          </w:tcPr>
          <w:p w14:paraId="3CC4235D">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415</w:t>
            </w:r>
          </w:p>
        </w:tc>
        <w:tc>
          <w:tcPr>
            <w:tcW w:w="600" w:type="pct"/>
            <w:vAlign w:val="center"/>
          </w:tcPr>
          <w:p w14:paraId="3775674E">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湿地</w:t>
            </w:r>
          </w:p>
        </w:tc>
        <w:tc>
          <w:tcPr>
            <w:tcW w:w="601" w:type="pct"/>
            <w:vAlign w:val="center"/>
          </w:tcPr>
          <w:p w14:paraId="47949564">
            <w:pPr>
              <w:widowControl/>
              <w:jc w:val="center"/>
              <w:rPr>
                <w:rFonts w:hint="eastAsia"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7月14-15</w:t>
            </w:r>
            <w:r>
              <w:rPr>
                <w:rFonts w:hint="eastAsia" w:ascii="Times New Roman" w:eastAsia="宋体"/>
                <w:b w:val="0"/>
                <w:bCs w:val="0"/>
                <w:color w:val="auto"/>
                <w:kern w:val="0"/>
                <w:sz w:val="21"/>
                <w:szCs w:val="21"/>
                <w:lang w:val="en-US" w:eastAsia="zh-CN"/>
              </w:rPr>
              <w:t>日</w:t>
            </w:r>
          </w:p>
        </w:tc>
      </w:tr>
      <w:tr w14:paraId="10BFB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43E9A7D4">
            <w:pPr>
              <w:widowControl/>
              <w:jc w:val="center"/>
              <w:rPr>
                <w:b w:val="0"/>
                <w:bCs w:val="0"/>
                <w:color w:val="auto"/>
                <w:kern w:val="0"/>
                <w:sz w:val="21"/>
                <w:szCs w:val="21"/>
                <w:lang w:val="en-US" w:eastAsia="en-US"/>
              </w:rPr>
            </w:pPr>
            <w:r>
              <w:rPr>
                <w:rFonts w:hint="eastAsia"/>
                <w:b w:val="0"/>
                <w:bCs w:val="0"/>
                <w:color w:val="auto"/>
                <w:kern w:val="0"/>
                <w:sz w:val="21"/>
                <w:szCs w:val="21"/>
                <w:lang w:val="en-US" w:eastAsia="zh-CN"/>
              </w:rPr>
              <w:t>样线05</w:t>
            </w:r>
          </w:p>
        </w:tc>
        <w:tc>
          <w:tcPr>
            <w:tcW w:w="726" w:type="pct"/>
            <w:vAlign w:val="center"/>
          </w:tcPr>
          <w:p w14:paraId="629F9BB3">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碾盘洲</w:t>
            </w:r>
          </w:p>
        </w:tc>
        <w:tc>
          <w:tcPr>
            <w:tcW w:w="1869" w:type="pct"/>
            <w:vAlign w:val="center"/>
          </w:tcPr>
          <w:p w14:paraId="72FF52FA">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起点坐标：112.787539383，29.493686015</w:t>
            </w:r>
          </w:p>
          <w:p w14:paraId="39E1EC58">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终点坐标：112.782046218，29.491196925</w:t>
            </w:r>
          </w:p>
        </w:tc>
        <w:tc>
          <w:tcPr>
            <w:tcW w:w="653" w:type="pct"/>
            <w:vAlign w:val="center"/>
          </w:tcPr>
          <w:p w14:paraId="64D39713">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600</w:t>
            </w:r>
          </w:p>
        </w:tc>
        <w:tc>
          <w:tcPr>
            <w:tcW w:w="600" w:type="pct"/>
            <w:vAlign w:val="center"/>
          </w:tcPr>
          <w:p w14:paraId="4E284CA8">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湿地</w:t>
            </w:r>
          </w:p>
        </w:tc>
        <w:tc>
          <w:tcPr>
            <w:tcW w:w="601" w:type="pct"/>
            <w:vAlign w:val="center"/>
          </w:tcPr>
          <w:p w14:paraId="2F2D26A9">
            <w:pPr>
              <w:widowControl/>
              <w:jc w:val="center"/>
              <w:rPr>
                <w:rFonts w:hint="eastAsia"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7月26-27</w:t>
            </w:r>
            <w:r>
              <w:rPr>
                <w:rFonts w:hint="eastAsia" w:ascii="Times New Roman" w:eastAsia="宋体"/>
                <w:b w:val="0"/>
                <w:bCs w:val="0"/>
                <w:color w:val="auto"/>
                <w:kern w:val="0"/>
                <w:sz w:val="21"/>
                <w:szCs w:val="21"/>
                <w:lang w:val="en-US" w:eastAsia="zh-CN"/>
              </w:rPr>
              <w:t>日</w:t>
            </w:r>
          </w:p>
        </w:tc>
      </w:tr>
      <w:tr w14:paraId="33377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48" w:type="pct"/>
            <w:vAlign w:val="center"/>
          </w:tcPr>
          <w:p w14:paraId="00CE6904">
            <w:pPr>
              <w:widowControl/>
              <w:jc w:val="center"/>
              <w:rPr>
                <w:rFonts w:hint="eastAsia"/>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样线0</w:t>
            </w:r>
            <w:r>
              <w:rPr>
                <w:rFonts w:hint="eastAsia"/>
                <w:b w:val="0"/>
                <w:bCs w:val="0"/>
                <w:color w:val="auto"/>
                <w:kern w:val="0"/>
                <w:sz w:val="21"/>
                <w:szCs w:val="21"/>
                <w:lang w:val="en-US" w:eastAsia="zh-CN"/>
              </w:rPr>
              <w:t>6</w:t>
            </w:r>
          </w:p>
        </w:tc>
        <w:tc>
          <w:tcPr>
            <w:tcW w:w="726" w:type="pct"/>
            <w:vAlign w:val="center"/>
          </w:tcPr>
          <w:p w14:paraId="6B1B431B">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采桑湖周边</w:t>
            </w:r>
          </w:p>
        </w:tc>
        <w:tc>
          <w:tcPr>
            <w:tcW w:w="1869" w:type="pct"/>
            <w:vAlign w:val="center"/>
          </w:tcPr>
          <w:p w14:paraId="57E0413F">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起点坐标：112.799341102，29.500563199</w:t>
            </w:r>
          </w:p>
          <w:p w14:paraId="01C30F51">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终点坐标：112.812301536，29.511249120</w:t>
            </w:r>
          </w:p>
        </w:tc>
        <w:tc>
          <w:tcPr>
            <w:tcW w:w="653" w:type="pct"/>
            <w:vAlign w:val="center"/>
          </w:tcPr>
          <w:p w14:paraId="278CF983">
            <w:pPr>
              <w:widowControl/>
              <w:jc w:val="center"/>
              <w:rPr>
                <w:rFonts w:hint="default"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1738</w:t>
            </w:r>
          </w:p>
        </w:tc>
        <w:tc>
          <w:tcPr>
            <w:tcW w:w="600" w:type="pct"/>
            <w:vAlign w:val="center"/>
          </w:tcPr>
          <w:p w14:paraId="7A42BE35">
            <w:pPr>
              <w:widowControl/>
              <w:jc w:val="center"/>
              <w:rPr>
                <w:rFonts w:hint="eastAsia" w:ascii="Times New Roman" w:eastAsia="宋体"/>
                <w:b w:val="0"/>
                <w:bCs w:val="0"/>
                <w:color w:val="auto"/>
                <w:kern w:val="0"/>
                <w:sz w:val="21"/>
                <w:szCs w:val="21"/>
                <w:lang w:val="en-US" w:eastAsia="zh-CN"/>
              </w:rPr>
            </w:pPr>
            <w:r>
              <w:rPr>
                <w:rFonts w:hint="eastAsia" w:ascii="Times New Roman" w:eastAsia="宋体"/>
                <w:b w:val="0"/>
                <w:bCs w:val="0"/>
                <w:color w:val="auto"/>
                <w:kern w:val="0"/>
                <w:sz w:val="21"/>
                <w:szCs w:val="21"/>
                <w:lang w:val="en-US" w:eastAsia="zh-CN"/>
              </w:rPr>
              <w:t>湿地</w:t>
            </w:r>
          </w:p>
        </w:tc>
        <w:tc>
          <w:tcPr>
            <w:tcW w:w="601" w:type="pct"/>
            <w:vAlign w:val="center"/>
          </w:tcPr>
          <w:p w14:paraId="146BD29D">
            <w:pPr>
              <w:widowControl/>
              <w:jc w:val="center"/>
              <w:rPr>
                <w:rFonts w:hint="eastAsia" w:ascii="Times New Roman" w:eastAsia="宋体"/>
                <w:b w:val="0"/>
                <w:bCs w:val="0"/>
                <w:color w:val="auto"/>
                <w:kern w:val="0"/>
                <w:sz w:val="21"/>
                <w:szCs w:val="21"/>
                <w:lang w:val="en-US" w:eastAsia="zh-CN"/>
              </w:rPr>
            </w:pPr>
            <w:r>
              <w:rPr>
                <w:rFonts w:hint="eastAsia"/>
                <w:b w:val="0"/>
                <w:bCs w:val="0"/>
                <w:color w:val="auto"/>
                <w:kern w:val="0"/>
                <w:sz w:val="21"/>
                <w:szCs w:val="21"/>
                <w:lang w:val="en-US" w:eastAsia="zh-CN"/>
              </w:rPr>
              <w:t>7月22-23</w:t>
            </w:r>
            <w:r>
              <w:rPr>
                <w:rFonts w:hint="eastAsia" w:ascii="Times New Roman" w:eastAsia="宋体"/>
                <w:b w:val="0"/>
                <w:bCs w:val="0"/>
                <w:color w:val="auto"/>
                <w:kern w:val="0"/>
                <w:sz w:val="21"/>
                <w:szCs w:val="21"/>
                <w:lang w:val="en-US" w:eastAsia="zh-CN"/>
              </w:rPr>
              <w:t>日</w:t>
            </w:r>
          </w:p>
        </w:tc>
      </w:tr>
    </w:tbl>
    <w:p w14:paraId="46217991">
      <w:pPr>
        <w:pStyle w:val="82"/>
        <w:widowControl w:val="0"/>
        <w:spacing w:line="360" w:lineRule="auto"/>
        <w:outlineLvl w:val="1"/>
        <w:rPr>
          <w:rFonts w:ascii="Times New Roman" w:hAnsi="Times New Roman" w:eastAsia="宋体" w:cs="Times New Roman"/>
          <w:b/>
          <w:color w:val="auto"/>
          <w:sz w:val="30"/>
          <w:szCs w:val="30"/>
        </w:rPr>
      </w:pPr>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4土地利用现状调查</w:t>
      </w:r>
      <w:bookmarkEnd w:id="121"/>
      <w:bookmarkEnd w:id="122"/>
    </w:p>
    <w:p w14:paraId="0D419774">
      <w:pPr>
        <w:widowControl/>
        <w:wordWrap w:val="0"/>
        <w:spacing w:line="360" w:lineRule="auto"/>
        <w:ind w:firstLine="480" w:firstLineChars="200"/>
        <w:rPr>
          <w:color w:val="auto"/>
          <w:sz w:val="24"/>
        </w:rPr>
      </w:pPr>
      <w:r>
        <w:rPr>
          <w:color w:val="auto"/>
          <w:sz w:val="24"/>
        </w:rPr>
        <w:t>评价范围内土地利用现状评价是在卫片解译的基础上，结合现有的资料，运用景观法（即以植被作为主导因素），并结合土壤、地貌等因子进行综合分析后对土地进行分类，将土地利用格局的拼块类型分为林地、灌草地、耕地、水域（含滩涂）及建设用地五种类型。</w:t>
      </w:r>
    </w:p>
    <w:p w14:paraId="285C0692">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3.</w:t>
      </w:r>
      <w:r>
        <w:rPr>
          <w:b/>
          <w:bCs/>
          <w:color w:val="auto"/>
          <w:sz w:val="21"/>
          <w:szCs w:val="21"/>
        </w:rPr>
        <w:t>4-1   评价区土地利用现状</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2383"/>
        <w:gridCol w:w="3245"/>
      </w:tblGrid>
      <w:tr w14:paraId="5A0F9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6D74E92D">
            <w:pPr>
              <w:widowControl/>
              <w:jc w:val="center"/>
              <w:rPr>
                <w:b/>
                <w:bCs/>
                <w:color w:val="auto"/>
                <w:kern w:val="0"/>
                <w:szCs w:val="21"/>
              </w:rPr>
            </w:pPr>
            <w:r>
              <w:rPr>
                <w:b/>
                <w:bCs/>
                <w:color w:val="auto"/>
                <w:kern w:val="0"/>
                <w:szCs w:val="21"/>
              </w:rPr>
              <w:t>占地类型</w:t>
            </w:r>
          </w:p>
        </w:tc>
        <w:tc>
          <w:tcPr>
            <w:tcW w:w="1399" w:type="pct"/>
            <w:tcBorders>
              <w:tl2br w:val="nil"/>
              <w:tr2bl w:val="nil"/>
            </w:tcBorders>
            <w:vAlign w:val="center"/>
          </w:tcPr>
          <w:p w14:paraId="392250E5">
            <w:pPr>
              <w:widowControl/>
              <w:jc w:val="center"/>
              <w:rPr>
                <w:b/>
                <w:bCs/>
                <w:color w:val="auto"/>
                <w:kern w:val="0"/>
                <w:szCs w:val="21"/>
              </w:rPr>
            </w:pPr>
            <w:r>
              <w:rPr>
                <w:b/>
                <w:bCs/>
                <w:color w:val="auto"/>
                <w:kern w:val="0"/>
                <w:szCs w:val="21"/>
              </w:rPr>
              <w:t>面积（hm</w:t>
            </w:r>
            <w:r>
              <w:rPr>
                <w:b/>
                <w:bCs/>
                <w:color w:val="auto"/>
                <w:kern w:val="0"/>
                <w:szCs w:val="21"/>
                <w:vertAlign w:val="superscript"/>
              </w:rPr>
              <w:t>2</w:t>
            </w:r>
            <w:r>
              <w:rPr>
                <w:b/>
                <w:bCs/>
                <w:color w:val="auto"/>
                <w:kern w:val="0"/>
                <w:szCs w:val="21"/>
              </w:rPr>
              <w:t>）</w:t>
            </w:r>
          </w:p>
        </w:tc>
        <w:tc>
          <w:tcPr>
            <w:tcW w:w="1905" w:type="pct"/>
            <w:tcBorders>
              <w:tl2br w:val="nil"/>
              <w:tr2bl w:val="nil"/>
            </w:tcBorders>
            <w:vAlign w:val="center"/>
          </w:tcPr>
          <w:p w14:paraId="74862A3E">
            <w:pPr>
              <w:widowControl/>
              <w:jc w:val="center"/>
              <w:rPr>
                <w:b/>
                <w:bCs/>
                <w:color w:val="auto"/>
                <w:kern w:val="0"/>
                <w:szCs w:val="21"/>
              </w:rPr>
            </w:pPr>
            <w:r>
              <w:rPr>
                <w:b/>
                <w:bCs/>
                <w:color w:val="auto"/>
                <w:kern w:val="0"/>
                <w:szCs w:val="21"/>
              </w:rPr>
              <w:t>占评价范围（％）</w:t>
            </w:r>
          </w:p>
        </w:tc>
      </w:tr>
      <w:tr w14:paraId="25889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222926CC">
            <w:pPr>
              <w:widowControl/>
              <w:jc w:val="center"/>
              <w:rPr>
                <w:color w:val="auto"/>
                <w:kern w:val="0"/>
                <w:szCs w:val="21"/>
              </w:rPr>
            </w:pPr>
            <w:r>
              <w:rPr>
                <w:color w:val="auto"/>
                <w:kern w:val="0"/>
                <w:szCs w:val="21"/>
              </w:rPr>
              <w:t>林地</w:t>
            </w:r>
          </w:p>
        </w:tc>
        <w:tc>
          <w:tcPr>
            <w:tcW w:w="2383" w:type="dxa"/>
            <w:tcBorders>
              <w:tl2br w:val="nil"/>
              <w:tr2bl w:val="nil"/>
            </w:tcBorders>
            <w:vAlign w:val="center"/>
          </w:tcPr>
          <w:p w14:paraId="1FC23515">
            <w:pPr>
              <w:widowControl/>
              <w:jc w:val="center"/>
              <w:textAlignment w:val="center"/>
              <w:rPr>
                <w:color w:val="auto"/>
                <w:kern w:val="0"/>
                <w:szCs w:val="21"/>
              </w:rPr>
            </w:pPr>
            <w:r>
              <w:rPr>
                <w:color w:val="auto"/>
                <w:kern w:val="0"/>
                <w:szCs w:val="21"/>
                <w:lang w:bidi="ar"/>
              </w:rPr>
              <w:t>18.721</w:t>
            </w:r>
          </w:p>
        </w:tc>
        <w:tc>
          <w:tcPr>
            <w:tcW w:w="1905" w:type="pct"/>
            <w:tcBorders>
              <w:tl2br w:val="nil"/>
              <w:tr2bl w:val="nil"/>
            </w:tcBorders>
            <w:vAlign w:val="center"/>
          </w:tcPr>
          <w:p w14:paraId="787B195A">
            <w:pPr>
              <w:widowControl/>
              <w:jc w:val="center"/>
              <w:rPr>
                <w:color w:val="auto"/>
                <w:kern w:val="0"/>
                <w:szCs w:val="21"/>
              </w:rPr>
            </w:pPr>
            <w:r>
              <w:rPr>
                <w:color w:val="auto"/>
                <w:kern w:val="0"/>
                <w:szCs w:val="21"/>
              </w:rPr>
              <w:t>3.93</w:t>
            </w:r>
          </w:p>
        </w:tc>
      </w:tr>
      <w:tr w14:paraId="13DA6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0326D82C">
            <w:pPr>
              <w:widowControl/>
              <w:jc w:val="center"/>
              <w:rPr>
                <w:color w:val="auto"/>
                <w:kern w:val="0"/>
                <w:szCs w:val="21"/>
              </w:rPr>
            </w:pPr>
            <w:r>
              <w:rPr>
                <w:color w:val="auto"/>
                <w:kern w:val="0"/>
                <w:szCs w:val="21"/>
              </w:rPr>
              <w:t>灌草地</w:t>
            </w:r>
          </w:p>
        </w:tc>
        <w:tc>
          <w:tcPr>
            <w:tcW w:w="2383" w:type="dxa"/>
            <w:tcBorders>
              <w:tl2br w:val="nil"/>
              <w:tr2bl w:val="nil"/>
            </w:tcBorders>
            <w:vAlign w:val="center"/>
          </w:tcPr>
          <w:p w14:paraId="043FB41B">
            <w:pPr>
              <w:widowControl/>
              <w:jc w:val="center"/>
              <w:textAlignment w:val="center"/>
              <w:rPr>
                <w:color w:val="auto"/>
                <w:kern w:val="0"/>
                <w:szCs w:val="21"/>
              </w:rPr>
            </w:pPr>
            <w:r>
              <w:rPr>
                <w:color w:val="auto"/>
                <w:kern w:val="0"/>
                <w:szCs w:val="21"/>
                <w:lang w:bidi="ar"/>
              </w:rPr>
              <w:t>83.124</w:t>
            </w:r>
          </w:p>
        </w:tc>
        <w:tc>
          <w:tcPr>
            <w:tcW w:w="1905" w:type="pct"/>
            <w:tcBorders>
              <w:tl2br w:val="nil"/>
              <w:tr2bl w:val="nil"/>
            </w:tcBorders>
            <w:vAlign w:val="center"/>
          </w:tcPr>
          <w:p w14:paraId="1AED120E">
            <w:pPr>
              <w:widowControl/>
              <w:jc w:val="center"/>
              <w:rPr>
                <w:color w:val="auto"/>
                <w:kern w:val="0"/>
                <w:szCs w:val="21"/>
              </w:rPr>
            </w:pPr>
            <w:r>
              <w:rPr>
                <w:color w:val="auto"/>
                <w:kern w:val="0"/>
                <w:szCs w:val="21"/>
              </w:rPr>
              <w:t>17.45</w:t>
            </w:r>
          </w:p>
        </w:tc>
      </w:tr>
      <w:tr w14:paraId="4C036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3DB81FA9">
            <w:pPr>
              <w:widowControl/>
              <w:jc w:val="center"/>
              <w:rPr>
                <w:color w:val="auto"/>
                <w:kern w:val="0"/>
                <w:szCs w:val="21"/>
              </w:rPr>
            </w:pPr>
            <w:r>
              <w:rPr>
                <w:color w:val="auto"/>
                <w:kern w:val="0"/>
                <w:szCs w:val="21"/>
              </w:rPr>
              <w:t>耕地</w:t>
            </w:r>
          </w:p>
        </w:tc>
        <w:tc>
          <w:tcPr>
            <w:tcW w:w="2383" w:type="dxa"/>
            <w:tcBorders>
              <w:tl2br w:val="nil"/>
              <w:tr2bl w:val="nil"/>
            </w:tcBorders>
            <w:vAlign w:val="center"/>
          </w:tcPr>
          <w:p w14:paraId="5BA37092">
            <w:pPr>
              <w:widowControl/>
              <w:jc w:val="center"/>
              <w:textAlignment w:val="center"/>
              <w:rPr>
                <w:color w:val="auto"/>
                <w:kern w:val="0"/>
                <w:szCs w:val="21"/>
              </w:rPr>
            </w:pPr>
            <w:r>
              <w:rPr>
                <w:color w:val="auto"/>
                <w:kern w:val="0"/>
                <w:szCs w:val="21"/>
                <w:lang w:bidi="ar"/>
              </w:rPr>
              <w:t>121.852</w:t>
            </w:r>
          </w:p>
        </w:tc>
        <w:tc>
          <w:tcPr>
            <w:tcW w:w="1905" w:type="pct"/>
            <w:tcBorders>
              <w:tl2br w:val="nil"/>
              <w:tr2bl w:val="nil"/>
            </w:tcBorders>
            <w:vAlign w:val="center"/>
          </w:tcPr>
          <w:p w14:paraId="28226EDA">
            <w:pPr>
              <w:widowControl/>
              <w:jc w:val="center"/>
              <w:rPr>
                <w:color w:val="auto"/>
                <w:kern w:val="0"/>
                <w:szCs w:val="21"/>
              </w:rPr>
            </w:pPr>
            <w:r>
              <w:rPr>
                <w:color w:val="auto"/>
                <w:kern w:val="0"/>
                <w:szCs w:val="21"/>
              </w:rPr>
              <w:t>25.58</w:t>
            </w:r>
          </w:p>
        </w:tc>
      </w:tr>
      <w:tr w14:paraId="0ECFF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393580BD">
            <w:pPr>
              <w:widowControl/>
              <w:jc w:val="center"/>
              <w:rPr>
                <w:color w:val="auto"/>
                <w:kern w:val="0"/>
                <w:szCs w:val="21"/>
              </w:rPr>
            </w:pPr>
            <w:r>
              <w:rPr>
                <w:color w:val="auto"/>
                <w:kern w:val="0"/>
                <w:szCs w:val="21"/>
              </w:rPr>
              <w:t>水域（含滩涂）</w:t>
            </w:r>
          </w:p>
        </w:tc>
        <w:tc>
          <w:tcPr>
            <w:tcW w:w="2383" w:type="dxa"/>
            <w:tcBorders>
              <w:tl2br w:val="nil"/>
              <w:tr2bl w:val="nil"/>
            </w:tcBorders>
            <w:vAlign w:val="center"/>
          </w:tcPr>
          <w:p w14:paraId="5498B4BE">
            <w:pPr>
              <w:widowControl/>
              <w:jc w:val="center"/>
              <w:textAlignment w:val="center"/>
              <w:rPr>
                <w:color w:val="auto"/>
                <w:kern w:val="0"/>
                <w:szCs w:val="21"/>
              </w:rPr>
            </w:pPr>
            <w:r>
              <w:rPr>
                <w:color w:val="auto"/>
                <w:kern w:val="0"/>
                <w:szCs w:val="21"/>
                <w:lang w:bidi="ar"/>
              </w:rPr>
              <w:t>213.265</w:t>
            </w:r>
          </w:p>
        </w:tc>
        <w:tc>
          <w:tcPr>
            <w:tcW w:w="1905" w:type="pct"/>
            <w:tcBorders>
              <w:tl2br w:val="nil"/>
              <w:tr2bl w:val="nil"/>
            </w:tcBorders>
            <w:vAlign w:val="center"/>
          </w:tcPr>
          <w:p w14:paraId="015AADF3">
            <w:pPr>
              <w:widowControl/>
              <w:jc w:val="center"/>
              <w:rPr>
                <w:color w:val="auto"/>
                <w:kern w:val="0"/>
                <w:szCs w:val="21"/>
              </w:rPr>
            </w:pPr>
            <w:r>
              <w:rPr>
                <w:color w:val="auto"/>
                <w:kern w:val="0"/>
                <w:szCs w:val="21"/>
              </w:rPr>
              <w:t>44.77</w:t>
            </w:r>
          </w:p>
        </w:tc>
      </w:tr>
      <w:tr w14:paraId="1B885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5C371067">
            <w:pPr>
              <w:widowControl/>
              <w:jc w:val="center"/>
              <w:rPr>
                <w:color w:val="auto"/>
                <w:kern w:val="0"/>
                <w:szCs w:val="21"/>
              </w:rPr>
            </w:pPr>
            <w:r>
              <w:rPr>
                <w:color w:val="auto"/>
                <w:kern w:val="0"/>
                <w:szCs w:val="21"/>
              </w:rPr>
              <w:t>建设用地</w:t>
            </w:r>
          </w:p>
        </w:tc>
        <w:tc>
          <w:tcPr>
            <w:tcW w:w="2383" w:type="dxa"/>
            <w:tcBorders>
              <w:tl2br w:val="nil"/>
              <w:tr2bl w:val="nil"/>
            </w:tcBorders>
            <w:vAlign w:val="center"/>
          </w:tcPr>
          <w:p w14:paraId="477D394A">
            <w:pPr>
              <w:widowControl/>
              <w:jc w:val="center"/>
              <w:textAlignment w:val="center"/>
              <w:rPr>
                <w:color w:val="auto"/>
                <w:kern w:val="0"/>
                <w:szCs w:val="21"/>
              </w:rPr>
            </w:pPr>
            <w:r>
              <w:rPr>
                <w:color w:val="auto"/>
                <w:kern w:val="0"/>
                <w:szCs w:val="21"/>
                <w:lang w:bidi="ar"/>
              </w:rPr>
              <w:t>39.395</w:t>
            </w:r>
          </w:p>
        </w:tc>
        <w:tc>
          <w:tcPr>
            <w:tcW w:w="1905" w:type="pct"/>
            <w:tcBorders>
              <w:tl2br w:val="nil"/>
              <w:tr2bl w:val="nil"/>
            </w:tcBorders>
            <w:vAlign w:val="center"/>
          </w:tcPr>
          <w:p w14:paraId="2A0BA367">
            <w:pPr>
              <w:widowControl/>
              <w:jc w:val="center"/>
              <w:rPr>
                <w:color w:val="auto"/>
                <w:kern w:val="0"/>
                <w:szCs w:val="21"/>
              </w:rPr>
            </w:pPr>
            <w:r>
              <w:rPr>
                <w:color w:val="auto"/>
                <w:kern w:val="0"/>
                <w:szCs w:val="21"/>
              </w:rPr>
              <w:t>8.27</w:t>
            </w:r>
          </w:p>
        </w:tc>
      </w:tr>
      <w:tr w14:paraId="30342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4" w:type="pct"/>
            <w:tcBorders>
              <w:tl2br w:val="nil"/>
              <w:tr2bl w:val="nil"/>
            </w:tcBorders>
            <w:vAlign w:val="center"/>
          </w:tcPr>
          <w:p w14:paraId="59D36D84">
            <w:pPr>
              <w:widowControl/>
              <w:jc w:val="center"/>
              <w:rPr>
                <w:color w:val="auto"/>
                <w:kern w:val="0"/>
                <w:szCs w:val="21"/>
              </w:rPr>
            </w:pPr>
            <w:r>
              <w:rPr>
                <w:color w:val="auto"/>
                <w:kern w:val="0"/>
                <w:szCs w:val="21"/>
              </w:rPr>
              <w:t>合计</w:t>
            </w:r>
          </w:p>
        </w:tc>
        <w:tc>
          <w:tcPr>
            <w:tcW w:w="2383" w:type="dxa"/>
            <w:tcBorders>
              <w:tl2br w:val="nil"/>
              <w:tr2bl w:val="nil"/>
            </w:tcBorders>
            <w:vAlign w:val="center"/>
          </w:tcPr>
          <w:p w14:paraId="1F1D49EE">
            <w:pPr>
              <w:widowControl/>
              <w:jc w:val="center"/>
              <w:textAlignment w:val="center"/>
              <w:rPr>
                <w:color w:val="auto"/>
                <w:kern w:val="0"/>
                <w:szCs w:val="21"/>
              </w:rPr>
            </w:pPr>
            <w:r>
              <w:rPr>
                <w:color w:val="auto"/>
                <w:kern w:val="0"/>
                <w:szCs w:val="21"/>
                <w:lang w:bidi="ar"/>
              </w:rPr>
              <w:t>476.357</w:t>
            </w:r>
          </w:p>
        </w:tc>
        <w:tc>
          <w:tcPr>
            <w:tcW w:w="1905" w:type="pct"/>
            <w:tcBorders>
              <w:tl2br w:val="nil"/>
              <w:tr2bl w:val="nil"/>
            </w:tcBorders>
            <w:vAlign w:val="center"/>
          </w:tcPr>
          <w:p w14:paraId="41A9F54B">
            <w:pPr>
              <w:widowControl/>
              <w:jc w:val="center"/>
              <w:rPr>
                <w:color w:val="auto"/>
                <w:kern w:val="0"/>
                <w:szCs w:val="21"/>
              </w:rPr>
            </w:pPr>
            <w:r>
              <w:rPr>
                <w:color w:val="auto"/>
                <w:kern w:val="0"/>
                <w:szCs w:val="21"/>
              </w:rPr>
              <w:t>100.00</w:t>
            </w:r>
          </w:p>
        </w:tc>
      </w:tr>
    </w:tbl>
    <w:p w14:paraId="5B364286">
      <w:pPr>
        <w:pStyle w:val="89"/>
        <w:ind w:firstLine="480" w:firstLineChars="200"/>
        <w:rPr>
          <w:color w:val="auto"/>
        </w:rPr>
      </w:pPr>
      <w:r>
        <w:rPr>
          <w:color w:val="auto"/>
        </w:rPr>
        <w:t>从上表中可以看出：评价范围内水域（含滩涂）所占比例最大，面积为213.265hm</w:t>
      </w:r>
      <w:r>
        <w:rPr>
          <w:color w:val="auto"/>
          <w:vertAlign w:val="superscript"/>
        </w:rPr>
        <w:t>2</w:t>
      </w:r>
      <w:r>
        <w:rPr>
          <w:color w:val="auto"/>
        </w:rPr>
        <w:t>，占评价范围总面积的44.77%，为评价区的主要用地类型；其次是耕地，面积为121.852hm</w:t>
      </w:r>
      <w:r>
        <w:rPr>
          <w:color w:val="auto"/>
          <w:vertAlign w:val="superscript"/>
        </w:rPr>
        <w:t>2</w:t>
      </w:r>
      <w:r>
        <w:rPr>
          <w:color w:val="auto"/>
        </w:rPr>
        <w:t>，占总面积的25.58%；灌草地面积83.124hm</w:t>
      </w:r>
      <w:r>
        <w:rPr>
          <w:color w:val="auto"/>
          <w:vertAlign w:val="superscript"/>
        </w:rPr>
        <w:t>2</w:t>
      </w:r>
      <w:r>
        <w:rPr>
          <w:color w:val="auto"/>
        </w:rPr>
        <w:t>，占总面积的17.45%；林地面积为18.721hm</w:t>
      </w:r>
      <w:r>
        <w:rPr>
          <w:color w:val="auto"/>
          <w:vertAlign w:val="superscript"/>
        </w:rPr>
        <w:t>2</w:t>
      </w:r>
      <w:r>
        <w:rPr>
          <w:color w:val="auto"/>
        </w:rPr>
        <w:t>，占总面积的3.93%；建设用地占地面积为39.395hm</w:t>
      </w:r>
      <w:r>
        <w:rPr>
          <w:color w:val="auto"/>
          <w:vertAlign w:val="superscript"/>
        </w:rPr>
        <w:t>2</w:t>
      </w:r>
      <w:r>
        <w:rPr>
          <w:color w:val="auto"/>
        </w:rPr>
        <w:t>，占总面积的8.27%。</w:t>
      </w:r>
    </w:p>
    <w:p w14:paraId="4BA2EBF7">
      <w:pPr>
        <w:pStyle w:val="82"/>
        <w:widowControl w:val="0"/>
        <w:spacing w:line="360" w:lineRule="auto"/>
        <w:outlineLvl w:val="1"/>
        <w:rPr>
          <w:rFonts w:ascii="Times New Roman" w:hAnsi="Times New Roman" w:eastAsia="宋体" w:cs="Times New Roman"/>
          <w:b/>
          <w:color w:val="auto"/>
          <w:sz w:val="30"/>
          <w:szCs w:val="30"/>
        </w:rPr>
      </w:pPr>
      <w:bookmarkStart w:id="123" w:name="_Toc29636"/>
      <w:bookmarkStart w:id="124" w:name="_Toc13192"/>
      <w:bookmarkStart w:id="125" w:name="_Toc16911"/>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5生态系统现状调查</w:t>
      </w:r>
      <w:bookmarkEnd w:id="123"/>
      <w:bookmarkEnd w:id="124"/>
      <w:bookmarkEnd w:id="125"/>
    </w:p>
    <w:p w14:paraId="4443420A">
      <w:pPr>
        <w:spacing w:line="360" w:lineRule="auto"/>
        <w:ind w:firstLine="480" w:firstLineChars="200"/>
        <w:rPr>
          <w:color w:val="auto"/>
          <w:kern w:val="0"/>
          <w:sz w:val="24"/>
        </w:rPr>
      </w:pPr>
      <w:r>
        <w:rPr>
          <w:color w:val="auto"/>
          <w:kern w:val="0"/>
          <w:sz w:val="24"/>
        </w:rPr>
        <w:t>项目</w:t>
      </w:r>
      <w:r>
        <w:rPr>
          <w:bCs/>
          <w:color w:val="auto"/>
          <w:kern w:val="0"/>
          <w:sz w:val="24"/>
        </w:rPr>
        <w:t>利用湖南省岳阳市君山区钱粮湖镇银杯社区方台村5组（现采桑湖渔场一荷三虾养殖基地）农户鱼塘进行升级改造，均位于保护区实验区内</w:t>
      </w:r>
      <w:r>
        <w:rPr>
          <w:color w:val="auto"/>
          <w:kern w:val="0"/>
          <w:sz w:val="24"/>
        </w:rPr>
        <w:t>，根据重点评价区土地类型，结合遥感影像数据，将评价区内生态系统划分森林生态系统、草地生态系统、农业生态系统、湿地生态系统和村镇生态系统。评价区以最外围工程及施工场地边界向外扩展300m的范围，涉及保护区段外扩1000m，评价区总面积476.357hm²。各生态系统面积统计见下表。</w:t>
      </w:r>
    </w:p>
    <w:p w14:paraId="63495545">
      <w:pPr>
        <w:widowControl/>
        <w:jc w:val="center"/>
        <w:rPr>
          <w:color w:val="auto"/>
          <w:kern w:val="0"/>
          <w:sz w:val="24"/>
        </w:rPr>
      </w:pPr>
      <w:r>
        <w:rPr>
          <w:b/>
          <w:bCs/>
          <w:color w:val="auto"/>
          <w:kern w:val="0"/>
          <w:szCs w:val="21"/>
        </w:rPr>
        <w:t>表</w:t>
      </w:r>
      <w:r>
        <w:rPr>
          <w:rFonts w:hint="eastAsia"/>
          <w:b/>
          <w:bCs/>
          <w:color w:val="auto"/>
          <w:kern w:val="0"/>
          <w:szCs w:val="21"/>
        </w:rPr>
        <w:t>3.</w:t>
      </w:r>
      <w:r>
        <w:rPr>
          <w:b/>
          <w:bCs/>
          <w:color w:val="auto"/>
          <w:kern w:val="0"/>
          <w:szCs w:val="21"/>
        </w:rPr>
        <w:t xml:space="preserve">5-1   </w:t>
      </w:r>
      <w:r>
        <w:rPr>
          <w:b/>
          <w:color w:val="auto"/>
          <w:kern w:val="0"/>
          <w:szCs w:val="21"/>
        </w:rPr>
        <w:t>评价区生态系统现状表</w:t>
      </w:r>
    </w:p>
    <w:tbl>
      <w:tblPr>
        <w:tblStyle w:val="27"/>
        <w:tblW w:w="0" w:type="auto"/>
        <w:jc w:val="center"/>
        <w:tblLayout w:type="autofit"/>
        <w:tblCellMar>
          <w:top w:w="0" w:type="dxa"/>
          <w:left w:w="108" w:type="dxa"/>
          <w:bottom w:w="0" w:type="dxa"/>
          <w:right w:w="108" w:type="dxa"/>
        </w:tblCellMar>
      </w:tblPr>
      <w:tblGrid>
        <w:gridCol w:w="1486"/>
        <w:gridCol w:w="1102"/>
        <w:gridCol w:w="1268"/>
        <w:gridCol w:w="1147"/>
        <w:gridCol w:w="1191"/>
        <w:gridCol w:w="1424"/>
        <w:gridCol w:w="899"/>
      </w:tblGrid>
      <w:tr w14:paraId="325CE6AC">
        <w:tblPrEx>
          <w:tblCellMar>
            <w:top w:w="0" w:type="dxa"/>
            <w:left w:w="108" w:type="dxa"/>
            <w:bottom w:w="0" w:type="dxa"/>
            <w:right w:w="108" w:type="dxa"/>
          </w:tblCellMar>
        </w:tblPrEx>
        <w:trPr>
          <w:jc w:val="center"/>
        </w:trPr>
        <w:tc>
          <w:tcPr>
            <w:tcW w:w="0" w:type="auto"/>
            <w:tcBorders>
              <w:top w:val="single" w:color="auto" w:sz="12" w:space="0"/>
              <w:left w:val="single" w:color="auto" w:sz="12" w:space="0"/>
              <w:bottom w:val="single" w:color="auto" w:sz="4" w:space="0"/>
              <w:right w:val="single" w:color="auto" w:sz="4" w:space="0"/>
            </w:tcBorders>
            <w:vAlign w:val="center"/>
          </w:tcPr>
          <w:p w14:paraId="0F591787">
            <w:pPr>
              <w:widowControl/>
              <w:jc w:val="center"/>
              <w:rPr>
                <w:b/>
                <w:bCs/>
                <w:color w:val="auto"/>
                <w:kern w:val="0"/>
                <w:szCs w:val="21"/>
              </w:rPr>
            </w:pPr>
            <w:r>
              <w:rPr>
                <w:b/>
                <w:bCs/>
                <w:color w:val="auto"/>
                <w:kern w:val="0"/>
                <w:szCs w:val="21"/>
              </w:rPr>
              <w:t>生态系统类型</w:t>
            </w:r>
          </w:p>
        </w:tc>
        <w:tc>
          <w:tcPr>
            <w:tcW w:w="0" w:type="auto"/>
            <w:tcBorders>
              <w:top w:val="single" w:color="auto" w:sz="12" w:space="0"/>
              <w:left w:val="single" w:color="auto" w:sz="4" w:space="0"/>
              <w:bottom w:val="single" w:color="auto" w:sz="4" w:space="0"/>
              <w:right w:val="single" w:color="auto" w:sz="4" w:space="0"/>
            </w:tcBorders>
            <w:vAlign w:val="center"/>
          </w:tcPr>
          <w:p w14:paraId="67E85940">
            <w:pPr>
              <w:widowControl/>
              <w:jc w:val="center"/>
              <w:rPr>
                <w:b/>
                <w:bCs/>
                <w:color w:val="auto"/>
                <w:kern w:val="0"/>
                <w:szCs w:val="21"/>
              </w:rPr>
            </w:pPr>
            <w:r>
              <w:rPr>
                <w:b/>
                <w:bCs/>
                <w:color w:val="auto"/>
                <w:kern w:val="0"/>
                <w:szCs w:val="21"/>
              </w:rPr>
              <w:t>森林生态系统</w:t>
            </w:r>
          </w:p>
        </w:tc>
        <w:tc>
          <w:tcPr>
            <w:tcW w:w="1268" w:type="dxa"/>
            <w:tcBorders>
              <w:top w:val="single" w:color="auto" w:sz="12" w:space="0"/>
              <w:left w:val="single" w:color="auto" w:sz="4" w:space="0"/>
              <w:bottom w:val="single" w:color="auto" w:sz="4" w:space="0"/>
              <w:right w:val="single" w:color="auto" w:sz="4" w:space="0"/>
            </w:tcBorders>
            <w:vAlign w:val="center"/>
          </w:tcPr>
          <w:p w14:paraId="57B4E9D4">
            <w:pPr>
              <w:widowControl/>
              <w:jc w:val="center"/>
              <w:rPr>
                <w:b/>
                <w:bCs/>
                <w:color w:val="auto"/>
                <w:kern w:val="0"/>
                <w:szCs w:val="21"/>
              </w:rPr>
            </w:pPr>
            <w:r>
              <w:rPr>
                <w:b/>
                <w:bCs/>
                <w:color w:val="auto"/>
                <w:kern w:val="0"/>
                <w:szCs w:val="21"/>
              </w:rPr>
              <w:t>灌草地生态系统</w:t>
            </w:r>
          </w:p>
        </w:tc>
        <w:tc>
          <w:tcPr>
            <w:tcW w:w="1147" w:type="dxa"/>
            <w:tcBorders>
              <w:top w:val="single" w:color="auto" w:sz="12" w:space="0"/>
              <w:left w:val="single" w:color="auto" w:sz="4" w:space="0"/>
              <w:bottom w:val="single" w:color="auto" w:sz="4" w:space="0"/>
              <w:right w:val="single" w:color="auto" w:sz="4" w:space="0"/>
            </w:tcBorders>
            <w:vAlign w:val="center"/>
          </w:tcPr>
          <w:p w14:paraId="527B5457">
            <w:pPr>
              <w:widowControl/>
              <w:jc w:val="center"/>
              <w:rPr>
                <w:b/>
                <w:bCs/>
                <w:color w:val="auto"/>
                <w:kern w:val="0"/>
                <w:szCs w:val="21"/>
              </w:rPr>
            </w:pPr>
            <w:r>
              <w:rPr>
                <w:b/>
                <w:bCs/>
                <w:color w:val="auto"/>
                <w:kern w:val="0"/>
                <w:szCs w:val="21"/>
              </w:rPr>
              <w:t>农业生态系统</w:t>
            </w:r>
          </w:p>
        </w:tc>
        <w:tc>
          <w:tcPr>
            <w:tcW w:w="0" w:type="auto"/>
            <w:tcBorders>
              <w:top w:val="single" w:color="auto" w:sz="12" w:space="0"/>
              <w:left w:val="single" w:color="auto" w:sz="4" w:space="0"/>
              <w:bottom w:val="single" w:color="auto" w:sz="4" w:space="0"/>
              <w:right w:val="single" w:color="auto" w:sz="4" w:space="0"/>
            </w:tcBorders>
            <w:vAlign w:val="center"/>
          </w:tcPr>
          <w:p w14:paraId="605F5DC7">
            <w:pPr>
              <w:widowControl/>
              <w:jc w:val="center"/>
              <w:rPr>
                <w:b/>
                <w:bCs/>
                <w:color w:val="auto"/>
                <w:kern w:val="0"/>
                <w:szCs w:val="21"/>
              </w:rPr>
            </w:pPr>
            <w:r>
              <w:rPr>
                <w:b/>
                <w:bCs/>
                <w:color w:val="auto"/>
                <w:kern w:val="0"/>
                <w:szCs w:val="21"/>
              </w:rPr>
              <w:t>湿地生态系统</w:t>
            </w:r>
          </w:p>
        </w:tc>
        <w:tc>
          <w:tcPr>
            <w:tcW w:w="0" w:type="auto"/>
            <w:tcBorders>
              <w:top w:val="single" w:color="auto" w:sz="12" w:space="0"/>
              <w:left w:val="single" w:color="auto" w:sz="4" w:space="0"/>
              <w:bottom w:val="single" w:color="auto" w:sz="4" w:space="0"/>
              <w:right w:val="single" w:color="auto" w:sz="4" w:space="0"/>
            </w:tcBorders>
            <w:vAlign w:val="center"/>
          </w:tcPr>
          <w:p w14:paraId="459D82C5">
            <w:pPr>
              <w:widowControl/>
              <w:jc w:val="center"/>
              <w:rPr>
                <w:b/>
                <w:bCs/>
                <w:color w:val="auto"/>
                <w:kern w:val="0"/>
                <w:szCs w:val="21"/>
              </w:rPr>
            </w:pPr>
            <w:r>
              <w:rPr>
                <w:b/>
                <w:bCs/>
                <w:color w:val="auto"/>
                <w:kern w:val="0"/>
                <w:szCs w:val="21"/>
              </w:rPr>
              <w:t>城镇/村落生态系统</w:t>
            </w:r>
          </w:p>
        </w:tc>
        <w:tc>
          <w:tcPr>
            <w:tcW w:w="0" w:type="auto"/>
            <w:tcBorders>
              <w:top w:val="single" w:color="auto" w:sz="12" w:space="0"/>
              <w:left w:val="single" w:color="auto" w:sz="4" w:space="0"/>
              <w:bottom w:val="single" w:color="auto" w:sz="4" w:space="0"/>
              <w:right w:val="single" w:color="auto" w:sz="12" w:space="0"/>
            </w:tcBorders>
            <w:vAlign w:val="center"/>
          </w:tcPr>
          <w:p w14:paraId="46AE937C">
            <w:pPr>
              <w:widowControl/>
              <w:jc w:val="center"/>
              <w:rPr>
                <w:b/>
                <w:bCs/>
                <w:color w:val="auto"/>
                <w:kern w:val="0"/>
                <w:szCs w:val="21"/>
              </w:rPr>
            </w:pPr>
            <w:r>
              <w:rPr>
                <w:b/>
                <w:bCs/>
                <w:color w:val="auto"/>
                <w:kern w:val="0"/>
                <w:szCs w:val="21"/>
              </w:rPr>
              <w:t>合计</w:t>
            </w:r>
          </w:p>
        </w:tc>
      </w:tr>
      <w:tr w14:paraId="1918E2E7">
        <w:tblPrEx>
          <w:tblCellMar>
            <w:top w:w="0" w:type="dxa"/>
            <w:left w:w="108" w:type="dxa"/>
            <w:bottom w:w="0" w:type="dxa"/>
            <w:right w:w="108" w:type="dxa"/>
          </w:tblCellMar>
        </w:tblPrEx>
        <w:trPr>
          <w:jc w:val="center"/>
        </w:trPr>
        <w:tc>
          <w:tcPr>
            <w:tcW w:w="0" w:type="auto"/>
            <w:tcBorders>
              <w:top w:val="single" w:color="auto" w:sz="4" w:space="0"/>
              <w:left w:val="single" w:color="auto" w:sz="12" w:space="0"/>
              <w:bottom w:val="single" w:color="auto" w:sz="4" w:space="0"/>
              <w:right w:val="single" w:color="auto" w:sz="4" w:space="0"/>
            </w:tcBorders>
            <w:vAlign w:val="center"/>
          </w:tcPr>
          <w:p w14:paraId="310A1A2B">
            <w:pPr>
              <w:widowControl/>
              <w:jc w:val="center"/>
              <w:rPr>
                <w:color w:val="auto"/>
                <w:kern w:val="0"/>
                <w:szCs w:val="21"/>
              </w:rPr>
            </w:pPr>
            <w:r>
              <w:rPr>
                <w:color w:val="auto"/>
                <w:kern w:val="0"/>
                <w:szCs w:val="21"/>
              </w:rPr>
              <w:t>面积（hm</w:t>
            </w:r>
            <w:r>
              <w:rPr>
                <w:color w:val="auto"/>
                <w:kern w:val="0"/>
                <w:szCs w:val="21"/>
                <w:vertAlign w:val="superscript"/>
              </w:rPr>
              <w:t>2</w:t>
            </w:r>
            <w:r>
              <w:rPr>
                <w:color w:val="auto"/>
                <w:kern w:val="0"/>
                <w:szCs w:val="21"/>
              </w:rPr>
              <w:t>）</w:t>
            </w:r>
          </w:p>
        </w:tc>
        <w:tc>
          <w:tcPr>
            <w:tcW w:w="1102" w:type="dxa"/>
            <w:tcBorders>
              <w:top w:val="single" w:color="auto" w:sz="4" w:space="0"/>
              <w:left w:val="single" w:color="auto" w:sz="4" w:space="0"/>
              <w:bottom w:val="single" w:color="auto" w:sz="4" w:space="0"/>
              <w:right w:val="single" w:color="auto" w:sz="4" w:space="0"/>
            </w:tcBorders>
            <w:vAlign w:val="center"/>
          </w:tcPr>
          <w:p w14:paraId="6B9ABA9C">
            <w:pPr>
              <w:widowControl/>
              <w:jc w:val="center"/>
              <w:textAlignment w:val="center"/>
              <w:rPr>
                <w:color w:val="auto"/>
                <w:kern w:val="0"/>
                <w:szCs w:val="21"/>
              </w:rPr>
            </w:pPr>
            <w:r>
              <w:rPr>
                <w:color w:val="auto"/>
                <w:kern w:val="0"/>
                <w:szCs w:val="21"/>
                <w:lang w:bidi="ar"/>
              </w:rPr>
              <w:t>18.721</w:t>
            </w:r>
          </w:p>
        </w:tc>
        <w:tc>
          <w:tcPr>
            <w:tcW w:w="1268" w:type="dxa"/>
            <w:tcBorders>
              <w:top w:val="single" w:color="auto" w:sz="4" w:space="0"/>
              <w:left w:val="single" w:color="auto" w:sz="4" w:space="0"/>
              <w:bottom w:val="single" w:color="auto" w:sz="4" w:space="0"/>
              <w:right w:val="single" w:color="auto" w:sz="4" w:space="0"/>
            </w:tcBorders>
            <w:vAlign w:val="center"/>
          </w:tcPr>
          <w:p w14:paraId="29F5EE75">
            <w:pPr>
              <w:widowControl/>
              <w:jc w:val="center"/>
              <w:textAlignment w:val="center"/>
              <w:rPr>
                <w:color w:val="auto"/>
                <w:kern w:val="0"/>
                <w:szCs w:val="21"/>
              </w:rPr>
            </w:pPr>
            <w:r>
              <w:rPr>
                <w:color w:val="auto"/>
                <w:kern w:val="0"/>
                <w:szCs w:val="21"/>
                <w:lang w:bidi="ar"/>
              </w:rPr>
              <w:t>83.124</w:t>
            </w:r>
          </w:p>
        </w:tc>
        <w:tc>
          <w:tcPr>
            <w:tcW w:w="1147" w:type="dxa"/>
            <w:tcBorders>
              <w:top w:val="single" w:color="auto" w:sz="4" w:space="0"/>
              <w:left w:val="single" w:color="auto" w:sz="4" w:space="0"/>
              <w:bottom w:val="single" w:color="auto" w:sz="4" w:space="0"/>
              <w:right w:val="single" w:color="auto" w:sz="4" w:space="0"/>
            </w:tcBorders>
            <w:vAlign w:val="center"/>
          </w:tcPr>
          <w:p w14:paraId="5AC9B4AD">
            <w:pPr>
              <w:widowControl/>
              <w:jc w:val="center"/>
              <w:textAlignment w:val="center"/>
              <w:rPr>
                <w:color w:val="auto"/>
                <w:kern w:val="0"/>
                <w:szCs w:val="21"/>
              </w:rPr>
            </w:pPr>
            <w:r>
              <w:rPr>
                <w:color w:val="auto"/>
                <w:kern w:val="0"/>
                <w:szCs w:val="21"/>
                <w:lang w:bidi="ar"/>
              </w:rPr>
              <w:t>121.852</w:t>
            </w:r>
          </w:p>
        </w:tc>
        <w:tc>
          <w:tcPr>
            <w:tcW w:w="1191" w:type="dxa"/>
            <w:tcBorders>
              <w:top w:val="single" w:color="auto" w:sz="4" w:space="0"/>
              <w:left w:val="single" w:color="auto" w:sz="4" w:space="0"/>
              <w:bottom w:val="single" w:color="auto" w:sz="4" w:space="0"/>
              <w:right w:val="single" w:color="auto" w:sz="4" w:space="0"/>
            </w:tcBorders>
            <w:vAlign w:val="center"/>
          </w:tcPr>
          <w:p w14:paraId="07253734">
            <w:pPr>
              <w:widowControl/>
              <w:jc w:val="center"/>
              <w:textAlignment w:val="center"/>
              <w:rPr>
                <w:color w:val="auto"/>
                <w:kern w:val="0"/>
                <w:szCs w:val="21"/>
              </w:rPr>
            </w:pPr>
            <w:r>
              <w:rPr>
                <w:color w:val="auto"/>
                <w:kern w:val="0"/>
                <w:szCs w:val="21"/>
                <w:lang w:bidi="ar"/>
              </w:rPr>
              <w:t>213.265</w:t>
            </w:r>
          </w:p>
        </w:tc>
        <w:tc>
          <w:tcPr>
            <w:tcW w:w="1424" w:type="dxa"/>
            <w:tcBorders>
              <w:top w:val="single" w:color="auto" w:sz="4" w:space="0"/>
              <w:left w:val="single" w:color="auto" w:sz="4" w:space="0"/>
              <w:bottom w:val="single" w:color="auto" w:sz="4" w:space="0"/>
              <w:right w:val="single" w:color="auto" w:sz="4" w:space="0"/>
            </w:tcBorders>
            <w:vAlign w:val="center"/>
          </w:tcPr>
          <w:p w14:paraId="39C37E03">
            <w:pPr>
              <w:widowControl/>
              <w:jc w:val="center"/>
              <w:textAlignment w:val="center"/>
              <w:rPr>
                <w:color w:val="auto"/>
                <w:kern w:val="0"/>
                <w:szCs w:val="21"/>
              </w:rPr>
            </w:pPr>
            <w:r>
              <w:rPr>
                <w:color w:val="auto"/>
                <w:kern w:val="0"/>
                <w:szCs w:val="21"/>
                <w:lang w:bidi="ar"/>
              </w:rPr>
              <w:t>39.395</w:t>
            </w:r>
          </w:p>
        </w:tc>
        <w:tc>
          <w:tcPr>
            <w:tcW w:w="0" w:type="auto"/>
            <w:tcBorders>
              <w:top w:val="single" w:color="auto" w:sz="4" w:space="0"/>
              <w:left w:val="single" w:color="auto" w:sz="4" w:space="0"/>
              <w:bottom w:val="single" w:color="auto" w:sz="4" w:space="0"/>
              <w:right w:val="single" w:color="auto" w:sz="12" w:space="0"/>
            </w:tcBorders>
            <w:vAlign w:val="center"/>
          </w:tcPr>
          <w:p w14:paraId="1BC614CE">
            <w:pPr>
              <w:widowControl/>
              <w:jc w:val="center"/>
              <w:rPr>
                <w:color w:val="auto"/>
                <w:kern w:val="0"/>
                <w:szCs w:val="21"/>
              </w:rPr>
            </w:pPr>
            <w:r>
              <w:rPr>
                <w:color w:val="auto"/>
                <w:kern w:val="0"/>
                <w:szCs w:val="21"/>
              </w:rPr>
              <w:t>476.357</w:t>
            </w:r>
          </w:p>
        </w:tc>
      </w:tr>
      <w:tr w14:paraId="22AA1DAE">
        <w:tblPrEx>
          <w:tblCellMar>
            <w:top w:w="0" w:type="dxa"/>
            <w:left w:w="108" w:type="dxa"/>
            <w:bottom w:w="0" w:type="dxa"/>
            <w:right w:w="108" w:type="dxa"/>
          </w:tblCellMar>
        </w:tblPrEx>
        <w:trPr>
          <w:jc w:val="center"/>
        </w:trPr>
        <w:tc>
          <w:tcPr>
            <w:tcW w:w="0" w:type="auto"/>
            <w:tcBorders>
              <w:top w:val="single" w:color="auto" w:sz="4" w:space="0"/>
              <w:left w:val="single" w:color="auto" w:sz="12" w:space="0"/>
              <w:bottom w:val="single" w:color="auto" w:sz="12" w:space="0"/>
              <w:right w:val="single" w:color="auto" w:sz="4" w:space="0"/>
            </w:tcBorders>
            <w:vAlign w:val="center"/>
          </w:tcPr>
          <w:p w14:paraId="6AC57701">
            <w:pPr>
              <w:widowControl/>
              <w:jc w:val="center"/>
              <w:rPr>
                <w:color w:val="auto"/>
                <w:kern w:val="0"/>
                <w:szCs w:val="21"/>
              </w:rPr>
            </w:pPr>
            <w:r>
              <w:rPr>
                <w:color w:val="auto"/>
                <w:kern w:val="0"/>
                <w:szCs w:val="21"/>
              </w:rPr>
              <w:t>所占百分比（%）</w:t>
            </w:r>
          </w:p>
        </w:tc>
        <w:tc>
          <w:tcPr>
            <w:tcW w:w="0" w:type="auto"/>
            <w:tcBorders>
              <w:top w:val="single" w:color="auto" w:sz="4" w:space="0"/>
              <w:left w:val="single" w:color="auto" w:sz="4" w:space="0"/>
              <w:bottom w:val="single" w:color="auto" w:sz="12" w:space="0"/>
              <w:right w:val="single" w:color="auto" w:sz="4" w:space="0"/>
            </w:tcBorders>
            <w:vAlign w:val="center"/>
          </w:tcPr>
          <w:p w14:paraId="34735F52">
            <w:pPr>
              <w:widowControl/>
              <w:jc w:val="center"/>
              <w:textAlignment w:val="center"/>
              <w:rPr>
                <w:color w:val="auto"/>
                <w:kern w:val="0"/>
                <w:szCs w:val="21"/>
              </w:rPr>
            </w:pPr>
            <w:r>
              <w:rPr>
                <w:color w:val="auto"/>
                <w:kern w:val="0"/>
                <w:szCs w:val="21"/>
                <w:lang w:bidi="ar"/>
              </w:rPr>
              <w:t>3.93</w:t>
            </w:r>
          </w:p>
        </w:tc>
        <w:tc>
          <w:tcPr>
            <w:tcW w:w="1268" w:type="dxa"/>
            <w:tcBorders>
              <w:top w:val="single" w:color="auto" w:sz="4" w:space="0"/>
              <w:left w:val="single" w:color="auto" w:sz="4" w:space="0"/>
              <w:bottom w:val="single" w:color="auto" w:sz="12" w:space="0"/>
              <w:right w:val="single" w:color="auto" w:sz="4" w:space="0"/>
            </w:tcBorders>
            <w:vAlign w:val="center"/>
          </w:tcPr>
          <w:p w14:paraId="491C8D4D">
            <w:pPr>
              <w:widowControl/>
              <w:jc w:val="center"/>
              <w:textAlignment w:val="center"/>
              <w:rPr>
                <w:color w:val="auto"/>
                <w:kern w:val="0"/>
                <w:szCs w:val="21"/>
              </w:rPr>
            </w:pPr>
            <w:r>
              <w:rPr>
                <w:color w:val="auto"/>
                <w:kern w:val="0"/>
                <w:szCs w:val="21"/>
                <w:lang w:bidi="ar"/>
              </w:rPr>
              <w:t>17.45</w:t>
            </w:r>
          </w:p>
        </w:tc>
        <w:tc>
          <w:tcPr>
            <w:tcW w:w="1147" w:type="dxa"/>
            <w:tcBorders>
              <w:top w:val="single" w:color="auto" w:sz="4" w:space="0"/>
              <w:left w:val="single" w:color="auto" w:sz="4" w:space="0"/>
              <w:bottom w:val="single" w:color="auto" w:sz="12" w:space="0"/>
              <w:right w:val="single" w:color="auto" w:sz="4" w:space="0"/>
            </w:tcBorders>
            <w:vAlign w:val="center"/>
          </w:tcPr>
          <w:p w14:paraId="6765ABDF">
            <w:pPr>
              <w:widowControl/>
              <w:jc w:val="center"/>
              <w:textAlignment w:val="center"/>
              <w:rPr>
                <w:color w:val="auto"/>
                <w:kern w:val="0"/>
                <w:szCs w:val="21"/>
              </w:rPr>
            </w:pPr>
            <w:r>
              <w:rPr>
                <w:color w:val="auto"/>
                <w:kern w:val="0"/>
                <w:szCs w:val="21"/>
                <w:lang w:bidi="ar"/>
              </w:rPr>
              <w:t>25.58</w:t>
            </w:r>
          </w:p>
        </w:tc>
        <w:tc>
          <w:tcPr>
            <w:tcW w:w="0" w:type="auto"/>
            <w:tcBorders>
              <w:top w:val="single" w:color="auto" w:sz="4" w:space="0"/>
              <w:left w:val="single" w:color="auto" w:sz="4" w:space="0"/>
              <w:bottom w:val="single" w:color="auto" w:sz="12" w:space="0"/>
              <w:right w:val="single" w:color="auto" w:sz="4" w:space="0"/>
            </w:tcBorders>
            <w:vAlign w:val="center"/>
          </w:tcPr>
          <w:p w14:paraId="427F6F3D">
            <w:pPr>
              <w:widowControl/>
              <w:jc w:val="center"/>
              <w:textAlignment w:val="center"/>
              <w:rPr>
                <w:color w:val="auto"/>
                <w:kern w:val="0"/>
                <w:szCs w:val="21"/>
              </w:rPr>
            </w:pPr>
            <w:r>
              <w:rPr>
                <w:color w:val="auto"/>
                <w:kern w:val="0"/>
                <w:szCs w:val="21"/>
                <w:lang w:bidi="ar"/>
              </w:rPr>
              <w:t>44.77</w:t>
            </w:r>
          </w:p>
        </w:tc>
        <w:tc>
          <w:tcPr>
            <w:tcW w:w="0" w:type="auto"/>
            <w:tcBorders>
              <w:top w:val="single" w:color="auto" w:sz="4" w:space="0"/>
              <w:left w:val="single" w:color="auto" w:sz="4" w:space="0"/>
              <w:bottom w:val="single" w:color="auto" w:sz="12" w:space="0"/>
              <w:right w:val="single" w:color="auto" w:sz="4" w:space="0"/>
            </w:tcBorders>
            <w:vAlign w:val="center"/>
          </w:tcPr>
          <w:p w14:paraId="2DDB6036">
            <w:pPr>
              <w:widowControl/>
              <w:jc w:val="center"/>
              <w:textAlignment w:val="center"/>
              <w:rPr>
                <w:color w:val="auto"/>
                <w:kern w:val="0"/>
                <w:szCs w:val="21"/>
              </w:rPr>
            </w:pPr>
            <w:r>
              <w:rPr>
                <w:color w:val="auto"/>
                <w:kern w:val="0"/>
                <w:szCs w:val="21"/>
                <w:lang w:bidi="ar"/>
              </w:rPr>
              <w:t>8.27</w:t>
            </w:r>
          </w:p>
        </w:tc>
        <w:tc>
          <w:tcPr>
            <w:tcW w:w="0" w:type="auto"/>
            <w:tcBorders>
              <w:top w:val="single" w:color="auto" w:sz="4" w:space="0"/>
              <w:left w:val="single" w:color="auto" w:sz="4" w:space="0"/>
              <w:bottom w:val="single" w:color="auto" w:sz="12" w:space="0"/>
              <w:right w:val="single" w:color="auto" w:sz="12" w:space="0"/>
            </w:tcBorders>
            <w:vAlign w:val="center"/>
          </w:tcPr>
          <w:p w14:paraId="5406C46B">
            <w:pPr>
              <w:widowControl/>
              <w:jc w:val="center"/>
              <w:rPr>
                <w:color w:val="auto"/>
                <w:kern w:val="0"/>
                <w:szCs w:val="21"/>
              </w:rPr>
            </w:pPr>
            <w:r>
              <w:rPr>
                <w:color w:val="auto"/>
                <w:kern w:val="0"/>
                <w:szCs w:val="21"/>
              </w:rPr>
              <w:t>100</w:t>
            </w:r>
          </w:p>
        </w:tc>
      </w:tr>
    </w:tbl>
    <w:p w14:paraId="734169C2">
      <w:pPr>
        <w:spacing w:line="360" w:lineRule="auto"/>
        <w:ind w:firstLine="480" w:firstLineChars="200"/>
        <w:jc w:val="left"/>
        <w:rPr>
          <w:color w:val="auto"/>
          <w:kern w:val="0"/>
          <w:sz w:val="24"/>
        </w:rPr>
      </w:pPr>
      <w:bookmarkStart w:id="126" w:name="_Toc11711"/>
      <w:bookmarkStart w:id="127" w:name="_Toc5503"/>
      <w:r>
        <w:rPr>
          <w:color w:val="auto"/>
          <w:kern w:val="0"/>
          <w:sz w:val="24"/>
        </w:rPr>
        <w:t>评价区主要生态系统类型为湿地生态系统和农业生态系统，其中湿地生态系统面积最大，为213.265hm</w:t>
      </w:r>
      <w:r>
        <w:rPr>
          <w:color w:val="auto"/>
          <w:kern w:val="0"/>
          <w:sz w:val="24"/>
          <w:vertAlign w:val="superscript"/>
        </w:rPr>
        <w:t>2</w:t>
      </w:r>
      <w:r>
        <w:rPr>
          <w:color w:val="auto"/>
          <w:kern w:val="0"/>
          <w:sz w:val="24"/>
        </w:rPr>
        <w:t>，占重点评价区总面积的44.77%。</w:t>
      </w:r>
    </w:p>
    <w:p w14:paraId="2F83379B">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3.5</w:t>
      </w:r>
      <w:r>
        <w:rPr>
          <w:rFonts w:ascii="Times New Roman" w:hAnsi="Times New Roman" w:eastAsia="宋体" w:cs="Times New Roman"/>
          <w:b/>
          <w:color w:val="auto"/>
          <w:sz w:val="28"/>
          <w:szCs w:val="28"/>
        </w:rPr>
        <w:t>.1森林生态系统</w:t>
      </w:r>
    </w:p>
    <w:p w14:paraId="57F90029">
      <w:pPr>
        <w:pStyle w:val="90"/>
        <w:rPr>
          <w:color w:val="auto"/>
        </w:rPr>
      </w:pPr>
      <w:r>
        <w:rPr>
          <w:color w:val="auto"/>
        </w:rPr>
        <w:t>森林生态系统是森林群落与其环境在功能流的作用下形成一定结构、功能和自调控的自然综合体，是陆地生态系统中面积最多、最重要的自然生态系统。评价区森林生态系统面积为18.721hm</w:t>
      </w:r>
      <w:r>
        <w:rPr>
          <w:color w:val="auto"/>
          <w:vertAlign w:val="superscript"/>
        </w:rPr>
        <w:t>2</w:t>
      </w:r>
      <w:r>
        <w:rPr>
          <w:color w:val="auto"/>
        </w:rPr>
        <w:t>，占评价区总面积的3.93%。</w:t>
      </w:r>
    </w:p>
    <w:p w14:paraId="06881058">
      <w:pPr>
        <w:pStyle w:val="89"/>
        <w:ind w:firstLine="480" w:firstLineChars="200"/>
        <w:rPr>
          <w:color w:val="auto"/>
        </w:rPr>
      </w:pPr>
      <w:r>
        <w:rPr>
          <w:color w:val="auto"/>
        </w:rPr>
        <w:t>森林生态系统的植被类型以人工林为主，主要有加杨林等。</w:t>
      </w:r>
    </w:p>
    <w:p w14:paraId="2CE7C594">
      <w:pPr>
        <w:pStyle w:val="89"/>
        <w:ind w:firstLine="480" w:firstLineChars="200"/>
        <w:rPr>
          <w:color w:val="auto"/>
        </w:rPr>
      </w:pPr>
      <w:r>
        <w:rPr>
          <w:color w:val="auto"/>
        </w:rPr>
        <w:t>森林生态系统是各种动物的良好避难所，也是评价区内野生动物的主要活动场所，如爬行动物中林栖傍水型的黑眉锦蛇（</w:t>
      </w:r>
      <w:r>
        <w:rPr>
          <w:i/>
          <w:color w:val="auto"/>
        </w:rPr>
        <w:t>Elaphe taeniura</w:t>
      </w:r>
      <w:r>
        <w:rPr>
          <w:color w:val="auto"/>
        </w:rPr>
        <w:t>）、虎斑颈槽蛇（</w:t>
      </w:r>
      <w:r>
        <w:rPr>
          <w:i/>
          <w:color w:val="auto"/>
        </w:rPr>
        <w:t>Rhabdophis tigrinus</w:t>
      </w:r>
      <w:r>
        <w:rPr>
          <w:color w:val="auto"/>
        </w:rPr>
        <w:t>）等；鸟类中的陆禽如环颈雉（</w:t>
      </w:r>
      <w:r>
        <w:rPr>
          <w:i/>
          <w:color w:val="auto"/>
        </w:rPr>
        <w:t>Phasianus colchicus</w:t>
      </w:r>
      <w:r>
        <w:rPr>
          <w:color w:val="auto"/>
        </w:rPr>
        <w:t>）、山斑鸠（</w:t>
      </w:r>
      <w:r>
        <w:rPr>
          <w:i/>
          <w:color w:val="auto"/>
        </w:rPr>
        <w:t>Streptopelia orientalis</w:t>
      </w:r>
      <w:r>
        <w:rPr>
          <w:color w:val="auto"/>
        </w:rPr>
        <w:t>）等，猛禽如红隼（</w:t>
      </w:r>
      <w:r>
        <w:rPr>
          <w:i/>
          <w:color w:val="auto"/>
        </w:rPr>
        <w:t>Falco tinnunculus</w:t>
      </w:r>
      <w:r>
        <w:rPr>
          <w:color w:val="auto"/>
        </w:rPr>
        <w:t>）、游隼（</w:t>
      </w:r>
      <w:r>
        <w:rPr>
          <w:i/>
          <w:color w:val="auto"/>
        </w:rPr>
        <w:t>Falco peregrinus</w:t>
      </w:r>
      <w:r>
        <w:rPr>
          <w:color w:val="auto"/>
        </w:rPr>
        <w:t>），攀禽如大杜鹃（</w:t>
      </w:r>
      <w:r>
        <w:rPr>
          <w:i/>
          <w:color w:val="auto"/>
        </w:rPr>
        <w:t>Cuculus canoru</w:t>
      </w:r>
      <w:r>
        <w:rPr>
          <w:color w:val="auto"/>
        </w:rPr>
        <w:t>s）、大斑啄木鸟（</w:t>
      </w:r>
      <w:r>
        <w:rPr>
          <w:i/>
          <w:color w:val="auto"/>
        </w:rPr>
        <w:t>Dendrocopos major</w:t>
      </w:r>
      <w:r>
        <w:rPr>
          <w:color w:val="auto"/>
        </w:rPr>
        <w:t>）等以及多数鸣禽如大山雀（</w:t>
      </w:r>
      <w:r>
        <w:rPr>
          <w:i/>
          <w:color w:val="auto"/>
        </w:rPr>
        <w:t>Parus major</w:t>
      </w:r>
      <w:r>
        <w:rPr>
          <w:color w:val="auto"/>
        </w:rPr>
        <w:t>）、白颊噪鹛（</w:t>
      </w:r>
      <w:r>
        <w:rPr>
          <w:i/>
          <w:color w:val="auto"/>
        </w:rPr>
        <w:t>Garrulax sannio</w:t>
      </w:r>
      <w:r>
        <w:rPr>
          <w:color w:val="auto"/>
        </w:rPr>
        <w:t>）等；兽类中的半地下生活型种类如华南兔（</w:t>
      </w:r>
      <w:r>
        <w:rPr>
          <w:i/>
          <w:color w:val="auto"/>
        </w:rPr>
        <w:t>Lepus sinensis</w:t>
      </w:r>
      <w:r>
        <w:rPr>
          <w:color w:val="auto"/>
        </w:rPr>
        <w:t>）和黄鼬（</w:t>
      </w:r>
      <w:r>
        <w:rPr>
          <w:i/>
          <w:color w:val="auto"/>
        </w:rPr>
        <w:t>Mustela sibirica</w:t>
      </w:r>
      <w:r>
        <w:rPr>
          <w:color w:val="auto"/>
        </w:rPr>
        <w:t>）等。</w:t>
      </w:r>
    </w:p>
    <w:p w14:paraId="52938ECA">
      <w:pPr>
        <w:pStyle w:val="90"/>
        <w:rPr>
          <w:color w:val="auto"/>
        </w:rPr>
      </w:pPr>
      <w:r>
        <w:rPr>
          <w:color w:val="auto"/>
        </w:rPr>
        <w:t>评价区森林生态系统的主要生态功能涵养水源、稳定水文、水土保持、控制水土流失等。</w:t>
      </w:r>
    </w:p>
    <w:p w14:paraId="01D9B4ED">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bookmarkStart w:id="128" w:name="_Toc24400"/>
      <w:r>
        <w:rPr>
          <w:rFonts w:hint="eastAsia" w:ascii="Times New Roman" w:hAnsi="Times New Roman" w:eastAsia="宋体" w:cs="Times New Roman"/>
          <w:b/>
          <w:color w:val="auto"/>
          <w:sz w:val="28"/>
          <w:szCs w:val="28"/>
        </w:rPr>
        <w:t>3.5</w:t>
      </w:r>
      <w:r>
        <w:rPr>
          <w:rFonts w:ascii="Times New Roman" w:hAnsi="Times New Roman" w:eastAsia="宋体" w:cs="Times New Roman"/>
          <w:b/>
          <w:color w:val="auto"/>
          <w:sz w:val="28"/>
          <w:szCs w:val="28"/>
        </w:rPr>
        <w:t>.2灌草地生态系统</w:t>
      </w:r>
      <w:bookmarkEnd w:id="128"/>
    </w:p>
    <w:p w14:paraId="17FE9DE6">
      <w:pPr>
        <w:pStyle w:val="89"/>
        <w:ind w:firstLine="480" w:firstLineChars="200"/>
        <w:rPr>
          <w:color w:val="auto"/>
        </w:rPr>
      </w:pPr>
      <w:r>
        <w:rPr>
          <w:color w:val="auto"/>
        </w:rPr>
        <w:t>评价区灌草地生态系统总面积约83.124hm</w:t>
      </w:r>
      <w:r>
        <w:rPr>
          <w:color w:val="auto"/>
          <w:vertAlign w:val="superscript"/>
        </w:rPr>
        <w:t>2</w:t>
      </w:r>
      <w:r>
        <w:rPr>
          <w:color w:val="auto"/>
        </w:rPr>
        <w:t>，占评价区总面积的17.45%。灌草地生态系统主要分布在滩洲、河堤两旁。</w:t>
      </w:r>
    </w:p>
    <w:p w14:paraId="1DFC4412">
      <w:pPr>
        <w:pStyle w:val="89"/>
        <w:ind w:firstLine="480" w:firstLineChars="200"/>
        <w:rPr>
          <w:color w:val="auto"/>
        </w:rPr>
      </w:pPr>
      <w:r>
        <w:rPr>
          <w:color w:val="auto"/>
        </w:rPr>
        <w:t>评价区灌草地生态系统植被主要为构树灌丛、野艾蒿灌草丛、狗尾草灌草丛等。</w:t>
      </w:r>
    </w:p>
    <w:p w14:paraId="71CC23E7">
      <w:pPr>
        <w:pStyle w:val="89"/>
        <w:ind w:firstLine="480" w:firstLineChars="200"/>
        <w:rPr>
          <w:color w:val="auto"/>
        </w:rPr>
      </w:pPr>
      <w:r>
        <w:rPr>
          <w:color w:val="auto"/>
        </w:rPr>
        <w:t>灌草地生态系统中主要分布动物有两栖类的陆栖型种类如中华大蟾蜍（</w:t>
      </w:r>
      <w:r>
        <w:rPr>
          <w:i/>
          <w:color w:val="auto"/>
        </w:rPr>
        <w:t>Bufo gargarizans</w:t>
      </w:r>
      <w:r>
        <w:rPr>
          <w:color w:val="auto"/>
        </w:rPr>
        <w:t>）、饰纹姬蛙（</w:t>
      </w:r>
      <w:r>
        <w:rPr>
          <w:i/>
          <w:color w:val="auto"/>
        </w:rPr>
        <w:t>Microhyla ornata</w:t>
      </w:r>
      <w:r>
        <w:rPr>
          <w:color w:val="auto"/>
        </w:rPr>
        <w:t>）等；爬行类的灌丛石隙型种类如中国石龙子（</w:t>
      </w:r>
      <w:r>
        <w:rPr>
          <w:i/>
          <w:color w:val="auto"/>
        </w:rPr>
        <w:t>Eumeces chinensis</w:t>
      </w:r>
      <w:r>
        <w:rPr>
          <w:color w:val="auto"/>
        </w:rPr>
        <w:t>）；鸟类中的陆禽如珠颈斑鸠（</w:t>
      </w:r>
      <w:r>
        <w:rPr>
          <w:i/>
          <w:color w:val="auto"/>
        </w:rPr>
        <w:t>Streptopelia chinensis</w:t>
      </w:r>
      <w:r>
        <w:rPr>
          <w:color w:val="auto"/>
        </w:rPr>
        <w:t>），部分鸣禽如东方大苇莺（</w:t>
      </w:r>
      <w:r>
        <w:rPr>
          <w:i/>
          <w:color w:val="auto"/>
        </w:rPr>
        <w:t>Acrocephalus arundinaceus</w:t>
      </w:r>
      <w:r>
        <w:rPr>
          <w:color w:val="auto"/>
        </w:rPr>
        <w:t>）、棕头鸦雀（</w:t>
      </w:r>
      <w:r>
        <w:rPr>
          <w:i/>
          <w:color w:val="auto"/>
        </w:rPr>
        <w:t>Paradoxornis webbianus</w:t>
      </w:r>
      <w:r>
        <w:rPr>
          <w:color w:val="auto"/>
        </w:rPr>
        <w:t>）等；兽类中的半地下生活型种类如黑线姬鼠（</w:t>
      </w:r>
      <w:r>
        <w:rPr>
          <w:i/>
          <w:color w:val="auto"/>
        </w:rPr>
        <w:t>Apodemus agrarius</w:t>
      </w:r>
      <w:r>
        <w:rPr>
          <w:color w:val="auto"/>
        </w:rPr>
        <w:t>）等。</w:t>
      </w:r>
    </w:p>
    <w:p w14:paraId="3F8A4C0E">
      <w:pPr>
        <w:pStyle w:val="90"/>
        <w:rPr>
          <w:color w:val="auto"/>
        </w:rPr>
      </w:pPr>
      <w:r>
        <w:rPr>
          <w:color w:val="auto"/>
        </w:rPr>
        <w:t>评价区灌草地生态系统主要表现为水源涵养、提供净初级生产物质、水土保持等。</w:t>
      </w:r>
    </w:p>
    <w:p w14:paraId="379487BC">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3.5</w:t>
      </w:r>
      <w:r>
        <w:rPr>
          <w:rFonts w:ascii="Times New Roman" w:hAnsi="Times New Roman" w:eastAsia="宋体" w:cs="Times New Roman"/>
          <w:b/>
          <w:color w:val="auto"/>
          <w:sz w:val="28"/>
          <w:szCs w:val="28"/>
        </w:rPr>
        <w:t>.3农业生态系统</w:t>
      </w:r>
    </w:p>
    <w:p w14:paraId="5827F82F">
      <w:pPr>
        <w:pStyle w:val="90"/>
        <w:rPr>
          <w:color w:val="auto"/>
        </w:rPr>
      </w:pPr>
      <w:r>
        <w:rPr>
          <w:color w:val="auto"/>
        </w:rPr>
        <w:t>评价区农业生态系统面积121.852hm</w:t>
      </w:r>
      <w:r>
        <w:rPr>
          <w:color w:val="auto"/>
          <w:vertAlign w:val="superscript"/>
        </w:rPr>
        <w:t>2</w:t>
      </w:r>
      <w:r>
        <w:rPr>
          <w:color w:val="auto"/>
        </w:rPr>
        <w:t>，占评价区总面积的25.58%。主要分布在沿岸、洲滩地。</w:t>
      </w:r>
    </w:p>
    <w:p w14:paraId="10690875">
      <w:pPr>
        <w:pStyle w:val="90"/>
        <w:rPr>
          <w:color w:val="auto"/>
        </w:rPr>
      </w:pPr>
      <w:r>
        <w:rPr>
          <w:color w:val="auto"/>
        </w:rPr>
        <w:t>农业植被为粮食作物和经济作物。其中粮食作物主要有水稻、玉米、油菜、薯类等。</w:t>
      </w:r>
    </w:p>
    <w:p w14:paraId="28761AC4">
      <w:pPr>
        <w:pStyle w:val="90"/>
        <w:rPr>
          <w:color w:val="auto"/>
        </w:rPr>
      </w:pPr>
      <w:r>
        <w:rPr>
          <w:color w:val="auto"/>
        </w:rPr>
        <w:t>农业生态系统属人工控制的生态系统，与人类伴居的野生动物多活动于此，两栖类常见有陆栖型的中华大蟾蜍，爬行类常见有灌丛石隙型的中国石龙子等；鸟类常见有鸣禽如八哥（</w:t>
      </w:r>
      <w:r>
        <w:rPr>
          <w:i/>
          <w:color w:val="auto"/>
        </w:rPr>
        <w:t>Acridotheres cristatellus</w:t>
      </w:r>
      <w:r>
        <w:rPr>
          <w:color w:val="auto"/>
        </w:rPr>
        <w:t>）、喜鹊（</w:t>
      </w:r>
      <w:r>
        <w:rPr>
          <w:i/>
          <w:color w:val="auto"/>
        </w:rPr>
        <w:t>Pica pica</w:t>
      </w:r>
      <w:r>
        <w:rPr>
          <w:color w:val="auto"/>
        </w:rPr>
        <w:t>）、丝光椋鸟（</w:t>
      </w:r>
      <w:r>
        <w:rPr>
          <w:i/>
          <w:color w:val="auto"/>
        </w:rPr>
        <w:t>turnus sericeus</w:t>
      </w:r>
      <w:r>
        <w:rPr>
          <w:color w:val="auto"/>
        </w:rPr>
        <w:t>）、乌鸫（</w:t>
      </w:r>
      <w:r>
        <w:rPr>
          <w:i/>
          <w:color w:val="auto"/>
        </w:rPr>
        <w:t>Turdus merula</w:t>
      </w:r>
      <w:r>
        <w:rPr>
          <w:color w:val="auto"/>
        </w:rPr>
        <w:t>）、白头鹎（</w:t>
      </w:r>
      <w:r>
        <w:rPr>
          <w:i/>
          <w:color w:val="auto"/>
        </w:rPr>
        <w:t>Pycnonotus sinensis</w:t>
      </w:r>
      <w:r>
        <w:rPr>
          <w:color w:val="auto"/>
        </w:rPr>
        <w:t>）等；兽类中的部分半地下生活型种类如家野两栖的小型啮齿动物，如褐家鼠（</w:t>
      </w:r>
      <w:r>
        <w:rPr>
          <w:i/>
          <w:color w:val="auto"/>
        </w:rPr>
        <w:t>Rattus novegicus</w:t>
      </w:r>
      <w:r>
        <w:rPr>
          <w:color w:val="auto"/>
        </w:rPr>
        <w:t>）等。</w:t>
      </w:r>
    </w:p>
    <w:p w14:paraId="55ED95C3">
      <w:pPr>
        <w:pStyle w:val="90"/>
        <w:rPr>
          <w:color w:val="auto"/>
        </w:rPr>
      </w:pPr>
      <w:r>
        <w:rPr>
          <w:color w:val="auto"/>
        </w:rPr>
        <w:t>评价区农业生态系统的主要生态功能体现在农产品及副产品生产，包括为人们提供农产品以及提供生物能源等。此外，农业生态系统也具有养分循环、水分调节、传粉播种、病虫害控制、生物多样性及基因资源等功能。</w:t>
      </w:r>
    </w:p>
    <w:p w14:paraId="16973B6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3.5</w:t>
      </w:r>
      <w:r>
        <w:rPr>
          <w:rFonts w:ascii="Times New Roman" w:hAnsi="Times New Roman" w:eastAsia="宋体" w:cs="Times New Roman"/>
          <w:b/>
          <w:color w:val="auto"/>
          <w:sz w:val="28"/>
          <w:szCs w:val="28"/>
        </w:rPr>
        <w:t>.4湿地生态系统</w:t>
      </w:r>
    </w:p>
    <w:p w14:paraId="42CE7E90">
      <w:pPr>
        <w:spacing w:line="360" w:lineRule="auto"/>
        <w:ind w:firstLine="480" w:firstLineChars="200"/>
        <w:jc w:val="left"/>
        <w:rPr>
          <w:color w:val="auto"/>
          <w:kern w:val="0"/>
          <w:sz w:val="24"/>
        </w:rPr>
      </w:pPr>
      <w:r>
        <w:rPr>
          <w:color w:val="auto"/>
          <w:kern w:val="0"/>
          <w:sz w:val="24"/>
        </w:rPr>
        <w:t>湿地生态系统是评价区域内主要类型之一，主要有湖南东洞庭湖湿地。湖南东洞庭湖湿地是由东洞庭湖及其区间河流给予水量补给而形成的河湖补给性湿地。陆地地表过湿或有积水，水生植物和沼生植物依水深梯度呈圈带状连片分布，湿地夏相为单一明水地貌，冬相则可以分为明水、潮泥滩、泥炭沼泽、苔草沼泽、芦苇沼泽和灌丛沼泽等6种地貌形态。</w:t>
      </w:r>
    </w:p>
    <w:p w14:paraId="06DA313C">
      <w:pPr>
        <w:pStyle w:val="90"/>
        <w:rPr>
          <w:color w:val="auto"/>
        </w:rPr>
      </w:pPr>
      <w:r>
        <w:rPr>
          <w:color w:val="auto"/>
        </w:rPr>
        <w:t>评价区湿地生态系统面积约213.265hm</w:t>
      </w:r>
      <w:r>
        <w:rPr>
          <w:color w:val="auto"/>
          <w:vertAlign w:val="superscript"/>
        </w:rPr>
        <w:t>2</w:t>
      </w:r>
      <w:r>
        <w:rPr>
          <w:color w:val="auto"/>
        </w:rPr>
        <w:t>，占评价区总面积的44.77%。主要包括水域和滩地。</w:t>
      </w:r>
    </w:p>
    <w:p w14:paraId="7B9F72E1">
      <w:pPr>
        <w:spacing w:line="360" w:lineRule="auto"/>
        <w:ind w:firstLine="480" w:firstLineChars="200"/>
        <w:jc w:val="left"/>
        <w:rPr>
          <w:color w:val="auto"/>
          <w:kern w:val="0"/>
          <w:sz w:val="24"/>
        </w:rPr>
      </w:pPr>
      <w:r>
        <w:rPr>
          <w:color w:val="auto"/>
          <w:kern w:val="0"/>
          <w:sz w:val="24"/>
        </w:rPr>
        <w:t>湿地生态系统内植被主要为芦苇群落、喜旱莲子草群落、绵毛酸模叶蓼植物群系、喜旱莲子草植物群系等。</w:t>
      </w:r>
    </w:p>
    <w:p w14:paraId="2F0728C3">
      <w:pPr>
        <w:pStyle w:val="90"/>
        <w:rPr>
          <w:color w:val="auto"/>
        </w:rPr>
      </w:pPr>
      <w:r>
        <w:rPr>
          <w:color w:val="auto"/>
        </w:rPr>
        <w:t>湿地生态系统也是多种动物的重要栖息场所，如两栖类中的静水型种类如黑斑侧褶蛙（</w:t>
      </w:r>
      <w:r>
        <w:rPr>
          <w:i/>
          <w:color w:val="auto"/>
        </w:rPr>
        <w:t>Pelophylax nigromaculata</w:t>
      </w:r>
      <w:r>
        <w:rPr>
          <w:color w:val="auto"/>
        </w:rPr>
        <w:t>）；爬行类中的林栖傍水型种类如红点锦蛇（</w:t>
      </w:r>
      <w:r>
        <w:rPr>
          <w:i/>
          <w:color w:val="auto"/>
        </w:rPr>
        <w:t>Elaphe rufodorsata</w:t>
      </w:r>
      <w:r>
        <w:rPr>
          <w:color w:val="auto"/>
        </w:rPr>
        <w:t>）和水栖型的中国水蛇（</w:t>
      </w:r>
      <w:r>
        <w:rPr>
          <w:i/>
          <w:color w:val="auto"/>
        </w:rPr>
        <w:t>Enhydris chinensis</w:t>
      </w:r>
      <w:r>
        <w:rPr>
          <w:color w:val="auto"/>
        </w:rPr>
        <w:t>）等。此外，湿地生态系统更是湿地鸟类的重要栖息和觅食场所，评价区分布有游禽小䴙䴘（</w:t>
      </w:r>
      <w:r>
        <w:rPr>
          <w:i/>
          <w:color w:val="auto"/>
        </w:rPr>
        <w:t>Tachybaptus ruficollis</w:t>
      </w:r>
      <w:r>
        <w:rPr>
          <w:color w:val="auto"/>
        </w:rPr>
        <w:t>）、绿头鸭（</w:t>
      </w:r>
      <w:r>
        <w:rPr>
          <w:i/>
          <w:color w:val="auto"/>
        </w:rPr>
        <w:t>Anas platyrhynchos</w:t>
      </w:r>
      <w:r>
        <w:rPr>
          <w:color w:val="auto"/>
        </w:rPr>
        <w:t>）、涉禽如白鹭（</w:t>
      </w:r>
      <w:r>
        <w:rPr>
          <w:i/>
          <w:color w:val="auto"/>
        </w:rPr>
        <w:t>Egretta garzetta</w:t>
      </w:r>
      <w:r>
        <w:rPr>
          <w:color w:val="auto"/>
        </w:rPr>
        <w:t>）、牛背鹭（</w:t>
      </w:r>
      <w:r>
        <w:rPr>
          <w:i/>
          <w:color w:val="auto"/>
        </w:rPr>
        <w:t>Bubulcus ibis</w:t>
      </w:r>
      <w:r>
        <w:rPr>
          <w:color w:val="auto"/>
        </w:rPr>
        <w:t>）、黄苇鳽（</w:t>
      </w:r>
      <w:r>
        <w:rPr>
          <w:i/>
          <w:color w:val="auto"/>
        </w:rPr>
        <w:t>Ixobrychus sinensis</w:t>
      </w:r>
      <w:r>
        <w:rPr>
          <w:color w:val="auto"/>
        </w:rPr>
        <w:t>）、红脚苦恶鸟 （</w:t>
      </w:r>
      <w:r>
        <w:rPr>
          <w:i/>
          <w:color w:val="auto"/>
        </w:rPr>
        <w:t>Amaurornis akool</w:t>
      </w:r>
      <w:r>
        <w:rPr>
          <w:color w:val="auto"/>
        </w:rPr>
        <w:t>）、白腰草鹬（</w:t>
      </w:r>
      <w:r>
        <w:rPr>
          <w:i/>
          <w:color w:val="auto"/>
        </w:rPr>
        <w:t>Tringa ochropus</w:t>
      </w:r>
      <w:r>
        <w:rPr>
          <w:color w:val="auto"/>
        </w:rPr>
        <w:t>），傍水型鸟类如普通翠鸟（</w:t>
      </w:r>
      <w:r>
        <w:rPr>
          <w:i/>
          <w:color w:val="auto"/>
        </w:rPr>
        <w:t>Alcedo atthis</w:t>
      </w:r>
      <w:r>
        <w:rPr>
          <w:color w:val="auto"/>
        </w:rPr>
        <w:t>）及喜在水边生活的鸣禽如白鹡鸰（</w:t>
      </w:r>
      <w:r>
        <w:rPr>
          <w:i/>
          <w:color w:val="auto"/>
        </w:rPr>
        <w:t>Motacilla alba</w:t>
      </w:r>
      <w:r>
        <w:rPr>
          <w:color w:val="auto"/>
        </w:rPr>
        <w:t>）。</w:t>
      </w:r>
    </w:p>
    <w:p w14:paraId="40B3809B">
      <w:pPr>
        <w:pStyle w:val="90"/>
        <w:rPr>
          <w:color w:val="auto"/>
        </w:rPr>
      </w:pPr>
      <w:r>
        <w:rPr>
          <w:color w:val="auto"/>
        </w:rPr>
        <w:t>评价区湿地生态系统的主要生态功能体现在净化水质、调蓄洪水、固定营养物、养分循环、涵养水源等。</w:t>
      </w:r>
    </w:p>
    <w:p w14:paraId="415983E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3.5</w:t>
      </w:r>
      <w:r>
        <w:rPr>
          <w:rFonts w:ascii="Times New Roman" w:hAnsi="Times New Roman" w:eastAsia="宋体" w:cs="Times New Roman"/>
          <w:b/>
          <w:color w:val="auto"/>
          <w:sz w:val="28"/>
          <w:szCs w:val="28"/>
        </w:rPr>
        <w:t>.5村镇生态系统</w:t>
      </w:r>
    </w:p>
    <w:p w14:paraId="2225838B">
      <w:pPr>
        <w:pStyle w:val="90"/>
        <w:rPr>
          <w:color w:val="auto"/>
        </w:rPr>
      </w:pPr>
      <w:r>
        <w:rPr>
          <w:color w:val="auto"/>
        </w:rPr>
        <w:t>评价区城镇村落生态系统面积39.395hm</w:t>
      </w:r>
      <w:r>
        <w:rPr>
          <w:color w:val="auto"/>
          <w:vertAlign w:val="superscript"/>
        </w:rPr>
        <w:t>2</w:t>
      </w:r>
      <w:r>
        <w:rPr>
          <w:color w:val="auto"/>
        </w:rPr>
        <w:t>，占评价区总面积的8.27%。主要分布在河道沿岸及洲滩附近。</w:t>
      </w:r>
    </w:p>
    <w:p w14:paraId="14342A70">
      <w:pPr>
        <w:pStyle w:val="90"/>
        <w:rPr>
          <w:color w:val="auto"/>
        </w:rPr>
      </w:pPr>
      <w:r>
        <w:rPr>
          <w:color w:val="auto"/>
        </w:rPr>
        <w:t>城镇/村落生态系统中的植被多为人工栽培的植物，如加杨、构树和栾树等，这些植物多以吸尘降噪、美化环境等功能为主。</w:t>
      </w:r>
    </w:p>
    <w:p w14:paraId="304CD458">
      <w:pPr>
        <w:pStyle w:val="90"/>
        <w:rPr>
          <w:color w:val="auto"/>
        </w:rPr>
      </w:pPr>
      <w:r>
        <w:rPr>
          <w:color w:val="auto"/>
        </w:rPr>
        <w:t>城镇/村落生态系统中的动物种类较少，主要为傍人生活的种类包括鸟类的鸣禽如麻雀（</w:t>
      </w:r>
      <w:r>
        <w:rPr>
          <w:i/>
          <w:color w:val="auto"/>
        </w:rPr>
        <w:t>Passer montanus</w:t>
      </w:r>
      <w:r>
        <w:rPr>
          <w:color w:val="auto"/>
        </w:rPr>
        <w:t>）、灰喜鹊（</w:t>
      </w:r>
      <w:r>
        <w:rPr>
          <w:i/>
          <w:color w:val="auto"/>
        </w:rPr>
        <w:t>Cyanopica cyana</w:t>
      </w:r>
      <w:r>
        <w:rPr>
          <w:color w:val="auto"/>
        </w:rPr>
        <w:t>）、喜鹊等；兽类以部分半地下生活型种类多为小型啮齿动物，如：褐家鼠以及普通伏翼（</w:t>
      </w:r>
      <w:r>
        <w:rPr>
          <w:i/>
          <w:color w:val="auto"/>
        </w:rPr>
        <w:t>Pipistrellus pipistrellus</w:t>
      </w:r>
      <w:r>
        <w:rPr>
          <w:color w:val="auto"/>
        </w:rPr>
        <w:t>）等。</w:t>
      </w:r>
    </w:p>
    <w:bookmarkEnd w:id="126"/>
    <w:bookmarkEnd w:id="127"/>
    <w:p w14:paraId="0E7AFCA7">
      <w:pPr>
        <w:pStyle w:val="82"/>
        <w:widowControl w:val="0"/>
        <w:spacing w:line="360" w:lineRule="auto"/>
        <w:outlineLvl w:val="1"/>
        <w:rPr>
          <w:rFonts w:ascii="Times New Roman" w:hAnsi="Times New Roman" w:eastAsia="宋体" w:cs="Times New Roman"/>
          <w:b/>
          <w:color w:val="auto"/>
          <w:sz w:val="30"/>
          <w:szCs w:val="30"/>
        </w:rPr>
      </w:pPr>
      <w:bookmarkStart w:id="129" w:name="_Toc26889"/>
      <w:bookmarkStart w:id="130" w:name="_Toc20035"/>
      <w:bookmarkStart w:id="131" w:name="_Toc11581"/>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6植被及植物多样性调查</w:t>
      </w:r>
      <w:bookmarkEnd w:id="129"/>
      <w:bookmarkEnd w:id="130"/>
      <w:bookmarkEnd w:id="131"/>
    </w:p>
    <w:p w14:paraId="1F3B4D7D">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6.1调查区植被划分</w:t>
      </w:r>
    </w:p>
    <w:p w14:paraId="41187E71">
      <w:pPr>
        <w:spacing w:line="360" w:lineRule="auto"/>
        <w:ind w:firstLine="480" w:firstLineChars="200"/>
        <w:rPr>
          <w:color w:val="auto"/>
          <w:kern w:val="0"/>
          <w:sz w:val="24"/>
        </w:rPr>
      </w:pPr>
      <w:r>
        <w:rPr>
          <w:color w:val="auto"/>
          <w:kern w:val="0"/>
          <w:sz w:val="24"/>
        </w:rPr>
        <w:t>洞庭湖湿地由岸边向湖中央逐渐倾斜，导致植物随湖水的深度形成不同植物群落。评价区内的人口密度较大，农业生产活动频繁，地势平缓地带多已开垦为农田或住宅用地，植被类型简单，有少数乔木或灌丛植被，但物种多样性较低，以广布种、常见种为主。</w:t>
      </w:r>
    </w:p>
    <w:p w14:paraId="2A4020E3">
      <w:pPr>
        <w:spacing w:line="360" w:lineRule="auto"/>
        <w:ind w:firstLine="480" w:firstLineChars="200"/>
        <w:rPr>
          <w:b/>
          <w:bCs/>
          <w:color w:val="auto"/>
          <w:kern w:val="0"/>
          <w:sz w:val="24"/>
        </w:rPr>
      </w:pPr>
      <w:r>
        <w:rPr>
          <w:color w:val="auto"/>
          <w:kern w:val="0"/>
          <w:sz w:val="24"/>
        </w:rPr>
        <w:t>参考《中国湿地植被》中的分类原则分类依据和分类单位，评价区内植被类型可划分为4个植被型组、5个植被型和10个群系。其中：本植被分类系统的最高级单位是植被型组，最重要的高级单位是植被型，在复杂的植被型中进一步划分出亚型作为植被型的辅助或补充单位，群系是植被分类的中级单位，本文仅划分到群系。</w:t>
      </w:r>
    </w:p>
    <w:p w14:paraId="4E885787">
      <w:pPr>
        <w:widowControl/>
        <w:jc w:val="center"/>
        <w:rPr>
          <w:rFonts w:hint="default" w:ascii="Times New Roman" w:hAnsi="Times New Roman" w:eastAsia="宋体" w:cs="Times New Roman"/>
          <w:color w:val="auto"/>
          <w:kern w:val="0"/>
          <w:sz w:val="24"/>
          <w:lang w:val="en-US" w:eastAsia="zh-CN"/>
        </w:rPr>
      </w:pPr>
      <w:r>
        <w:rPr>
          <w:rFonts w:ascii="Times New Roman" w:hAnsi="Times New Roman" w:eastAsia="宋体" w:cs="Times New Roman"/>
          <w:b/>
          <w:bCs/>
          <w:color w:val="auto"/>
          <w:kern w:val="0"/>
          <w:szCs w:val="21"/>
        </w:rPr>
        <w:t>表</w:t>
      </w:r>
      <w:r>
        <w:rPr>
          <w:rFonts w:hint="eastAsia" w:ascii="Times New Roman" w:hAnsi="Times New Roman" w:eastAsia="宋体" w:cs="Times New Roman"/>
          <w:b/>
          <w:bCs/>
          <w:color w:val="auto"/>
          <w:kern w:val="0"/>
          <w:szCs w:val="21"/>
        </w:rPr>
        <w:t>3.</w:t>
      </w:r>
      <w:r>
        <w:rPr>
          <w:rFonts w:hint="eastAsia" w:ascii="Times New Roman" w:hAnsi="Times New Roman" w:eastAsia="宋体" w:cs="Times New Roman"/>
          <w:b/>
          <w:bCs/>
          <w:color w:val="auto"/>
          <w:kern w:val="0"/>
          <w:szCs w:val="21"/>
          <w:lang w:val="en-US" w:eastAsia="zh-CN"/>
        </w:rPr>
        <w:t>6</w:t>
      </w:r>
      <w:r>
        <w:rPr>
          <w:rFonts w:ascii="Times New Roman" w:hAnsi="Times New Roman" w:eastAsia="宋体" w:cs="Times New Roman"/>
          <w:b/>
          <w:bCs/>
          <w:color w:val="auto"/>
          <w:kern w:val="0"/>
          <w:szCs w:val="21"/>
        </w:rPr>
        <w:t xml:space="preserve">-1   </w:t>
      </w:r>
      <w:r>
        <w:rPr>
          <w:rFonts w:ascii="Times New Roman" w:hAnsi="Times New Roman" w:eastAsia="宋体" w:cs="Times New Roman"/>
          <w:b/>
          <w:color w:val="auto"/>
          <w:kern w:val="0"/>
          <w:szCs w:val="21"/>
        </w:rPr>
        <w:t>评价区</w:t>
      </w:r>
      <w:r>
        <w:rPr>
          <w:rFonts w:hint="eastAsia" w:ascii="Times New Roman" w:hAnsi="Times New Roman" w:eastAsia="宋体" w:cs="Times New Roman"/>
          <w:b/>
          <w:color w:val="auto"/>
          <w:kern w:val="0"/>
          <w:szCs w:val="21"/>
          <w:lang w:val="en-US" w:eastAsia="zh-CN"/>
        </w:rPr>
        <w:t>植被类型表</w:t>
      </w:r>
    </w:p>
    <w:tbl>
      <w:tblPr>
        <w:tblStyle w:val="27"/>
        <w:tblW w:w="4998" w:type="pct"/>
        <w:jc w:val="center"/>
        <w:tblLayout w:type="fixed"/>
        <w:tblCellMar>
          <w:top w:w="0" w:type="dxa"/>
          <w:left w:w="108" w:type="dxa"/>
          <w:bottom w:w="0" w:type="dxa"/>
          <w:right w:w="108" w:type="dxa"/>
        </w:tblCellMar>
      </w:tblPr>
      <w:tblGrid>
        <w:gridCol w:w="1539"/>
        <w:gridCol w:w="1112"/>
        <w:gridCol w:w="1165"/>
        <w:gridCol w:w="1463"/>
        <w:gridCol w:w="1754"/>
        <w:gridCol w:w="1481"/>
      </w:tblGrid>
      <w:tr w14:paraId="595E9781">
        <w:tblPrEx>
          <w:tblCellMar>
            <w:top w:w="0" w:type="dxa"/>
            <w:left w:w="108" w:type="dxa"/>
            <w:bottom w:w="0" w:type="dxa"/>
            <w:right w:w="108" w:type="dxa"/>
          </w:tblCellMar>
        </w:tblPrEx>
        <w:trPr>
          <w:jc w:val="center"/>
        </w:trPr>
        <w:tc>
          <w:tcPr>
            <w:tcW w:w="903" w:type="pct"/>
            <w:tcBorders>
              <w:top w:val="single" w:color="auto" w:sz="12" w:space="0"/>
              <w:left w:val="single" w:color="auto" w:sz="12" w:space="0"/>
              <w:bottom w:val="single" w:color="auto" w:sz="4" w:space="0"/>
              <w:right w:val="single" w:color="auto" w:sz="4" w:space="0"/>
            </w:tcBorders>
            <w:vAlign w:val="center"/>
          </w:tcPr>
          <w:p w14:paraId="155D3CB6">
            <w:pPr>
              <w:widowControl/>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植被型组</w:t>
            </w:r>
          </w:p>
        </w:tc>
        <w:tc>
          <w:tcPr>
            <w:tcW w:w="653" w:type="pct"/>
            <w:tcBorders>
              <w:top w:val="single" w:color="auto" w:sz="12" w:space="0"/>
              <w:left w:val="single" w:color="auto" w:sz="4" w:space="0"/>
              <w:bottom w:val="single" w:color="auto" w:sz="4" w:space="0"/>
              <w:right w:val="single" w:color="auto" w:sz="4" w:space="0"/>
            </w:tcBorders>
            <w:vAlign w:val="center"/>
          </w:tcPr>
          <w:p w14:paraId="7268585B">
            <w:pPr>
              <w:widowControl/>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植被型</w:t>
            </w:r>
          </w:p>
        </w:tc>
        <w:tc>
          <w:tcPr>
            <w:tcW w:w="684" w:type="pct"/>
            <w:tcBorders>
              <w:top w:val="single" w:color="auto" w:sz="12" w:space="0"/>
              <w:left w:val="single" w:color="auto" w:sz="4" w:space="0"/>
              <w:bottom w:val="single" w:color="auto" w:sz="4" w:space="0"/>
              <w:right w:val="single" w:color="auto" w:sz="4" w:space="0"/>
            </w:tcBorders>
            <w:vAlign w:val="center"/>
          </w:tcPr>
          <w:p w14:paraId="21AD81F2">
            <w:pPr>
              <w:widowControl/>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植被亚型</w:t>
            </w:r>
          </w:p>
        </w:tc>
        <w:tc>
          <w:tcPr>
            <w:tcW w:w="1889" w:type="pct"/>
            <w:gridSpan w:val="2"/>
            <w:tcBorders>
              <w:top w:val="single" w:color="auto" w:sz="12" w:space="0"/>
              <w:left w:val="single" w:color="auto" w:sz="4" w:space="0"/>
              <w:bottom w:val="single" w:color="auto" w:sz="4" w:space="0"/>
              <w:right w:val="single" w:color="auto" w:sz="4" w:space="0"/>
            </w:tcBorders>
            <w:vAlign w:val="center"/>
          </w:tcPr>
          <w:p w14:paraId="48D06715">
            <w:pPr>
              <w:widowControl/>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群系</w:t>
            </w:r>
          </w:p>
        </w:tc>
        <w:tc>
          <w:tcPr>
            <w:tcW w:w="869" w:type="pct"/>
            <w:tcBorders>
              <w:top w:val="single" w:color="auto" w:sz="12" w:space="0"/>
              <w:left w:val="single" w:color="auto" w:sz="4" w:space="0"/>
              <w:bottom w:val="single" w:color="auto" w:sz="4" w:space="0"/>
              <w:right w:val="single" w:color="auto" w:sz="4" w:space="0"/>
            </w:tcBorders>
            <w:vAlign w:val="center"/>
          </w:tcPr>
          <w:p w14:paraId="42DBCFC6">
            <w:pPr>
              <w:widowControl/>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分布区域</w:t>
            </w:r>
          </w:p>
        </w:tc>
      </w:tr>
      <w:tr w14:paraId="4CD5B17B">
        <w:tblPrEx>
          <w:tblCellMar>
            <w:top w:w="0" w:type="dxa"/>
            <w:left w:w="108" w:type="dxa"/>
            <w:bottom w:w="0" w:type="dxa"/>
            <w:right w:w="108" w:type="dxa"/>
          </w:tblCellMar>
        </w:tblPrEx>
        <w:trPr>
          <w:jc w:val="center"/>
        </w:trPr>
        <w:tc>
          <w:tcPr>
            <w:tcW w:w="5000" w:type="pct"/>
            <w:gridSpan w:val="6"/>
            <w:tcBorders>
              <w:top w:val="single" w:color="auto" w:sz="4" w:space="0"/>
              <w:left w:val="single" w:color="auto" w:sz="12" w:space="0"/>
              <w:bottom w:val="single" w:color="auto" w:sz="4" w:space="0"/>
              <w:right w:val="single" w:color="auto" w:sz="4" w:space="0"/>
            </w:tcBorders>
            <w:vAlign w:val="center"/>
          </w:tcPr>
          <w:p w14:paraId="22DF19A8">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自然植被</w:t>
            </w:r>
          </w:p>
        </w:tc>
      </w:tr>
      <w:tr w14:paraId="059860B3">
        <w:tblPrEx>
          <w:tblCellMar>
            <w:top w:w="0" w:type="dxa"/>
            <w:left w:w="108" w:type="dxa"/>
            <w:bottom w:w="0" w:type="dxa"/>
            <w:right w:w="108" w:type="dxa"/>
          </w:tblCellMar>
        </w:tblPrEx>
        <w:trPr>
          <w:jc w:val="center"/>
        </w:trPr>
        <w:tc>
          <w:tcPr>
            <w:tcW w:w="903" w:type="pct"/>
            <w:tcBorders>
              <w:top w:val="single" w:color="auto" w:sz="4" w:space="0"/>
              <w:left w:val="single" w:color="auto" w:sz="12" w:space="0"/>
              <w:bottom w:val="single" w:color="auto" w:sz="4" w:space="0"/>
              <w:right w:val="single" w:color="auto" w:sz="4" w:space="0"/>
            </w:tcBorders>
            <w:vAlign w:val="center"/>
          </w:tcPr>
          <w:p w14:paraId="0F4748D9">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I 阔叶林</w:t>
            </w:r>
          </w:p>
        </w:tc>
        <w:tc>
          <w:tcPr>
            <w:tcW w:w="653" w:type="pct"/>
            <w:tcBorders>
              <w:top w:val="single" w:color="auto" w:sz="4" w:space="0"/>
              <w:left w:val="single" w:color="auto" w:sz="4" w:space="0"/>
              <w:bottom w:val="single" w:color="auto" w:sz="4" w:space="0"/>
              <w:right w:val="single" w:color="auto" w:sz="4" w:space="0"/>
            </w:tcBorders>
            <w:vAlign w:val="center"/>
          </w:tcPr>
          <w:p w14:paraId="1F9141FE">
            <w:pPr>
              <w:widowControl/>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一、</w:t>
            </w:r>
            <w:r>
              <w:rPr>
                <w:rFonts w:ascii="Times New Roman" w:hAnsi="Times New Roman" w:eastAsia="宋体" w:cs="Times New Roman"/>
                <w:color w:val="auto"/>
                <w:kern w:val="0"/>
                <w:sz w:val="21"/>
                <w:szCs w:val="21"/>
              </w:rPr>
              <w:t>落叶阔叶林</w:t>
            </w:r>
          </w:p>
        </w:tc>
        <w:tc>
          <w:tcPr>
            <w:tcW w:w="684" w:type="pct"/>
            <w:tcBorders>
              <w:top w:val="single" w:color="auto" w:sz="4" w:space="0"/>
              <w:left w:val="single" w:color="auto" w:sz="4" w:space="0"/>
              <w:bottom w:val="single" w:color="auto" w:sz="4" w:space="0"/>
              <w:right w:val="single" w:color="auto" w:sz="4" w:space="0"/>
            </w:tcBorders>
            <w:vAlign w:val="center"/>
          </w:tcPr>
          <w:p w14:paraId="3D856D0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阔叶落叶亚型</w:t>
            </w:r>
          </w:p>
        </w:tc>
        <w:tc>
          <w:tcPr>
            <w:tcW w:w="859" w:type="pct"/>
            <w:tcBorders>
              <w:top w:val="single" w:color="auto" w:sz="4" w:space="0"/>
              <w:left w:val="single" w:color="auto" w:sz="4" w:space="0"/>
              <w:bottom w:val="single" w:color="auto" w:sz="4" w:space="0"/>
              <w:right w:val="single" w:color="auto" w:sz="4" w:space="0"/>
            </w:tcBorders>
            <w:vAlign w:val="center"/>
          </w:tcPr>
          <w:p w14:paraId="12669081">
            <w:pPr>
              <w:widowControl/>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rPr>
              <w:t>加杨群系*</w:t>
            </w:r>
          </w:p>
        </w:tc>
        <w:tc>
          <w:tcPr>
            <w:tcW w:w="1030" w:type="pct"/>
            <w:tcBorders>
              <w:top w:val="single" w:color="auto" w:sz="4" w:space="0"/>
              <w:left w:val="single" w:color="auto" w:sz="4" w:space="0"/>
              <w:bottom w:val="single" w:color="auto" w:sz="4" w:space="0"/>
              <w:right w:val="single" w:color="auto" w:sz="4" w:space="0"/>
            </w:tcBorders>
            <w:vAlign w:val="center"/>
          </w:tcPr>
          <w:p w14:paraId="7719F5E5">
            <w:pPr>
              <w:widowControl/>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Populus×canadensis</w:t>
            </w:r>
          </w:p>
        </w:tc>
        <w:tc>
          <w:tcPr>
            <w:tcW w:w="869" w:type="pct"/>
            <w:tcBorders>
              <w:top w:val="single" w:color="auto" w:sz="4" w:space="0"/>
              <w:left w:val="single" w:color="auto" w:sz="4" w:space="0"/>
              <w:bottom w:val="single" w:color="auto" w:sz="4" w:space="0"/>
              <w:right w:val="single" w:color="auto" w:sz="4" w:space="0"/>
            </w:tcBorders>
            <w:vAlign w:val="center"/>
          </w:tcPr>
          <w:p w14:paraId="063B8E64">
            <w:pPr>
              <w:widowControl/>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池塘</w:t>
            </w:r>
            <w:r>
              <w:rPr>
                <w:rFonts w:ascii="Times New Roman" w:hAnsi="Times New Roman" w:eastAsia="宋体" w:cs="Times New Roman"/>
                <w:color w:val="auto"/>
                <w:kern w:val="0"/>
                <w:sz w:val="21"/>
                <w:szCs w:val="21"/>
              </w:rPr>
              <w:t>周边</w:t>
            </w:r>
          </w:p>
        </w:tc>
      </w:tr>
      <w:tr w14:paraId="649C3FBE">
        <w:tblPrEx>
          <w:tblCellMar>
            <w:top w:w="0" w:type="dxa"/>
            <w:left w:w="108" w:type="dxa"/>
            <w:bottom w:w="0" w:type="dxa"/>
            <w:right w:w="108" w:type="dxa"/>
          </w:tblCellMar>
        </w:tblPrEx>
        <w:trPr>
          <w:jc w:val="center"/>
        </w:trPr>
        <w:tc>
          <w:tcPr>
            <w:tcW w:w="903" w:type="pct"/>
            <w:vMerge w:val="restart"/>
            <w:tcBorders>
              <w:top w:val="single" w:color="auto" w:sz="4" w:space="0"/>
              <w:left w:val="single" w:color="auto" w:sz="12" w:space="0"/>
              <w:right w:val="single" w:color="auto" w:sz="4" w:space="0"/>
            </w:tcBorders>
            <w:vAlign w:val="center"/>
          </w:tcPr>
          <w:p w14:paraId="4AFFA795">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Ⅱ 灌丛型</w:t>
            </w:r>
          </w:p>
        </w:tc>
        <w:tc>
          <w:tcPr>
            <w:tcW w:w="653" w:type="pct"/>
            <w:vMerge w:val="restart"/>
            <w:tcBorders>
              <w:top w:val="single" w:color="auto" w:sz="4" w:space="0"/>
              <w:left w:val="single" w:color="auto" w:sz="4" w:space="0"/>
              <w:right w:val="single" w:color="auto" w:sz="4" w:space="0"/>
            </w:tcBorders>
            <w:vAlign w:val="center"/>
          </w:tcPr>
          <w:p w14:paraId="530D9022">
            <w:pPr>
              <w:spacing w:line="360" w:lineRule="auto"/>
              <w:jc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rPr>
              <w:t>二、灌丛</w:t>
            </w:r>
          </w:p>
        </w:tc>
        <w:tc>
          <w:tcPr>
            <w:tcW w:w="684" w:type="pct"/>
            <w:vMerge w:val="restart"/>
            <w:tcBorders>
              <w:top w:val="single" w:color="auto" w:sz="4" w:space="0"/>
              <w:left w:val="single" w:color="auto" w:sz="4" w:space="0"/>
              <w:right w:val="single" w:color="auto" w:sz="4" w:space="0"/>
            </w:tcBorders>
            <w:vAlign w:val="center"/>
          </w:tcPr>
          <w:p w14:paraId="01978C4F">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阔叶落叶亚型</w:t>
            </w:r>
          </w:p>
        </w:tc>
        <w:tc>
          <w:tcPr>
            <w:tcW w:w="859" w:type="pct"/>
            <w:tcBorders>
              <w:top w:val="single" w:color="auto" w:sz="4" w:space="0"/>
              <w:left w:val="single" w:color="auto" w:sz="4" w:space="0"/>
              <w:bottom w:val="single" w:color="auto" w:sz="4" w:space="0"/>
              <w:right w:val="single" w:color="auto" w:sz="4" w:space="0"/>
            </w:tcBorders>
            <w:vAlign w:val="center"/>
          </w:tcPr>
          <w:p w14:paraId="418F8FF2">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桑群系</w:t>
            </w:r>
          </w:p>
        </w:tc>
        <w:tc>
          <w:tcPr>
            <w:tcW w:w="1030" w:type="pct"/>
            <w:tcBorders>
              <w:top w:val="single" w:color="auto" w:sz="4" w:space="0"/>
              <w:left w:val="single" w:color="auto" w:sz="4" w:space="0"/>
              <w:bottom w:val="single" w:color="auto" w:sz="4" w:space="0"/>
              <w:right w:val="single" w:color="auto" w:sz="4" w:space="0"/>
            </w:tcBorders>
            <w:vAlign w:val="center"/>
          </w:tcPr>
          <w:p w14:paraId="2B01F14C">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Morusalba</w:t>
            </w:r>
          </w:p>
        </w:tc>
        <w:tc>
          <w:tcPr>
            <w:tcW w:w="869" w:type="pct"/>
            <w:tcBorders>
              <w:top w:val="single" w:color="auto" w:sz="4" w:space="0"/>
              <w:left w:val="single" w:color="auto" w:sz="4" w:space="0"/>
              <w:bottom w:val="single" w:color="auto" w:sz="4" w:space="0"/>
              <w:right w:val="single" w:color="auto" w:sz="4" w:space="0"/>
            </w:tcBorders>
            <w:vAlign w:val="center"/>
          </w:tcPr>
          <w:p w14:paraId="0E8FEB10">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近岸陆域灌丛带</w:t>
            </w:r>
          </w:p>
        </w:tc>
      </w:tr>
      <w:tr w14:paraId="0CA61069">
        <w:tblPrEx>
          <w:tblCellMar>
            <w:top w:w="0" w:type="dxa"/>
            <w:left w:w="108" w:type="dxa"/>
            <w:bottom w:w="0" w:type="dxa"/>
            <w:right w:w="108" w:type="dxa"/>
          </w:tblCellMar>
        </w:tblPrEx>
        <w:trPr>
          <w:jc w:val="center"/>
        </w:trPr>
        <w:tc>
          <w:tcPr>
            <w:tcW w:w="903" w:type="pct"/>
            <w:vMerge w:val="continue"/>
            <w:tcBorders>
              <w:left w:val="single" w:color="auto" w:sz="12" w:space="0"/>
              <w:right w:val="single" w:color="auto" w:sz="4" w:space="0"/>
            </w:tcBorders>
            <w:vAlign w:val="center"/>
          </w:tcPr>
          <w:p w14:paraId="6072C9BB">
            <w:pPr>
              <w:widowControl/>
              <w:jc w:val="center"/>
              <w:rPr>
                <w:rFonts w:ascii="Times New Roman" w:hAnsi="Times New Roman" w:eastAsia="宋体" w:cs="Times New Roman"/>
                <w:color w:val="auto"/>
                <w:kern w:val="0"/>
                <w:sz w:val="21"/>
                <w:szCs w:val="21"/>
              </w:rPr>
            </w:pPr>
          </w:p>
        </w:tc>
        <w:tc>
          <w:tcPr>
            <w:tcW w:w="653" w:type="pct"/>
            <w:vMerge w:val="continue"/>
            <w:tcBorders>
              <w:left w:val="single" w:color="auto" w:sz="4" w:space="0"/>
              <w:right w:val="single" w:color="auto" w:sz="4" w:space="0"/>
            </w:tcBorders>
            <w:vAlign w:val="center"/>
          </w:tcPr>
          <w:p w14:paraId="7046B26B">
            <w:pPr>
              <w:widowControl/>
              <w:jc w:val="center"/>
              <w:textAlignment w:val="center"/>
              <w:rPr>
                <w:rFonts w:ascii="Times New Roman" w:hAnsi="Times New Roman" w:eastAsia="宋体" w:cs="Times New Roman"/>
                <w:color w:val="auto"/>
                <w:kern w:val="0"/>
                <w:sz w:val="21"/>
                <w:szCs w:val="21"/>
                <w:lang w:bidi="ar"/>
              </w:rPr>
            </w:pPr>
          </w:p>
        </w:tc>
        <w:tc>
          <w:tcPr>
            <w:tcW w:w="684" w:type="pct"/>
            <w:vMerge w:val="continue"/>
            <w:tcBorders>
              <w:left w:val="single" w:color="auto" w:sz="4" w:space="0"/>
              <w:bottom w:val="single" w:color="auto" w:sz="4" w:space="0"/>
              <w:right w:val="single" w:color="auto" w:sz="4" w:space="0"/>
            </w:tcBorders>
            <w:vAlign w:val="center"/>
          </w:tcPr>
          <w:p w14:paraId="4F642090">
            <w:pPr>
              <w:widowControl/>
              <w:jc w:val="center"/>
              <w:textAlignment w:val="center"/>
              <w:rPr>
                <w:rFonts w:hint="eastAsia" w:ascii="Times New Roman" w:hAnsi="Times New Roman" w:eastAsia="宋体" w:cs="Times New Roman"/>
                <w:color w:val="auto"/>
                <w:kern w:val="0"/>
                <w:sz w:val="21"/>
                <w:szCs w:val="21"/>
                <w:lang w:val="en-US" w:eastAsia="zh-CN" w:bidi="ar"/>
              </w:rPr>
            </w:pPr>
          </w:p>
        </w:tc>
        <w:tc>
          <w:tcPr>
            <w:tcW w:w="859" w:type="pct"/>
            <w:tcBorders>
              <w:top w:val="single" w:color="auto" w:sz="4" w:space="0"/>
              <w:left w:val="single" w:color="auto" w:sz="4" w:space="0"/>
              <w:bottom w:val="single" w:color="auto" w:sz="4" w:space="0"/>
              <w:right w:val="single" w:color="auto" w:sz="4" w:space="0"/>
            </w:tcBorders>
            <w:vAlign w:val="center"/>
          </w:tcPr>
          <w:p w14:paraId="09D0A96B">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3</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构树群系</w:t>
            </w:r>
          </w:p>
        </w:tc>
        <w:tc>
          <w:tcPr>
            <w:tcW w:w="1030" w:type="pct"/>
            <w:tcBorders>
              <w:top w:val="single" w:color="auto" w:sz="4" w:space="0"/>
              <w:left w:val="single" w:color="auto" w:sz="4" w:space="0"/>
              <w:bottom w:val="single" w:color="auto" w:sz="4" w:space="0"/>
              <w:right w:val="single" w:color="auto" w:sz="4" w:space="0"/>
            </w:tcBorders>
            <w:vAlign w:val="center"/>
          </w:tcPr>
          <w:p w14:paraId="468C4729">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Broussoneti</w:t>
            </w:r>
            <w:r>
              <w:rPr>
                <w:rFonts w:hint="eastAsia" w:ascii="Times New Roman" w:hAnsi="Times New Roman" w:eastAsia="宋体" w:cs="Times New Roman"/>
                <w:color w:val="auto"/>
                <w:kern w:val="0"/>
                <w:sz w:val="21"/>
                <w:szCs w:val="21"/>
                <w:lang w:val="en-US" w:eastAsia="zh-CN" w:bidi="ar"/>
              </w:rPr>
              <w:t xml:space="preserve"> </w:t>
            </w:r>
            <w:r>
              <w:rPr>
                <w:rFonts w:ascii="Times New Roman" w:hAnsi="Times New Roman" w:eastAsia="宋体" w:cs="Times New Roman"/>
                <w:color w:val="auto"/>
                <w:kern w:val="0"/>
                <w:sz w:val="21"/>
                <w:szCs w:val="21"/>
                <w:lang w:bidi="ar"/>
              </w:rPr>
              <w:t>papyrifera</w:t>
            </w:r>
          </w:p>
        </w:tc>
        <w:tc>
          <w:tcPr>
            <w:tcW w:w="869" w:type="pct"/>
            <w:tcBorders>
              <w:top w:val="single" w:color="auto" w:sz="4" w:space="0"/>
              <w:left w:val="single" w:color="auto" w:sz="4" w:space="0"/>
              <w:bottom w:val="single" w:color="auto" w:sz="4" w:space="0"/>
              <w:right w:val="single" w:color="auto" w:sz="4" w:space="0"/>
            </w:tcBorders>
            <w:vAlign w:val="center"/>
          </w:tcPr>
          <w:p w14:paraId="6DCA74F3">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近岸陆域灌丛带</w:t>
            </w:r>
          </w:p>
        </w:tc>
      </w:tr>
      <w:tr w14:paraId="633653DB">
        <w:tblPrEx>
          <w:tblCellMar>
            <w:top w:w="0" w:type="dxa"/>
            <w:left w:w="108" w:type="dxa"/>
            <w:bottom w:w="0" w:type="dxa"/>
            <w:right w:w="108" w:type="dxa"/>
          </w:tblCellMar>
        </w:tblPrEx>
        <w:trPr>
          <w:jc w:val="center"/>
        </w:trPr>
        <w:tc>
          <w:tcPr>
            <w:tcW w:w="903" w:type="pct"/>
            <w:vMerge w:val="continue"/>
            <w:tcBorders>
              <w:left w:val="single" w:color="auto" w:sz="12" w:space="0"/>
              <w:bottom w:val="single" w:color="auto" w:sz="4" w:space="0"/>
              <w:right w:val="single" w:color="auto" w:sz="4" w:space="0"/>
            </w:tcBorders>
            <w:vAlign w:val="center"/>
          </w:tcPr>
          <w:p w14:paraId="67112AFC">
            <w:pPr>
              <w:widowControl/>
              <w:jc w:val="center"/>
              <w:rPr>
                <w:rFonts w:ascii="Times New Roman" w:hAnsi="Times New Roman" w:eastAsia="宋体" w:cs="Times New Roman"/>
                <w:color w:val="auto"/>
                <w:kern w:val="0"/>
                <w:sz w:val="21"/>
                <w:szCs w:val="21"/>
              </w:rPr>
            </w:pPr>
          </w:p>
        </w:tc>
        <w:tc>
          <w:tcPr>
            <w:tcW w:w="653" w:type="pct"/>
            <w:vMerge w:val="continue"/>
            <w:tcBorders>
              <w:left w:val="single" w:color="auto" w:sz="4" w:space="0"/>
              <w:bottom w:val="single" w:color="auto" w:sz="4" w:space="0"/>
              <w:right w:val="single" w:color="auto" w:sz="4" w:space="0"/>
            </w:tcBorders>
            <w:vAlign w:val="center"/>
          </w:tcPr>
          <w:p w14:paraId="7C50E07E">
            <w:pPr>
              <w:widowControl/>
              <w:jc w:val="center"/>
              <w:textAlignment w:val="center"/>
              <w:rPr>
                <w:rFonts w:ascii="Times New Roman" w:hAnsi="Times New Roman" w:eastAsia="宋体" w:cs="Times New Roman"/>
                <w:color w:val="auto"/>
                <w:kern w:val="0"/>
                <w:sz w:val="21"/>
                <w:szCs w:val="21"/>
                <w:lang w:bidi="ar"/>
              </w:rPr>
            </w:pPr>
          </w:p>
        </w:tc>
        <w:tc>
          <w:tcPr>
            <w:tcW w:w="684" w:type="pct"/>
            <w:tcBorders>
              <w:top w:val="single" w:color="auto" w:sz="4" w:space="0"/>
              <w:left w:val="single" w:color="auto" w:sz="4" w:space="0"/>
              <w:bottom w:val="single" w:color="auto" w:sz="4" w:space="0"/>
              <w:right w:val="single" w:color="auto" w:sz="4" w:space="0"/>
            </w:tcBorders>
            <w:vAlign w:val="center"/>
          </w:tcPr>
          <w:p w14:paraId="70200DD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禾草草丛亚型</w:t>
            </w:r>
          </w:p>
        </w:tc>
        <w:tc>
          <w:tcPr>
            <w:tcW w:w="859" w:type="pct"/>
            <w:tcBorders>
              <w:top w:val="single" w:color="auto" w:sz="4" w:space="0"/>
              <w:left w:val="single" w:color="auto" w:sz="4" w:space="0"/>
              <w:bottom w:val="single" w:color="auto" w:sz="4" w:space="0"/>
              <w:right w:val="single" w:color="auto" w:sz="4" w:space="0"/>
            </w:tcBorders>
            <w:vAlign w:val="center"/>
          </w:tcPr>
          <w:p w14:paraId="28EE4185">
            <w:pPr>
              <w:widowControl/>
              <w:jc w:val="center"/>
              <w:textAlignment w:val="center"/>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val="en-US" w:eastAsia="zh-CN" w:bidi="ar"/>
              </w:rPr>
              <w:t>4</w:t>
            </w:r>
            <w:r>
              <w:rPr>
                <w:rFonts w:hint="eastAsia" w:ascii="Times New Roman" w:hAnsi="Times New Roman" w:eastAsia="宋体" w:cs="Times New Roman"/>
                <w:color w:val="auto"/>
                <w:kern w:val="0"/>
                <w:sz w:val="21"/>
                <w:szCs w:val="21"/>
                <w:lang w:eastAsia="zh-CN" w:bidi="ar"/>
              </w:rPr>
              <w:t>）狗牙根群系</w:t>
            </w:r>
          </w:p>
        </w:tc>
        <w:tc>
          <w:tcPr>
            <w:tcW w:w="1030" w:type="pct"/>
            <w:tcBorders>
              <w:top w:val="single" w:color="auto" w:sz="4" w:space="0"/>
              <w:left w:val="single" w:color="auto" w:sz="4" w:space="0"/>
              <w:bottom w:val="single" w:color="auto" w:sz="4" w:space="0"/>
              <w:right w:val="single" w:color="auto" w:sz="4" w:space="0"/>
            </w:tcBorders>
            <w:vAlign w:val="center"/>
          </w:tcPr>
          <w:p w14:paraId="4D16067B">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eastAsia="zh-CN" w:bidi="ar"/>
              </w:rPr>
              <w:t>Cynodon</w:t>
            </w:r>
            <w:r>
              <w:rPr>
                <w:rFonts w:hint="eastAsia" w:ascii="Times New Roman" w:hAnsi="Times New Roman" w:eastAsia="宋体" w:cs="Times New Roman"/>
                <w:color w:val="auto"/>
                <w:kern w:val="0"/>
                <w:sz w:val="21"/>
                <w:szCs w:val="21"/>
                <w:lang w:val="en-US" w:eastAsia="zh-CN" w:bidi="ar"/>
              </w:rPr>
              <w:t xml:space="preserve"> </w:t>
            </w:r>
            <w:r>
              <w:rPr>
                <w:rFonts w:hint="eastAsia" w:ascii="Times New Roman" w:hAnsi="Times New Roman" w:eastAsia="宋体" w:cs="Times New Roman"/>
                <w:color w:val="auto"/>
                <w:kern w:val="0"/>
                <w:sz w:val="21"/>
                <w:szCs w:val="21"/>
                <w:lang w:eastAsia="zh-CN" w:bidi="ar"/>
              </w:rPr>
              <w:t>dactylon</w:t>
            </w:r>
          </w:p>
        </w:tc>
        <w:tc>
          <w:tcPr>
            <w:tcW w:w="869" w:type="pct"/>
            <w:tcBorders>
              <w:top w:val="single" w:color="auto" w:sz="4" w:space="0"/>
              <w:left w:val="single" w:color="auto" w:sz="4" w:space="0"/>
              <w:bottom w:val="single" w:color="auto" w:sz="4" w:space="0"/>
              <w:right w:val="single" w:color="auto" w:sz="4" w:space="0"/>
            </w:tcBorders>
            <w:vAlign w:val="center"/>
          </w:tcPr>
          <w:p w14:paraId="0AB8AF2D">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池塘周边岸坡草丛带</w:t>
            </w:r>
          </w:p>
        </w:tc>
      </w:tr>
      <w:tr w14:paraId="1A8F8349">
        <w:tblPrEx>
          <w:tblCellMar>
            <w:top w:w="0" w:type="dxa"/>
            <w:left w:w="108" w:type="dxa"/>
            <w:bottom w:w="0" w:type="dxa"/>
            <w:right w:w="108" w:type="dxa"/>
          </w:tblCellMar>
        </w:tblPrEx>
        <w:trPr>
          <w:jc w:val="center"/>
        </w:trPr>
        <w:tc>
          <w:tcPr>
            <w:tcW w:w="903" w:type="pct"/>
            <w:vMerge w:val="restart"/>
            <w:tcBorders>
              <w:top w:val="single" w:color="auto" w:sz="4" w:space="0"/>
              <w:left w:val="single" w:color="auto" w:sz="12" w:space="0"/>
              <w:right w:val="single" w:color="auto" w:sz="4" w:space="0"/>
            </w:tcBorders>
            <w:vAlign w:val="center"/>
          </w:tcPr>
          <w:p w14:paraId="64C9F6FD">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ⅢI 草丛</w:t>
            </w:r>
          </w:p>
        </w:tc>
        <w:tc>
          <w:tcPr>
            <w:tcW w:w="653" w:type="pct"/>
            <w:vMerge w:val="restart"/>
            <w:tcBorders>
              <w:top w:val="single" w:color="auto" w:sz="4" w:space="0"/>
              <w:left w:val="single" w:color="auto" w:sz="4" w:space="0"/>
              <w:right w:val="single" w:color="auto" w:sz="4" w:space="0"/>
            </w:tcBorders>
            <w:vAlign w:val="center"/>
          </w:tcPr>
          <w:p w14:paraId="655D916D">
            <w:pPr>
              <w:spacing w:line="360" w:lineRule="auto"/>
              <w:jc w:val="both"/>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rPr>
              <w:t>三、草丛</w:t>
            </w:r>
          </w:p>
        </w:tc>
        <w:tc>
          <w:tcPr>
            <w:tcW w:w="684" w:type="pct"/>
            <w:tcBorders>
              <w:top w:val="single" w:color="auto" w:sz="4" w:space="0"/>
              <w:left w:val="single" w:color="auto" w:sz="4" w:space="0"/>
              <w:bottom w:val="single" w:color="auto" w:sz="4" w:space="0"/>
              <w:right w:val="single" w:color="auto" w:sz="4" w:space="0"/>
            </w:tcBorders>
            <w:vAlign w:val="center"/>
          </w:tcPr>
          <w:p w14:paraId="72A443E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莎草草丛亚型</w:t>
            </w:r>
          </w:p>
        </w:tc>
        <w:tc>
          <w:tcPr>
            <w:tcW w:w="859" w:type="pct"/>
            <w:tcBorders>
              <w:top w:val="single" w:color="auto" w:sz="4" w:space="0"/>
              <w:left w:val="single" w:color="auto" w:sz="4" w:space="0"/>
              <w:bottom w:val="single" w:color="auto" w:sz="4" w:space="0"/>
              <w:right w:val="single" w:color="auto" w:sz="4" w:space="0"/>
            </w:tcBorders>
            <w:vAlign w:val="center"/>
          </w:tcPr>
          <w:p w14:paraId="259166D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eastAsia="zh-CN" w:bidi="ar"/>
              </w:rPr>
              <w:t>5）毛轴莎草群系</w:t>
            </w:r>
          </w:p>
        </w:tc>
        <w:tc>
          <w:tcPr>
            <w:tcW w:w="1030" w:type="pct"/>
            <w:tcBorders>
              <w:top w:val="single" w:color="auto" w:sz="4" w:space="0"/>
              <w:left w:val="single" w:color="auto" w:sz="4" w:space="0"/>
              <w:bottom w:val="single" w:color="auto" w:sz="4" w:space="0"/>
              <w:right w:val="single" w:color="auto" w:sz="4" w:space="0"/>
            </w:tcBorders>
            <w:vAlign w:val="center"/>
          </w:tcPr>
          <w:p w14:paraId="360AD5F5">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eastAsia="zh-CN" w:bidi="ar"/>
              </w:rPr>
              <w:t>Cyperus pilosus</w:t>
            </w:r>
          </w:p>
        </w:tc>
        <w:tc>
          <w:tcPr>
            <w:tcW w:w="869" w:type="pct"/>
            <w:tcBorders>
              <w:top w:val="single" w:color="auto" w:sz="4" w:space="0"/>
              <w:left w:val="single" w:color="auto" w:sz="4" w:space="0"/>
              <w:bottom w:val="single" w:color="auto" w:sz="4" w:space="0"/>
              <w:right w:val="single" w:color="auto" w:sz="4" w:space="0"/>
            </w:tcBorders>
            <w:vAlign w:val="center"/>
          </w:tcPr>
          <w:p w14:paraId="730B4CCB">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池塘浅滩草丛带</w:t>
            </w:r>
          </w:p>
        </w:tc>
      </w:tr>
      <w:tr w14:paraId="26AA288A">
        <w:tblPrEx>
          <w:tblCellMar>
            <w:top w:w="0" w:type="dxa"/>
            <w:left w:w="108" w:type="dxa"/>
            <w:bottom w:w="0" w:type="dxa"/>
            <w:right w:w="108" w:type="dxa"/>
          </w:tblCellMar>
        </w:tblPrEx>
        <w:trPr>
          <w:jc w:val="center"/>
        </w:trPr>
        <w:tc>
          <w:tcPr>
            <w:tcW w:w="903" w:type="pct"/>
            <w:vMerge w:val="continue"/>
            <w:tcBorders>
              <w:left w:val="single" w:color="auto" w:sz="12" w:space="0"/>
              <w:right w:val="single" w:color="auto" w:sz="4" w:space="0"/>
            </w:tcBorders>
            <w:vAlign w:val="center"/>
          </w:tcPr>
          <w:p w14:paraId="6965F759">
            <w:pPr>
              <w:widowControl/>
              <w:jc w:val="center"/>
              <w:rPr>
                <w:rFonts w:ascii="Times New Roman" w:hAnsi="Times New Roman" w:eastAsia="宋体" w:cs="Times New Roman"/>
                <w:color w:val="auto"/>
                <w:kern w:val="0"/>
                <w:sz w:val="21"/>
                <w:szCs w:val="21"/>
              </w:rPr>
            </w:pPr>
          </w:p>
        </w:tc>
        <w:tc>
          <w:tcPr>
            <w:tcW w:w="653" w:type="pct"/>
            <w:vMerge w:val="continue"/>
            <w:tcBorders>
              <w:left w:val="single" w:color="auto" w:sz="4" w:space="0"/>
              <w:right w:val="single" w:color="auto" w:sz="4" w:space="0"/>
            </w:tcBorders>
            <w:vAlign w:val="center"/>
          </w:tcPr>
          <w:p w14:paraId="42486F79">
            <w:pPr>
              <w:widowControl/>
              <w:jc w:val="center"/>
              <w:textAlignment w:val="center"/>
              <w:rPr>
                <w:rFonts w:ascii="Times New Roman" w:hAnsi="Times New Roman" w:eastAsia="宋体" w:cs="Times New Roman"/>
                <w:color w:val="auto"/>
                <w:kern w:val="0"/>
                <w:sz w:val="21"/>
                <w:szCs w:val="21"/>
                <w:lang w:bidi="ar"/>
              </w:rPr>
            </w:pPr>
          </w:p>
        </w:tc>
        <w:tc>
          <w:tcPr>
            <w:tcW w:w="684" w:type="pct"/>
            <w:tcBorders>
              <w:top w:val="single" w:color="auto" w:sz="4" w:space="0"/>
              <w:left w:val="single" w:color="auto" w:sz="4" w:space="0"/>
              <w:bottom w:val="single" w:color="auto" w:sz="4" w:space="0"/>
              <w:right w:val="single" w:color="auto" w:sz="4" w:space="0"/>
            </w:tcBorders>
            <w:vAlign w:val="center"/>
          </w:tcPr>
          <w:p w14:paraId="32BAE51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蓼草草丛亚型</w:t>
            </w:r>
          </w:p>
        </w:tc>
        <w:tc>
          <w:tcPr>
            <w:tcW w:w="859" w:type="pct"/>
            <w:tcBorders>
              <w:top w:val="single" w:color="auto" w:sz="4" w:space="0"/>
              <w:left w:val="single" w:color="auto" w:sz="4" w:space="0"/>
              <w:bottom w:val="single" w:color="auto" w:sz="4" w:space="0"/>
              <w:right w:val="single" w:color="auto" w:sz="4" w:space="0"/>
            </w:tcBorders>
            <w:vAlign w:val="center"/>
          </w:tcPr>
          <w:p w14:paraId="76C56D5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r>
              <w:rPr>
                <w:rFonts w:hint="eastAsia" w:ascii="Times New Roman" w:hAnsi="Times New Roman" w:eastAsia="宋体" w:cs="Times New Roman"/>
                <w:color w:val="auto"/>
                <w:kern w:val="0"/>
                <w:sz w:val="21"/>
                <w:szCs w:val="21"/>
                <w:lang w:eastAsia="zh-CN" w:bidi="ar"/>
              </w:rPr>
              <w:t>）酸模叶蓼群系</w:t>
            </w:r>
          </w:p>
        </w:tc>
        <w:tc>
          <w:tcPr>
            <w:tcW w:w="1030" w:type="pct"/>
            <w:tcBorders>
              <w:top w:val="single" w:color="auto" w:sz="4" w:space="0"/>
              <w:left w:val="single" w:color="auto" w:sz="4" w:space="0"/>
              <w:bottom w:val="single" w:color="auto" w:sz="4" w:space="0"/>
              <w:right w:val="single" w:color="auto" w:sz="4" w:space="0"/>
            </w:tcBorders>
            <w:vAlign w:val="center"/>
          </w:tcPr>
          <w:p w14:paraId="629B4F3C">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eastAsia="zh-CN" w:bidi="ar"/>
              </w:rPr>
              <w:t>Persicaria lapathifolia</w:t>
            </w:r>
          </w:p>
        </w:tc>
        <w:tc>
          <w:tcPr>
            <w:tcW w:w="869" w:type="pct"/>
            <w:tcBorders>
              <w:top w:val="single" w:color="auto" w:sz="4" w:space="0"/>
              <w:left w:val="single" w:color="auto" w:sz="4" w:space="0"/>
              <w:bottom w:val="single" w:color="auto" w:sz="4" w:space="0"/>
              <w:right w:val="single" w:color="auto" w:sz="4" w:space="0"/>
            </w:tcBorders>
            <w:vAlign w:val="center"/>
          </w:tcPr>
          <w:p w14:paraId="3B3B8009">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池塘浅滩草丛带</w:t>
            </w:r>
          </w:p>
        </w:tc>
      </w:tr>
      <w:tr w14:paraId="4214DF02">
        <w:tblPrEx>
          <w:tblCellMar>
            <w:top w:w="0" w:type="dxa"/>
            <w:left w:w="108" w:type="dxa"/>
            <w:bottom w:w="0" w:type="dxa"/>
            <w:right w:w="108" w:type="dxa"/>
          </w:tblCellMar>
        </w:tblPrEx>
        <w:trPr>
          <w:jc w:val="center"/>
        </w:trPr>
        <w:tc>
          <w:tcPr>
            <w:tcW w:w="903" w:type="pct"/>
            <w:vMerge w:val="continue"/>
            <w:tcBorders>
              <w:left w:val="single" w:color="auto" w:sz="12" w:space="0"/>
              <w:right w:val="single" w:color="auto" w:sz="4" w:space="0"/>
            </w:tcBorders>
            <w:vAlign w:val="center"/>
          </w:tcPr>
          <w:p w14:paraId="271C59FB">
            <w:pPr>
              <w:widowControl/>
              <w:jc w:val="center"/>
              <w:rPr>
                <w:rFonts w:ascii="Times New Roman" w:hAnsi="Times New Roman" w:eastAsia="宋体" w:cs="Times New Roman"/>
                <w:color w:val="auto"/>
                <w:kern w:val="0"/>
                <w:sz w:val="21"/>
                <w:szCs w:val="21"/>
              </w:rPr>
            </w:pPr>
          </w:p>
        </w:tc>
        <w:tc>
          <w:tcPr>
            <w:tcW w:w="653" w:type="pct"/>
            <w:vMerge w:val="continue"/>
            <w:tcBorders>
              <w:left w:val="single" w:color="auto" w:sz="4" w:space="0"/>
              <w:right w:val="single" w:color="auto" w:sz="4" w:space="0"/>
            </w:tcBorders>
            <w:vAlign w:val="center"/>
          </w:tcPr>
          <w:p w14:paraId="0958679B">
            <w:pPr>
              <w:widowControl/>
              <w:jc w:val="center"/>
              <w:textAlignment w:val="center"/>
              <w:rPr>
                <w:rFonts w:ascii="Times New Roman" w:hAnsi="Times New Roman" w:eastAsia="宋体" w:cs="Times New Roman"/>
                <w:color w:val="auto"/>
                <w:kern w:val="0"/>
                <w:sz w:val="21"/>
                <w:szCs w:val="21"/>
                <w:lang w:bidi="ar"/>
              </w:rPr>
            </w:pPr>
          </w:p>
        </w:tc>
        <w:tc>
          <w:tcPr>
            <w:tcW w:w="684" w:type="pct"/>
            <w:tcBorders>
              <w:top w:val="single" w:color="auto" w:sz="4" w:space="0"/>
              <w:left w:val="single" w:color="auto" w:sz="4" w:space="0"/>
              <w:bottom w:val="single" w:color="auto" w:sz="4" w:space="0"/>
              <w:right w:val="single" w:color="auto" w:sz="4" w:space="0"/>
            </w:tcBorders>
            <w:vAlign w:val="center"/>
          </w:tcPr>
          <w:p w14:paraId="58876884">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菊科草丛亚型</w:t>
            </w:r>
          </w:p>
        </w:tc>
        <w:tc>
          <w:tcPr>
            <w:tcW w:w="859" w:type="pct"/>
            <w:tcBorders>
              <w:top w:val="single" w:color="auto" w:sz="4" w:space="0"/>
              <w:left w:val="single" w:color="auto" w:sz="4" w:space="0"/>
              <w:bottom w:val="single" w:color="auto" w:sz="4" w:space="0"/>
              <w:right w:val="single" w:color="auto" w:sz="4" w:space="0"/>
            </w:tcBorders>
            <w:vAlign w:val="center"/>
          </w:tcPr>
          <w:p w14:paraId="5AAD149E">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w:t>
            </w:r>
            <w:r>
              <w:rPr>
                <w:rFonts w:hint="eastAsia" w:ascii="Times New Roman" w:hAnsi="Times New Roman" w:eastAsia="宋体" w:cs="Times New Roman"/>
                <w:color w:val="auto"/>
                <w:kern w:val="0"/>
                <w:sz w:val="21"/>
                <w:szCs w:val="21"/>
                <w:lang w:eastAsia="zh-CN" w:bidi="ar"/>
              </w:rPr>
              <w:t>）萎蒿群系</w:t>
            </w:r>
          </w:p>
        </w:tc>
        <w:tc>
          <w:tcPr>
            <w:tcW w:w="1030" w:type="pct"/>
            <w:tcBorders>
              <w:top w:val="single" w:color="auto" w:sz="4" w:space="0"/>
              <w:left w:val="single" w:color="auto" w:sz="4" w:space="0"/>
              <w:bottom w:val="single" w:color="auto" w:sz="4" w:space="0"/>
              <w:right w:val="single" w:color="auto" w:sz="4" w:space="0"/>
            </w:tcBorders>
            <w:vAlign w:val="center"/>
          </w:tcPr>
          <w:p w14:paraId="7E11B816">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eastAsia="zh-CN" w:bidi="ar"/>
              </w:rPr>
              <w:t>Artemisia selengensis</w:t>
            </w:r>
          </w:p>
        </w:tc>
        <w:tc>
          <w:tcPr>
            <w:tcW w:w="869" w:type="pct"/>
            <w:tcBorders>
              <w:top w:val="single" w:color="auto" w:sz="4" w:space="0"/>
              <w:left w:val="single" w:color="auto" w:sz="4" w:space="0"/>
              <w:bottom w:val="single" w:color="auto" w:sz="4" w:space="0"/>
              <w:right w:val="single" w:color="auto" w:sz="4" w:space="0"/>
            </w:tcBorders>
            <w:vAlign w:val="center"/>
          </w:tcPr>
          <w:p w14:paraId="35E721B4">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池塘浅滩草丛带</w:t>
            </w:r>
          </w:p>
        </w:tc>
      </w:tr>
      <w:tr w14:paraId="302B3F5B">
        <w:tblPrEx>
          <w:tblCellMar>
            <w:top w:w="0" w:type="dxa"/>
            <w:left w:w="108" w:type="dxa"/>
            <w:bottom w:w="0" w:type="dxa"/>
            <w:right w:w="108" w:type="dxa"/>
          </w:tblCellMar>
        </w:tblPrEx>
        <w:trPr>
          <w:jc w:val="center"/>
        </w:trPr>
        <w:tc>
          <w:tcPr>
            <w:tcW w:w="903" w:type="pct"/>
            <w:vMerge w:val="continue"/>
            <w:tcBorders>
              <w:left w:val="single" w:color="auto" w:sz="12" w:space="0"/>
              <w:bottom w:val="single" w:color="auto" w:sz="4" w:space="0"/>
              <w:right w:val="single" w:color="auto" w:sz="4" w:space="0"/>
            </w:tcBorders>
            <w:vAlign w:val="center"/>
          </w:tcPr>
          <w:p w14:paraId="227DAC91">
            <w:pPr>
              <w:widowControl/>
              <w:jc w:val="center"/>
              <w:rPr>
                <w:rFonts w:ascii="Times New Roman" w:hAnsi="Times New Roman" w:eastAsia="宋体" w:cs="Times New Roman"/>
                <w:color w:val="auto"/>
                <w:kern w:val="0"/>
                <w:sz w:val="21"/>
                <w:szCs w:val="21"/>
              </w:rPr>
            </w:pPr>
          </w:p>
        </w:tc>
        <w:tc>
          <w:tcPr>
            <w:tcW w:w="653" w:type="pct"/>
            <w:vMerge w:val="continue"/>
            <w:tcBorders>
              <w:left w:val="single" w:color="auto" w:sz="4" w:space="0"/>
              <w:bottom w:val="single" w:color="auto" w:sz="4" w:space="0"/>
              <w:right w:val="single" w:color="auto" w:sz="4" w:space="0"/>
            </w:tcBorders>
            <w:vAlign w:val="center"/>
          </w:tcPr>
          <w:p w14:paraId="6D886E10">
            <w:pPr>
              <w:widowControl/>
              <w:jc w:val="center"/>
              <w:textAlignment w:val="center"/>
              <w:rPr>
                <w:rFonts w:ascii="Times New Roman" w:hAnsi="Times New Roman" w:eastAsia="宋体" w:cs="Times New Roman"/>
                <w:color w:val="auto"/>
                <w:kern w:val="0"/>
                <w:sz w:val="21"/>
                <w:szCs w:val="21"/>
                <w:lang w:bidi="ar"/>
              </w:rPr>
            </w:pPr>
          </w:p>
        </w:tc>
        <w:tc>
          <w:tcPr>
            <w:tcW w:w="684" w:type="pct"/>
            <w:tcBorders>
              <w:top w:val="single" w:color="auto" w:sz="4" w:space="0"/>
              <w:left w:val="single" w:color="auto" w:sz="4" w:space="0"/>
              <w:bottom w:val="single" w:color="auto" w:sz="4" w:space="0"/>
              <w:right w:val="single" w:color="auto" w:sz="4" w:space="0"/>
            </w:tcBorders>
            <w:vAlign w:val="center"/>
          </w:tcPr>
          <w:p w14:paraId="23B4373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禾草草丛亚型</w:t>
            </w:r>
          </w:p>
        </w:tc>
        <w:tc>
          <w:tcPr>
            <w:tcW w:w="859" w:type="pct"/>
            <w:tcBorders>
              <w:top w:val="single" w:color="auto" w:sz="4" w:space="0"/>
              <w:left w:val="single" w:color="auto" w:sz="4" w:space="0"/>
              <w:bottom w:val="single" w:color="auto" w:sz="4" w:space="0"/>
              <w:right w:val="single" w:color="auto" w:sz="4" w:space="0"/>
            </w:tcBorders>
            <w:vAlign w:val="center"/>
          </w:tcPr>
          <w:p w14:paraId="22CBED5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w:t>
            </w:r>
            <w:r>
              <w:rPr>
                <w:rFonts w:hint="eastAsia" w:ascii="Times New Roman" w:hAnsi="Times New Roman" w:eastAsia="宋体" w:cs="Times New Roman"/>
                <w:color w:val="auto"/>
                <w:kern w:val="0"/>
                <w:sz w:val="21"/>
                <w:szCs w:val="21"/>
                <w:lang w:eastAsia="zh-CN" w:bidi="ar"/>
              </w:rPr>
              <w:t>）芦苇群系</w:t>
            </w:r>
          </w:p>
        </w:tc>
        <w:tc>
          <w:tcPr>
            <w:tcW w:w="1030" w:type="pct"/>
            <w:tcBorders>
              <w:top w:val="single" w:color="auto" w:sz="4" w:space="0"/>
              <w:left w:val="single" w:color="auto" w:sz="4" w:space="0"/>
              <w:bottom w:val="single" w:color="auto" w:sz="4" w:space="0"/>
              <w:right w:val="single" w:color="auto" w:sz="4" w:space="0"/>
            </w:tcBorders>
            <w:vAlign w:val="center"/>
          </w:tcPr>
          <w:p w14:paraId="0B91D300">
            <w:pPr>
              <w:widowControl/>
              <w:jc w:val="center"/>
              <w:textAlignment w:val="center"/>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eastAsia="zh-CN" w:bidi="ar"/>
              </w:rPr>
              <w:t>Phragmites australis</w:t>
            </w:r>
          </w:p>
        </w:tc>
        <w:tc>
          <w:tcPr>
            <w:tcW w:w="869" w:type="pct"/>
            <w:tcBorders>
              <w:top w:val="single" w:color="auto" w:sz="4" w:space="0"/>
              <w:left w:val="single" w:color="auto" w:sz="4" w:space="0"/>
              <w:bottom w:val="single" w:color="auto" w:sz="4" w:space="0"/>
              <w:right w:val="single" w:color="auto" w:sz="4" w:space="0"/>
            </w:tcBorders>
            <w:vAlign w:val="center"/>
          </w:tcPr>
          <w:p w14:paraId="418AC805">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池塘浅滩草丛带</w:t>
            </w:r>
          </w:p>
        </w:tc>
      </w:tr>
      <w:tr w14:paraId="1EFEE84C">
        <w:tblPrEx>
          <w:tblCellMar>
            <w:top w:w="0" w:type="dxa"/>
            <w:left w:w="108" w:type="dxa"/>
            <w:bottom w:w="0" w:type="dxa"/>
            <w:right w:w="108" w:type="dxa"/>
          </w:tblCellMar>
        </w:tblPrEx>
        <w:trPr>
          <w:jc w:val="center"/>
        </w:trPr>
        <w:tc>
          <w:tcPr>
            <w:tcW w:w="903" w:type="pct"/>
            <w:vMerge w:val="restart"/>
            <w:tcBorders>
              <w:left w:val="single" w:color="auto" w:sz="12" w:space="0"/>
              <w:right w:val="single" w:color="auto" w:sz="4" w:space="0"/>
            </w:tcBorders>
            <w:vAlign w:val="center"/>
          </w:tcPr>
          <w:p w14:paraId="792469B7">
            <w:pPr>
              <w:widowControl/>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IV 水生植物</w:t>
            </w:r>
          </w:p>
        </w:tc>
        <w:tc>
          <w:tcPr>
            <w:tcW w:w="653" w:type="pct"/>
            <w:tcBorders>
              <w:top w:val="single" w:color="auto" w:sz="4" w:space="0"/>
              <w:left w:val="single" w:color="auto" w:sz="4" w:space="0"/>
              <w:bottom w:val="single" w:color="auto" w:sz="4" w:space="0"/>
              <w:right w:val="single" w:color="auto" w:sz="4" w:space="0"/>
            </w:tcBorders>
            <w:vAlign w:val="center"/>
          </w:tcPr>
          <w:p w14:paraId="7F07B054">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四、</w:t>
            </w:r>
            <w:r>
              <w:rPr>
                <w:rFonts w:ascii="Times New Roman" w:hAnsi="Times New Roman" w:eastAsia="宋体" w:cs="Times New Roman"/>
                <w:color w:val="auto"/>
                <w:kern w:val="0"/>
                <w:sz w:val="21"/>
                <w:szCs w:val="21"/>
                <w:lang w:bidi="ar"/>
              </w:rPr>
              <w:t>漂浮植物</w:t>
            </w:r>
          </w:p>
        </w:tc>
        <w:tc>
          <w:tcPr>
            <w:tcW w:w="684" w:type="pct"/>
            <w:tcBorders>
              <w:top w:val="single" w:color="auto" w:sz="4" w:space="0"/>
              <w:left w:val="single" w:color="auto" w:sz="4" w:space="0"/>
              <w:bottom w:val="single" w:color="auto" w:sz="4" w:space="0"/>
              <w:right w:val="single" w:color="auto" w:sz="4" w:space="0"/>
            </w:tcBorders>
            <w:vAlign w:val="center"/>
          </w:tcPr>
          <w:p w14:paraId="5D3500DD">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漂浮水生亚型</w:t>
            </w:r>
          </w:p>
        </w:tc>
        <w:tc>
          <w:tcPr>
            <w:tcW w:w="859" w:type="pct"/>
            <w:tcBorders>
              <w:top w:val="single" w:color="auto" w:sz="4" w:space="0"/>
              <w:left w:val="single" w:color="auto" w:sz="4" w:space="0"/>
              <w:bottom w:val="single" w:color="auto" w:sz="4" w:space="0"/>
              <w:right w:val="single" w:color="auto" w:sz="4" w:space="0"/>
            </w:tcBorders>
            <w:vAlign w:val="center"/>
          </w:tcPr>
          <w:p w14:paraId="68C94FE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9）凤眼莲群系</w:t>
            </w:r>
          </w:p>
        </w:tc>
        <w:tc>
          <w:tcPr>
            <w:tcW w:w="1030" w:type="pct"/>
            <w:tcBorders>
              <w:top w:val="single" w:color="auto" w:sz="4" w:space="0"/>
              <w:left w:val="single" w:color="auto" w:sz="4" w:space="0"/>
              <w:bottom w:val="single" w:color="auto" w:sz="4" w:space="0"/>
              <w:right w:val="single" w:color="auto" w:sz="4" w:space="0"/>
            </w:tcBorders>
            <w:vAlign w:val="center"/>
          </w:tcPr>
          <w:p w14:paraId="35B19C08">
            <w:pPr>
              <w:widowControl/>
              <w:jc w:val="center"/>
              <w:textAlignment w:val="center"/>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val="en-US" w:eastAsia="zh-CN" w:bidi="ar"/>
              </w:rPr>
              <w:t>Eichhornia crassipes</w:t>
            </w:r>
          </w:p>
        </w:tc>
        <w:tc>
          <w:tcPr>
            <w:tcW w:w="869" w:type="pct"/>
            <w:tcBorders>
              <w:top w:val="single" w:color="auto" w:sz="4" w:space="0"/>
              <w:left w:val="single" w:color="auto" w:sz="4" w:space="0"/>
              <w:bottom w:val="single" w:color="auto" w:sz="4" w:space="0"/>
              <w:right w:val="single" w:color="auto" w:sz="4" w:space="0"/>
            </w:tcBorders>
            <w:vAlign w:val="center"/>
          </w:tcPr>
          <w:p w14:paraId="3A7CC7A6">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池塘浅滩草丛带</w:t>
            </w:r>
          </w:p>
        </w:tc>
      </w:tr>
      <w:tr w14:paraId="1DEBE185">
        <w:tblPrEx>
          <w:tblCellMar>
            <w:top w:w="0" w:type="dxa"/>
            <w:left w:w="108" w:type="dxa"/>
            <w:bottom w:w="0" w:type="dxa"/>
            <w:right w:w="108" w:type="dxa"/>
          </w:tblCellMar>
        </w:tblPrEx>
        <w:trPr>
          <w:jc w:val="center"/>
        </w:trPr>
        <w:tc>
          <w:tcPr>
            <w:tcW w:w="903" w:type="pct"/>
            <w:vMerge w:val="continue"/>
            <w:tcBorders>
              <w:left w:val="single" w:color="auto" w:sz="12" w:space="0"/>
              <w:bottom w:val="single" w:color="auto" w:sz="4" w:space="0"/>
              <w:right w:val="single" w:color="auto" w:sz="4" w:space="0"/>
            </w:tcBorders>
            <w:vAlign w:val="center"/>
          </w:tcPr>
          <w:p w14:paraId="0BB5A098">
            <w:pPr>
              <w:widowControl/>
              <w:jc w:val="center"/>
              <w:rPr>
                <w:rFonts w:ascii="Times New Roman" w:hAnsi="Times New Roman" w:eastAsia="宋体" w:cs="Times New Roman"/>
                <w:color w:val="auto"/>
                <w:kern w:val="0"/>
                <w:sz w:val="21"/>
                <w:szCs w:val="21"/>
              </w:rPr>
            </w:pPr>
          </w:p>
        </w:tc>
        <w:tc>
          <w:tcPr>
            <w:tcW w:w="653" w:type="pct"/>
            <w:tcBorders>
              <w:top w:val="single" w:color="auto" w:sz="4" w:space="0"/>
              <w:left w:val="single" w:color="auto" w:sz="4" w:space="0"/>
              <w:bottom w:val="single" w:color="auto" w:sz="4" w:space="0"/>
              <w:right w:val="single" w:color="auto" w:sz="4" w:space="0"/>
            </w:tcBorders>
            <w:vAlign w:val="center"/>
          </w:tcPr>
          <w:p w14:paraId="34DD0121">
            <w:pPr>
              <w:widowControl/>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五、</w:t>
            </w:r>
            <w:r>
              <w:rPr>
                <w:rFonts w:ascii="Times New Roman" w:hAnsi="Times New Roman" w:eastAsia="宋体" w:cs="Times New Roman"/>
                <w:color w:val="auto"/>
                <w:kern w:val="0"/>
                <w:sz w:val="21"/>
                <w:szCs w:val="21"/>
                <w:lang w:bidi="ar"/>
              </w:rPr>
              <w:t>挺水植物</w:t>
            </w:r>
          </w:p>
        </w:tc>
        <w:tc>
          <w:tcPr>
            <w:tcW w:w="684" w:type="pct"/>
            <w:tcBorders>
              <w:top w:val="single" w:color="auto" w:sz="4" w:space="0"/>
              <w:left w:val="single" w:color="auto" w:sz="4" w:space="0"/>
              <w:bottom w:val="single" w:color="auto" w:sz="4" w:space="0"/>
              <w:right w:val="single" w:color="auto" w:sz="4" w:space="0"/>
            </w:tcBorders>
            <w:vAlign w:val="center"/>
          </w:tcPr>
          <w:p w14:paraId="7C746988">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挺水水生亚型</w:t>
            </w:r>
          </w:p>
        </w:tc>
        <w:tc>
          <w:tcPr>
            <w:tcW w:w="859" w:type="pct"/>
            <w:tcBorders>
              <w:top w:val="single" w:color="auto" w:sz="4" w:space="0"/>
              <w:left w:val="single" w:color="auto" w:sz="4" w:space="0"/>
              <w:bottom w:val="single" w:color="auto" w:sz="4" w:space="0"/>
              <w:right w:val="single" w:color="auto" w:sz="4" w:space="0"/>
            </w:tcBorders>
            <w:vAlign w:val="center"/>
          </w:tcPr>
          <w:p w14:paraId="7252CE4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10）空心莲子草群系</w:t>
            </w:r>
          </w:p>
        </w:tc>
        <w:tc>
          <w:tcPr>
            <w:tcW w:w="1030" w:type="pct"/>
            <w:tcBorders>
              <w:top w:val="single" w:color="auto" w:sz="4" w:space="0"/>
              <w:left w:val="single" w:color="auto" w:sz="4" w:space="0"/>
              <w:bottom w:val="single" w:color="auto" w:sz="4" w:space="0"/>
              <w:right w:val="single" w:color="auto" w:sz="4" w:space="0"/>
            </w:tcBorders>
            <w:vAlign w:val="center"/>
          </w:tcPr>
          <w:p w14:paraId="52647AB6">
            <w:pPr>
              <w:widowControl/>
              <w:jc w:val="center"/>
              <w:textAlignment w:val="center"/>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val="en-US" w:eastAsia="zh-CN" w:bidi="ar"/>
              </w:rPr>
              <w:t>Alternanthera philoxeroides</w:t>
            </w:r>
          </w:p>
        </w:tc>
        <w:tc>
          <w:tcPr>
            <w:tcW w:w="869" w:type="pct"/>
            <w:tcBorders>
              <w:top w:val="single" w:color="auto" w:sz="4" w:space="0"/>
              <w:left w:val="single" w:color="auto" w:sz="4" w:space="0"/>
              <w:bottom w:val="single" w:color="auto" w:sz="4" w:space="0"/>
              <w:right w:val="single" w:color="auto" w:sz="4" w:space="0"/>
            </w:tcBorders>
            <w:vAlign w:val="center"/>
          </w:tcPr>
          <w:p w14:paraId="0FBBA1ED">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池塘岸坡挺水区域</w:t>
            </w:r>
          </w:p>
        </w:tc>
      </w:tr>
      <w:tr w14:paraId="5B7EDDD2">
        <w:tblPrEx>
          <w:tblCellMar>
            <w:top w:w="0" w:type="dxa"/>
            <w:left w:w="108" w:type="dxa"/>
            <w:bottom w:w="0" w:type="dxa"/>
            <w:right w:w="108" w:type="dxa"/>
          </w:tblCellMar>
        </w:tblPrEx>
        <w:trPr>
          <w:jc w:val="center"/>
        </w:trPr>
        <w:tc>
          <w:tcPr>
            <w:tcW w:w="5000" w:type="pct"/>
            <w:gridSpan w:val="6"/>
            <w:tcBorders>
              <w:top w:val="single" w:color="auto" w:sz="4" w:space="0"/>
              <w:left w:val="single" w:color="auto" w:sz="12" w:space="0"/>
              <w:bottom w:val="single" w:color="auto" w:sz="12" w:space="0"/>
              <w:right w:val="single" w:color="auto" w:sz="4" w:space="0"/>
            </w:tcBorders>
            <w:vAlign w:val="center"/>
          </w:tcPr>
          <w:p w14:paraId="3710C30C">
            <w:pPr>
              <w:widowControl/>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评价区内湿地植被涉及自然湿地植被和人工湿地植被两大类型，有</w:t>
            </w:r>
            <w:r>
              <w:rPr>
                <w:rFonts w:hint="eastAsia" w:ascii="Times New Roman" w:hAnsi="Times New Roman" w:eastAsia="宋体" w:cs="Times New Roman"/>
                <w:color w:val="auto"/>
                <w:kern w:val="0"/>
                <w:sz w:val="21"/>
                <w:szCs w:val="21"/>
                <w:lang w:bidi="ar"/>
              </w:rPr>
              <w:t>“</w:t>
            </w:r>
            <w:r>
              <w:rPr>
                <w:rFonts w:ascii="Times New Roman" w:hAnsi="Times New Roman" w:eastAsia="宋体" w:cs="Times New Roman"/>
                <w:color w:val="auto"/>
                <w:kern w:val="0"/>
                <w:sz w:val="21"/>
                <w:szCs w:val="21"/>
                <w:lang w:bidi="ar"/>
              </w:rPr>
              <w:t>*</w:t>
            </w:r>
            <w:r>
              <w:rPr>
                <w:rFonts w:hint="eastAsia" w:ascii="Times New Roman" w:hAnsi="Times New Roman" w:eastAsia="宋体" w:cs="Times New Roman"/>
                <w:color w:val="auto"/>
                <w:kern w:val="0"/>
                <w:sz w:val="21"/>
                <w:szCs w:val="21"/>
                <w:lang w:bidi="ar"/>
              </w:rPr>
              <w:t>”</w:t>
            </w:r>
            <w:r>
              <w:rPr>
                <w:rFonts w:ascii="Times New Roman" w:hAnsi="Times New Roman" w:eastAsia="宋体" w:cs="Times New Roman"/>
                <w:color w:val="auto"/>
                <w:kern w:val="0"/>
                <w:sz w:val="21"/>
                <w:szCs w:val="21"/>
                <w:lang w:bidi="ar"/>
              </w:rPr>
              <w:t>者为人工湿地植被。部分群系的建群种，例如</w:t>
            </w:r>
            <w:r>
              <w:rPr>
                <w:rFonts w:hint="eastAsia" w:ascii="Times New Roman" w:hAnsi="Times New Roman" w:eastAsia="宋体" w:cs="Times New Roman"/>
                <w:color w:val="auto"/>
                <w:kern w:val="0"/>
                <w:sz w:val="21"/>
                <w:szCs w:val="21"/>
                <w:lang w:bidi="ar"/>
              </w:rPr>
              <w:t>“</w:t>
            </w:r>
            <w:r>
              <w:rPr>
                <w:rFonts w:ascii="Times New Roman" w:hAnsi="Times New Roman" w:eastAsia="宋体" w:cs="Times New Roman"/>
                <w:color w:val="auto"/>
                <w:kern w:val="0"/>
                <w:sz w:val="21"/>
                <w:szCs w:val="21"/>
                <w:lang w:bidi="ar"/>
              </w:rPr>
              <w:t>凤眼莲</w:t>
            </w:r>
            <w:r>
              <w:rPr>
                <w:rFonts w:hint="eastAsia" w:ascii="Times New Roman" w:hAnsi="Times New Roman" w:eastAsia="宋体" w:cs="Times New Roman"/>
                <w:color w:val="auto"/>
                <w:kern w:val="0"/>
                <w:sz w:val="21"/>
                <w:szCs w:val="21"/>
                <w:lang w:bidi="ar"/>
              </w:rPr>
              <w:t>”</w:t>
            </w:r>
            <w:r>
              <w:rPr>
                <w:rFonts w:ascii="Times New Roman" w:hAnsi="Times New Roman" w:eastAsia="宋体" w:cs="Times New Roman"/>
                <w:color w:val="auto"/>
                <w:kern w:val="0"/>
                <w:sz w:val="21"/>
                <w:szCs w:val="21"/>
                <w:lang w:bidi="ar"/>
              </w:rPr>
              <w:t>等，虽然是外来入侵种，但它们已经有一定面积的自然扩散与分布。</w:t>
            </w:r>
          </w:p>
        </w:tc>
      </w:tr>
    </w:tbl>
    <w:p w14:paraId="2909C2E7">
      <w:pPr>
        <w:pStyle w:val="77"/>
        <w:keepNext w:val="0"/>
        <w:keepLines w:val="0"/>
        <w:pageBreakBefore w:val="0"/>
        <w:widowControl w:val="0"/>
        <w:numPr>
          <w:ilvl w:val="0"/>
          <w:numId w:val="0"/>
        </w:numPr>
        <w:tabs>
          <w:tab w:val="left" w:pos="567"/>
          <w:tab w:val="left" w:pos="851"/>
        </w:tabs>
        <w:kinsoku/>
        <w:wordWrap/>
        <w:overflowPunct/>
        <w:topLinePunct w:val="0"/>
        <w:autoSpaceDE/>
        <w:autoSpaceDN/>
        <w:bidi w:val="0"/>
        <w:adjustRightInd w:val="0"/>
        <w:snapToGrid/>
        <w:spacing w:line="360" w:lineRule="auto"/>
        <w:ind w:leftChars="0"/>
        <w:jc w:val="left"/>
        <w:textAlignment w:val="auto"/>
        <w:outlineLvl w:val="2"/>
        <w:rPr>
          <w:rFonts w:hint="default" w:ascii="Times New Roman" w:hAnsi="Times New Roman" w:eastAsia="宋体" w:cs="Times New Roman"/>
          <w:b/>
          <w:caps w:val="0"/>
          <w:smallCaps w:val="0"/>
          <w:color w:val="auto"/>
          <w:spacing w:val="0"/>
          <w:w w:val="100"/>
          <w:position w:val="0"/>
          <w:sz w:val="28"/>
          <w:szCs w:val="28"/>
          <w:highlight w:val="none"/>
          <w:u w:val="single" w:color="auto"/>
          <w:lang w:val="en-US" w:eastAsia="zh-CN"/>
        </w:rPr>
      </w:pPr>
      <w:r>
        <w:rPr>
          <w:rFonts w:hint="eastAsia" w:ascii="Times New Roman" w:hAnsi="Times New Roman" w:eastAsia="宋体" w:cs="Times New Roman"/>
          <w:b/>
          <w:caps w:val="0"/>
          <w:smallCaps w:val="0"/>
          <w:color w:val="auto"/>
          <w:spacing w:val="0"/>
          <w:w w:val="100"/>
          <w:position w:val="0"/>
          <w:sz w:val="28"/>
          <w:szCs w:val="28"/>
          <w:highlight w:val="none"/>
          <w:u w:val="single" w:color="auto"/>
          <w:lang w:val="en-US" w:eastAsia="zh-CN"/>
        </w:rPr>
        <w:t>3</w:t>
      </w:r>
      <w:r>
        <w:rPr>
          <w:rFonts w:hint="default" w:ascii="Times New Roman" w:hAnsi="Times New Roman" w:eastAsia="宋体" w:cs="Times New Roman"/>
          <w:b/>
          <w:caps w:val="0"/>
          <w:smallCaps w:val="0"/>
          <w:color w:val="auto"/>
          <w:spacing w:val="0"/>
          <w:w w:val="100"/>
          <w:position w:val="0"/>
          <w:sz w:val="28"/>
          <w:szCs w:val="28"/>
          <w:highlight w:val="none"/>
          <w:u w:val="single" w:color="auto"/>
          <w:lang w:val="en-US" w:eastAsia="zh-CN"/>
        </w:rPr>
        <w:t>.6.2植物群落特征分析</w:t>
      </w:r>
    </w:p>
    <w:p w14:paraId="78AF6F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1</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）加杨（</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Populus×canadensis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4418C6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评价区内最为常见乔木，洞庭湖湿地曾广泛地人工栽培。其速生性强，抗病性较强。该群落平均高度11.5米，平均胸径18厘米，郁闭度约为0.50。</w:t>
      </w:r>
    </w:p>
    <w:p w14:paraId="186F89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林下灌木主要为构树（</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Broussonetia papyrifera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）和桑（</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Morusalba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）；下层草本盖度在60%，高度范围在0.2~0.6米，主要包括有：狗牙根（</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Cynodon dactylon</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）、募狗尾草（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Setaria geniculata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）、狗尾草（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Setaria viridis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）、黄花蒿（</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Artemisia annua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）、钻叶紫菀（</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Symphyotrichum subulatum</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）、翅果菊（</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Lactuca indica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09F1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2</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）桑（</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Morus alba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14BAC1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该群系多分布于路边和临湖堤岸，桑树为评价区内常见树种，周边还广泛分布有构（</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Broussonetia papyrifera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）。灌木层郁闭度在0.6，高度为</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5</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米。</w:t>
      </w:r>
    </w:p>
    <w:p w14:paraId="569A16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草本层盖度为60%，平均高度为0.8米。主要包括有：酸模叶蓼（</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Persicaria lapathifolia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）、钻叶紫菀（</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Symphyotrichum subulatum</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）、狗尾草（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Setaria viridis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）、牛筋草（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Eleusine indica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）和狗牙根（</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Cynodon</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val="en-US" w:eastAsia="zh-CN"/>
        </w:rPr>
        <w:t xml:space="preserve"> </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dactylon</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373045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3</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）构树（</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Phragmites australis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51451D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构树群系多分布于临近水边堤岸，为评价区常见树种。其中，乔木旱柳则作为堤岸防护林树种之一，在洞庭湖湿地广泛栽培。灌木层郁闭度为0.6，平均高度4米。</w:t>
      </w:r>
    </w:p>
    <w:p w14:paraId="13723F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草本层盖度为60%，平均高度为0.8米。主要包括有：大狼把草（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Bidens frondosa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）、狗尾草（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Setaria viridis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）、牛筋草（Eleusine indica）和狗牙根（</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Cynodon dactylon</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7300DB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4</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）狗牙根（</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Cynodon dactylon</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77120F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评价区内常生于路旁，其适应性强，能够在多种土壤环境中生长，但不耐寒、不耐阴，根系浅，喜在排水良好的肥沃土壤中生长。草本层盖度为80%，平均高度为0.1米。</w:t>
      </w:r>
    </w:p>
    <w:p w14:paraId="64EF03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5</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）毛轴莎草（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Cyperus pilosus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5F3334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评价区内多生长在田边、路边和河湖岸边，喜温暖湿润环境。草本层盖度在60%，平均高度约为0.7米。主要伴生草本植物（</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Cyperus</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val="en-US" w:eastAsia="zh-CN"/>
        </w:rPr>
        <w:t xml:space="preserve"> </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pilosus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）和稻（</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Oryza sativa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22AE51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6</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）酸模叶蓼（</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Persicaria lapathifolia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1DC54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酸模叶蓼多生于河道两侧、农田或道路两旁。评价区内酸模叶蓼平均高度为0.8米，草本盖度60%。伴生草本植物主要有：钻叶紫菀（</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Symphyotrichum subulatum</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）、大狼杷草（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Bidens frondosa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）、狗牙根（</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Cynodon dactylon</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59D65A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7</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）萎蒿（</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Artemisia selengensis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4D10AF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评价区内多生长在河湖岸边与沼泽地带，在沼泽化草甸地区常形成小区域植物群落的优势种，当地居民常于春季采食。盖度在60%以上，平均高度为0.5米。伴生植物主要为：牛膝（</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Achyranthes</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val="en-US" w:eastAsia="zh-CN"/>
        </w:rPr>
        <w:t xml:space="preserve"> </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bidentata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）、空心莲子草（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Alternanthera philoxeroides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）、肠（</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Eclipta</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val="en-US" w:eastAsia="zh-CN"/>
        </w:rPr>
        <w:t xml:space="preserve"> </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prostrata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）、大狼杷草（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Bidens frondosa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）、三裂叶薯（</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Ipomoea triloba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7931ED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8</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）芦苇（</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Phragmites australis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19FB90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芦苇多生于沿湖滨、河道两侧等地势相对较低的洲滩分布。评价区内芦苇平均高度为1.8米，草本盖度70%。伴生草本植物主要有：萎蒿（</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Artemisia selengensis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）、莲（</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Nelumbo nucifera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Zizania</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val="en-US" w:eastAsia="zh-CN"/>
        </w:rPr>
        <w:t xml:space="preserve"> </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latifolia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）和大狼杷草（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Bidens frondosa</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）等。</w:t>
      </w:r>
    </w:p>
    <w:p w14:paraId="5F707B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9</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）凤眼莲（</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Eichhornia crassipes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4FC668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评价区范围内的河道中极常见，现已泛滥成灾，容易堵塞河道，给当地生物多样性带来严重威胁，是当地最严重的外来入侵物种之一。其平均高度为0.4 米，盖度在80%以上。无伴生植物。</w:t>
      </w:r>
    </w:p>
    <w:p w14:paraId="2B94C4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w:t>
      </w:r>
      <w:r>
        <w:rPr>
          <w:rFonts w:hint="default" w:ascii="Times New Roman" w:hAnsi="Times New Roman" w:eastAsia="宋体" w:cs="Times New Roman"/>
          <w:caps w:val="0"/>
          <w:smallCaps w:val="0"/>
          <w:color w:val="auto"/>
          <w:spacing w:val="0"/>
          <w:w w:val="100"/>
          <w:kern w:val="0"/>
          <w:position w:val="0"/>
          <w:sz w:val="24"/>
          <w:highlight w:val="none"/>
          <w:u w:val="single" w:color="auto"/>
          <w:lang w:val="en-US" w:eastAsia="zh-CN"/>
        </w:rPr>
        <w:t>10</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）空心莲子草（</w:t>
      </w:r>
      <w:r>
        <w:rPr>
          <w:rFonts w:hint="default" w:ascii="Times New Roman" w:hAnsi="Times New Roman" w:eastAsia="宋体" w:cs="Times New Roman"/>
          <w:i/>
          <w:iCs/>
          <w:caps w:val="0"/>
          <w:smallCaps w:val="0"/>
          <w:color w:val="auto"/>
          <w:spacing w:val="0"/>
          <w:w w:val="100"/>
          <w:kern w:val="0"/>
          <w:position w:val="0"/>
          <w:sz w:val="24"/>
          <w:highlight w:val="none"/>
          <w:u w:val="single" w:color="auto"/>
          <w:lang w:eastAsia="zh-CN"/>
        </w:rPr>
        <w:t>Alternanthera philoxeroides</w:t>
      </w: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）群系</w:t>
      </w:r>
    </w:p>
    <w:p w14:paraId="74C80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pPr>
      <w:r>
        <w:rPr>
          <w:rFonts w:hint="default" w:ascii="Times New Roman" w:hAnsi="Times New Roman" w:eastAsia="宋体" w:cs="Times New Roman"/>
          <w:caps w:val="0"/>
          <w:smallCaps w:val="0"/>
          <w:color w:val="auto"/>
          <w:spacing w:val="0"/>
          <w:w w:val="100"/>
          <w:kern w:val="0"/>
          <w:position w:val="0"/>
          <w:sz w:val="24"/>
          <w:highlight w:val="none"/>
          <w:u w:val="single" w:color="auto"/>
          <w:lang w:eastAsia="zh-CN"/>
        </w:rPr>
        <w:t>评价区内湿地中极常见，生态幅度较宽，可在干旱、湿生和中生环境生长，往往形成单优种群落，常阻塞河道，在湖面形成密集地覆盖层，为湖南危害最严重的外来入侵植物之一。盖度在80%，平均高度为0.3米。无伴生物种。</w:t>
      </w:r>
    </w:p>
    <w:p w14:paraId="07DE20F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6.</w:t>
      </w:r>
      <w:r>
        <w:rPr>
          <w:rFonts w:hint="eastAsia" w:ascii="Times New Roman" w:hAnsi="Times New Roman" w:eastAsia="宋体" w:cs="Times New Roman"/>
          <w:b/>
          <w:color w:val="auto"/>
          <w:sz w:val="28"/>
          <w:szCs w:val="28"/>
          <w:lang w:val="en-US" w:eastAsia="zh-CN"/>
        </w:rPr>
        <w:t>3</w:t>
      </w:r>
      <w:r>
        <w:rPr>
          <w:rFonts w:ascii="Times New Roman" w:hAnsi="Times New Roman" w:eastAsia="宋体" w:cs="Times New Roman"/>
          <w:b/>
          <w:color w:val="auto"/>
          <w:sz w:val="28"/>
          <w:szCs w:val="28"/>
        </w:rPr>
        <w:t>植物多样性种类</w:t>
      </w:r>
    </w:p>
    <w:p w14:paraId="6FA49520">
      <w:pPr>
        <w:spacing w:line="360" w:lineRule="auto"/>
        <w:ind w:firstLine="480" w:firstLineChars="200"/>
        <w:rPr>
          <w:color w:val="auto"/>
          <w:kern w:val="0"/>
          <w:sz w:val="24"/>
        </w:rPr>
      </w:pPr>
      <w:r>
        <w:rPr>
          <w:color w:val="auto"/>
          <w:kern w:val="0"/>
          <w:sz w:val="24"/>
        </w:rPr>
        <w:t>（1）植物多样性</w:t>
      </w:r>
    </w:p>
    <w:p w14:paraId="17F9D933">
      <w:pPr>
        <w:spacing w:line="360" w:lineRule="auto"/>
        <w:ind w:firstLine="480" w:firstLineChars="200"/>
        <w:rPr>
          <w:color w:val="auto"/>
          <w:kern w:val="0"/>
          <w:sz w:val="24"/>
        </w:rPr>
      </w:pPr>
      <w:r>
        <w:rPr>
          <w:color w:val="auto"/>
          <w:kern w:val="0"/>
          <w:sz w:val="24"/>
        </w:rPr>
        <w:t>根据实地调查，查阅相关资料，评价区内共有维管植物72科182属243种（含种下单位），其中蕨类植物6科7属8种；裸子植物2科3属3种（均系引种栽培）；被子植物64科172属232种。</w:t>
      </w:r>
    </w:p>
    <w:p w14:paraId="670E34A5">
      <w:pPr>
        <w:spacing w:line="360" w:lineRule="auto"/>
        <w:ind w:firstLine="480" w:firstLineChars="200"/>
        <w:rPr>
          <w:color w:val="auto"/>
          <w:kern w:val="0"/>
          <w:sz w:val="24"/>
        </w:rPr>
      </w:pPr>
      <w:r>
        <w:rPr>
          <w:color w:val="auto"/>
          <w:kern w:val="0"/>
          <w:sz w:val="24"/>
        </w:rPr>
        <w:t>（2）珍稀保护植物</w:t>
      </w:r>
    </w:p>
    <w:p w14:paraId="270683D9">
      <w:pPr>
        <w:spacing w:line="360" w:lineRule="auto"/>
        <w:ind w:firstLine="480" w:firstLineChars="200"/>
        <w:rPr>
          <w:color w:val="auto"/>
          <w:kern w:val="0"/>
          <w:sz w:val="24"/>
        </w:rPr>
      </w:pPr>
      <w:r>
        <w:rPr>
          <w:color w:val="auto"/>
          <w:kern w:val="0"/>
          <w:sz w:val="24"/>
        </w:rPr>
        <w:t>珍稀保护植物系指资源稀少、国家明文规定的保护植物种类。根据2021年9月7日由国家林业和草原局、农业农村部正式向社会发布调整后的《国家重点保护野生植物名录》，2023年8月由湖南省林业局、湖南省农业农村厅两部门联合发布的《湖南省地方重点保护野生植物名录》，通过野外实地考察与历史资料记载，在评价区内未发现国家级重点保护野生植物。</w:t>
      </w:r>
    </w:p>
    <w:p w14:paraId="3FFCD082">
      <w:pPr>
        <w:spacing w:line="360" w:lineRule="auto"/>
        <w:ind w:firstLine="480" w:firstLineChars="200"/>
        <w:rPr>
          <w:color w:val="auto"/>
          <w:kern w:val="0"/>
          <w:sz w:val="24"/>
        </w:rPr>
      </w:pPr>
      <w:r>
        <w:rPr>
          <w:color w:val="auto"/>
          <w:kern w:val="0"/>
          <w:sz w:val="24"/>
        </w:rPr>
        <w:t>（3）古树名木</w:t>
      </w:r>
    </w:p>
    <w:p w14:paraId="60D7D94D">
      <w:pPr>
        <w:spacing w:line="360" w:lineRule="auto"/>
        <w:ind w:firstLine="480" w:firstLineChars="200"/>
        <w:rPr>
          <w:color w:val="auto"/>
          <w:kern w:val="0"/>
          <w:sz w:val="24"/>
        </w:rPr>
      </w:pPr>
      <w:r>
        <w:rPr>
          <w:color w:val="auto"/>
          <w:kern w:val="0"/>
          <w:sz w:val="24"/>
        </w:rPr>
        <w:t>根据《古树名木普查技术规范》，古树名木是指在人类历史过程中保存下来的年代久远或具有重要科研、历史、文化价值的树木。古树指树龄在100年以上的树木；名木指在历史上或社会上有重大影响的中外历代名人、领袖人物所植或者具有极其重要的历史、文化价值、纪念意义的树木。根据实地调查，评价内未发现古树名木。</w:t>
      </w:r>
    </w:p>
    <w:p w14:paraId="53B84327">
      <w:pPr>
        <w:pStyle w:val="82"/>
        <w:widowControl w:val="0"/>
        <w:spacing w:line="360" w:lineRule="auto"/>
        <w:outlineLvl w:val="1"/>
        <w:rPr>
          <w:rFonts w:ascii="Times New Roman" w:hAnsi="Times New Roman" w:eastAsia="宋体" w:cs="Times New Roman"/>
          <w:b/>
          <w:color w:val="auto"/>
          <w:sz w:val="30"/>
          <w:szCs w:val="30"/>
        </w:rPr>
      </w:pPr>
      <w:bookmarkStart w:id="132" w:name="_Toc1969"/>
      <w:bookmarkStart w:id="133" w:name="_Toc3709"/>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7动物多样性调查</w:t>
      </w:r>
      <w:bookmarkEnd w:id="132"/>
      <w:bookmarkEnd w:id="133"/>
    </w:p>
    <w:p w14:paraId="5EF5036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7.1湖南东洞庭湖国家级自然保护区野生动物资源概况</w:t>
      </w:r>
    </w:p>
    <w:p w14:paraId="788FCD18">
      <w:pPr>
        <w:adjustRightInd w:val="0"/>
        <w:spacing w:line="360" w:lineRule="auto"/>
        <w:jc w:val="left"/>
        <w:outlineLvl w:val="3"/>
        <w:rPr>
          <w:b/>
          <w:bCs/>
          <w:color w:val="auto"/>
          <w:sz w:val="24"/>
        </w:rPr>
      </w:pPr>
      <w:r>
        <w:rPr>
          <w:rFonts w:hint="eastAsia"/>
          <w:b/>
          <w:bCs/>
          <w:color w:val="auto"/>
          <w:sz w:val="24"/>
        </w:rPr>
        <w:t>3.</w:t>
      </w:r>
      <w:r>
        <w:rPr>
          <w:b/>
          <w:bCs/>
          <w:color w:val="auto"/>
          <w:sz w:val="24"/>
        </w:rPr>
        <w:t>7.1.1兽类</w:t>
      </w:r>
    </w:p>
    <w:p w14:paraId="3FBC13A5">
      <w:pPr>
        <w:adjustRightInd w:val="0"/>
        <w:snapToGrid w:val="0"/>
        <w:spacing w:line="360" w:lineRule="auto"/>
        <w:ind w:firstLine="480" w:firstLineChars="200"/>
        <w:rPr>
          <w:color w:val="auto"/>
          <w:kern w:val="0"/>
          <w:sz w:val="24"/>
        </w:rPr>
      </w:pPr>
      <w:r>
        <w:rPr>
          <w:color w:val="auto"/>
          <w:kern w:val="0"/>
          <w:sz w:val="24"/>
        </w:rPr>
        <w:t>东洞庭湖国家级自然保护区内现有哺乳动物7目14科33种，其中有国家一、二级保护物种有6种，濒危级的中国珍稀保护动物有6种，如：江豚、麋鹿等。</w:t>
      </w:r>
    </w:p>
    <w:p w14:paraId="2D4A7995">
      <w:pPr>
        <w:adjustRightInd w:val="0"/>
        <w:spacing w:line="360" w:lineRule="auto"/>
        <w:jc w:val="left"/>
        <w:outlineLvl w:val="3"/>
        <w:rPr>
          <w:b/>
          <w:bCs/>
          <w:color w:val="auto"/>
          <w:sz w:val="24"/>
        </w:rPr>
      </w:pPr>
      <w:r>
        <w:rPr>
          <w:rFonts w:hint="eastAsia"/>
          <w:b/>
          <w:bCs/>
          <w:color w:val="auto"/>
          <w:sz w:val="24"/>
        </w:rPr>
        <w:t>3.</w:t>
      </w:r>
      <w:r>
        <w:rPr>
          <w:b/>
          <w:bCs/>
          <w:color w:val="auto"/>
          <w:sz w:val="24"/>
        </w:rPr>
        <w:t>7.1.2爬行类</w:t>
      </w:r>
    </w:p>
    <w:p w14:paraId="1D271E66">
      <w:pPr>
        <w:adjustRightInd w:val="0"/>
        <w:snapToGrid w:val="0"/>
        <w:spacing w:line="360" w:lineRule="auto"/>
        <w:ind w:firstLine="480" w:firstLineChars="200"/>
        <w:rPr>
          <w:color w:val="auto"/>
          <w:kern w:val="0"/>
          <w:sz w:val="24"/>
        </w:rPr>
      </w:pPr>
      <w:r>
        <w:rPr>
          <w:color w:val="auto"/>
          <w:kern w:val="0"/>
          <w:sz w:val="24"/>
        </w:rPr>
        <w:t>东洞庭湖国家级自然保护区内现有爬行动物3目5科25种，其中有国际贸易公约附录2的保护物种1种，中国濒危动物红皮书中的易危动物7种（值得关注的动物2种，有21种系湖南省的地方重点保护物种。</w:t>
      </w:r>
    </w:p>
    <w:p w14:paraId="00C5FDA9">
      <w:pPr>
        <w:adjustRightInd w:val="0"/>
        <w:spacing w:line="360" w:lineRule="auto"/>
        <w:jc w:val="left"/>
        <w:outlineLvl w:val="3"/>
        <w:rPr>
          <w:b/>
          <w:bCs/>
          <w:color w:val="auto"/>
          <w:sz w:val="24"/>
        </w:rPr>
      </w:pPr>
      <w:r>
        <w:rPr>
          <w:rFonts w:hint="eastAsia"/>
          <w:b/>
          <w:bCs/>
          <w:color w:val="auto"/>
          <w:sz w:val="24"/>
        </w:rPr>
        <w:t>3.</w:t>
      </w:r>
      <w:r>
        <w:rPr>
          <w:b/>
          <w:bCs/>
          <w:color w:val="auto"/>
          <w:sz w:val="24"/>
        </w:rPr>
        <w:t>7.1.3两栖类</w:t>
      </w:r>
    </w:p>
    <w:p w14:paraId="46A0DE43">
      <w:pPr>
        <w:adjustRightInd w:val="0"/>
        <w:snapToGrid w:val="0"/>
        <w:spacing w:line="360" w:lineRule="auto"/>
        <w:ind w:firstLine="480" w:firstLineChars="200"/>
        <w:rPr>
          <w:color w:val="auto"/>
          <w:kern w:val="0"/>
          <w:sz w:val="24"/>
        </w:rPr>
      </w:pPr>
      <w:r>
        <w:rPr>
          <w:color w:val="auto"/>
          <w:kern w:val="0"/>
          <w:sz w:val="24"/>
        </w:rPr>
        <w:t>东洞庭湖国家级自然保护区内现有目前分布有两栖动物2目5科11种，其中现存的物种中有国家濒危物种虎纹蛙，该物种是国家二级保护物种，同时也是国际贸易公约的附录2保护物种。</w:t>
      </w:r>
    </w:p>
    <w:p w14:paraId="247B8E14">
      <w:pPr>
        <w:adjustRightInd w:val="0"/>
        <w:spacing w:line="360" w:lineRule="auto"/>
        <w:jc w:val="left"/>
        <w:outlineLvl w:val="3"/>
        <w:rPr>
          <w:b/>
          <w:bCs/>
          <w:color w:val="auto"/>
          <w:sz w:val="24"/>
        </w:rPr>
      </w:pPr>
      <w:r>
        <w:rPr>
          <w:rFonts w:hint="eastAsia"/>
          <w:b/>
          <w:bCs/>
          <w:color w:val="auto"/>
          <w:sz w:val="24"/>
        </w:rPr>
        <w:t>3.</w:t>
      </w:r>
      <w:r>
        <w:rPr>
          <w:b/>
          <w:bCs/>
          <w:color w:val="auto"/>
          <w:sz w:val="24"/>
        </w:rPr>
        <w:t>7.1.4鸟类</w:t>
      </w:r>
    </w:p>
    <w:p w14:paraId="33065D1F">
      <w:pPr>
        <w:adjustRightInd w:val="0"/>
        <w:snapToGrid w:val="0"/>
        <w:spacing w:line="360" w:lineRule="auto"/>
        <w:ind w:firstLine="480" w:firstLineChars="200"/>
        <w:rPr>
          <w:color w:val="auto"/>
          <w:kern w:val="0"/>
          <w:sz w:val="24"/>
        </w:rPr>
      </w:pPr>
      <w:r>
        <w:rPr>
          <w:color w:val="auto"/>
          <w:kern w:val="0"/>
          <w:sz w:val="24"/>
        </w:rPr>
        <w:t>截止2023年3月，东洞庭湖国家级自然保护区共记录到鸟类20目70科364种，其中国家Ⅰ级保护鸟类19种，Ⅱ级保护鸟类70种，省级保护鸟类124种。</w:t>
      </w:r>
    </w:p>
    <w:p w14:paraId="162F4F86">
      <w:pPr>
        <w:adjustRightInd w:val="0"/>
        <w:snapToGrid w:val="0"/>
        <w:spacing w:line="360" w:lineRule="auto"/>
        <w:ind w:firstLine="480" w:firstLineChars="200"/>
        <w:rPr>
          <w:color w:val="auto"/>
          <w:kern w:val="0"/>
          <w:sz w:val="24"/>
        </w:rPr>
      </w:pPr>
      <w:r>
        <w:rPr>
          <w:color w:val="auto"/>
          <w:kern w:val="0"/>
          <w:sz w:val="24"/>
        </w:rPr>
        <w:t>2022年洞庭湖出现持续干旱，导致洞庭湖水位和水体面积急剧下降，由于干旱，往年湿润的泥滩地和浅水域，全部皲裂，造成了大量的鱼类和底栖生物死亡，洲滩植被提前萌发生长，造成越冬候鸟栖息环境变化。生态环境的破坏，食物的短缺、栖息地的承载力减少，对越冬候鸟的越冬、栖息、觅食造成很大的影响。为掌握东洞庭湖国家级保护区的越冬候鸟动态变化，科学评估干旱对东洞庭湖保护区栖息越冬候鸟的影响，湖南东洞庭湖国家级自然保护区管理局对东洞庭湖保护区进行了5次越冬候鸟同步监测，监测到7目12科60种最高值154171只。监测到国家一级保护的有黑鹳、东方白鹳、青头潜鸭、白鹤、白枕鹤5种，国家二级保护有白琵鹭、灰鹤、鸿雁、白额雁、小白额雁、小天鹅、斑头秋沙鸭、白腰杓鹬8种。达到《湿地公约》全球种群1%的鸟类有黑鹳、白鹤、白琵鹭、小天鹅、白额雁、小白额雁、豆雁、罗纹鸭、绿翅鸭、灰鹤、反嘴鹬、鹤鹬、普通鸬鹚13种。</w:t>
      </w:r>
    </w:p>
    <w:p w14:paraId="300A7251">
      <w:pPr>
        <w:adjustRightInd w:val="0"/>
        <w:snapToGrid w:val="0"/>
        <w:spacing w:line="360" w:lineRule="auto"/>
        <w:ind w:firstLine="480" w:firstLineChars="200"/>
        <w:rPr>
          <w:color w:val="auto"/>
          <w:kern w:val="0"/>
          <w:sz w:val="24"/>
        </w:rPr>
      </w:pPr>
      <w:r>
        <w:rPr>
          <w:color w:val="auto"/>
          <w:kern w:val="0"/>
          <w:sz w:val="24"/>
        </w:rPr>
        <w:t>在东洞庭湖越冬候鸟主要分布在采桑湖和白湖区域，栖息着总数量的90%以上的越冬候鸟。雁鸭类是东洞庭湖越冬鸟类的优势种群，数量在14万左右，占越冬水鸟总数量的90%，以小白额雁、豆雁、罗纹鸭为代表。</w:t>
      </w:r>
    </w:p>
    <w:p w14:paraId="1BD04E77">
      <w:pPr>
        <w:adjustRightInd w:val="0"/>
        <w:snapToGrid w:val="0"/>
        <w:spacing w:line="360" w:lineRule="auto"/>
        <w:ind w:firstLine="480" w:firstLineChars="200"/>
        <w:rPr>
          <w:color w:val="auto"/>
          <w:kern w:val="0"/>
          <w:sz w:val="24"/>
        </w:rPr>
      </w:pPr>
      <w:r>
        <w:rPr>
          <w:color w:val="auto"/>
          <w:kern w:val="0"/>
          <w:sz w:val="24"/>
        </w:rPr>
        <w:t>2022年度东洞庭湖国家级自然保护区工作人员监测到东洞庭湖保护区鸟类新记录——白肩雕（Aquila heliaca）、小灰山椒鸟（Pericrocotus cantonensis）和赤嘴潜鸭（Netta rufina）</w:t>
      </w:r>
      <w:r>
        <w:rPr>
          <w:rFonts w:hint="eastAsia"/>
          <w:color w:val="auto"/>
          <w:kern w:val="0"/>
          <w:sz w:val="24"/>
        </w:rPr>
        <w:t>。</w:t>
      </w:r>
    </w:p>
    <w:p w14:paraId="215EF82F">
      <w:pPr>
        <w:adjustRightInd w:val="0"/>
        <w:spacing w:line="360" w:lineRule="auto"/>
        <w:jc w:val="left"/>
        <w:outlineLvl w:val="3"/>
        <w:rPr>
          <w:b/>
          <w:bCs/>
          <w:color w:val="auto"/>
          <w:sz w:val="24"/>
        </w:rPr>
      </w:pPr>
      <w:r>
        <w:rPr>
          <w:rFonts w:hint="eastAsia"/>
          <w:b/>
          <w:bCs/>
          <w:color w:val="auto"/>
          <w:sz w:val="24"/>
        </w:rPr>
        <w:t>3.</w:t>
      </w:r>
      <w:r>
        <w:rPr>
          <w:b/>
          <w:bCs/>
          <w:color w:val="auto"/>
          <w:sz w:val="24"/>
        </w:rPr>
        <w:t>7.1.5鱼类</w:t>
      </w:r>
    </w:p>
    <w:p w14:paraId="5363EB74">
      <w:pPr>
        <w:adjustRightInd w:val="0"/>
        <w:snapToGrid w:val="0"/>
        <w:spacing w:line="360" w:lineRule="auto"/>
        <w:ind w:firstLine="480" w:firstLineChars="200"/>
        <w:rPr>
          <w:color w:val="auto"/>
          <w:kern w:val="0"/>
          <w:sz w:val="24"/>
        </w:rPr>
      </w:pPr>
      <w:r>
        <w:rPr>
          <w:color w:val="auto"/>
          <w:kern w:val="0"/>
          <w:sz w:val="24"/>
        </w:rPr>
        <w:t>东洞庭湖国家级自然保护区内现有鱼类7目19科90种，其中受国家保护的珍稀鱼类有：中华鲟、白鲟、胭脂等。目前，这些珍稀鱼类在洞庭湖逐渐减少，难觅踪迹。</w:t>
      </w:r>
    </w:p>
    <w:p w14:paraId="3B4CACD0">
      <w:pPr>
        <w:adjustRightInd w:val="0"/>
        <w:spacing w:line="360" w:lineRule="auto"/>
        <w:jc w:val="left"/>
        <w:outlineLvl w:val="3"/>
        <w:rPr>
          <w:b/>
          <w:bCs/>
          <w:color w:val="auto"/>
          <w:sz w:val="24"/>
        </w:rPr>
      </w:pPr>
      <w:r>
        <w:rPr>
          <w:rFonts w:hint="eastAsia"/>
          <w:b/>
          <w:bCs/>
          <w:color w:val="auto"/>
          <w:sz w:val="24"/>
        </w:rPr>
        <w:t>3.</w:t>
      </w:r>
      <w:r>
        <w:rPr>
          <w:b/>
          <w:bCs/>
          <w:color w:val="auto"/>
          <w:sz w:val="24"/>
        </w:rPr>
        <w:t>7.1.6湖南东洞庭湖国家级自然保护区重点保护野生动物分布概况</w:t>
      </w:r>
    </w:p>
    <w:p w14:paraId="078E8214">
      <w:pPr>
        <w:adjustRightInd w:val="0"/>
        <w:snapToGrid w:val="0"/>
        <w:spacing w:line="360" w:lineRule="auto"/>
        <w:ind w:firstLine="480" w:firstLineChars="200"/>
        <w:rPr>
          <w:color w:val="auto"/>
          <w:kern w:val="0"/>
          <w:sz w:val="24"/>
        </w:rPr>
      </w:pPr>
      <w:r>
        <w:rPr>
          <w:color w:val="auto"/>
          <w:kern w:val="0"/>
          <w:sz w:val="24"/>
        </w:rPr>
        <w:t>湖南东洞庭湖国家级自然保护区内国家I级重点保护的野生动物有黑鹳</w:t>
      </w:r>
      <w:r>
        <w:rPr>
          <w:i/>
          <w:iCs/>
          <w:color w:val="auto"/>
          <w:kern w:val="0"/>
          <w:sz w:val="24"/>
        </w:rPr>
        <w:t>Ciconia nigra</w:t>
      </w:r>
      <w:r>
        <w:rPr>
          <w:color w:val="auto"/>
          <w:kern w:val="0"/>
          <w:sz w:val="24"/>
        </w:rPr>
        <w:t>、中华秋沙鸭</w:t>
      </w:r>
      <w:r>
        <w:rPr>
          <w:i/>
          <w:iCs/>
          <w:color w:val="auto"/>
          <w:kern w:val="0"/>
          <w:sz w:val="24"/>
        </w:rPr>
        <w:t>mergus squamatus</w:t>
      </w:r>
      <w:r>
        <w:rPr>
          <w:color w:val="auto"/>
          <w:kern w:val="0"/>
          <w:sz w:val="24"/>
        </w:rPr>
        <w:t>、白鹤</w:t>
      </w:r>
      <w:r>
        <w:rPr>
          <w:i/>
          <w:iCs/>
          <w:color w:val="auto"/>
          <w:kern w:val="0"/>
          <w:sz w:val="24"/>
        </w:rPr>
        <w:t>Grus leucogeranus</w:t>
      </w:r>
      <w:r>
        <w:rPr>
          <w:color w:val="auto"/>
          <w:kern w:val="0"/>
          <w:sz w:val="24"/>
        </w:rPr>
        <w:t>、白头鹤</w:t>
      </w:r>
      <w:r>
        <w:rPr>
          <w:i/>
          <w:iCs/>
          <w:color w:val="auto"/>
          <w:kern w:val="0"/>
          <w:sz w:val="24"/>
        </w:rPr>
        <w:t>Grus monacha</w:t>
      </w:r>
      <w:r>
        <w:rPr>
          <w:color w:val="auto"/>
          <w:kern w:val="0"/>
          <w:sz w:val="24"/>
        </w:rPr>
        <w:t>、大鸨</w:t>
      </w:r>
      <w:r>
        <w:rPr>
          <w:i/>
          <w:iCs/>
          <w:color w:val="auto"/>
          <w:kern w:val="0"/>
          <w:sz w:val="24"/>
        </w:rPr>
        <w:t>Otis tarda</w:t>
      </w:r>
      <w:r>
        <w:rPr>
          <w:color w:val="auto"/>
          <w:kern w:val="0"/>
          <w:sz w:val="24"/>
        </w:rPr>
        <w:t>、麇鹿</w:t>
      </w:r>
      <w:r>
        <w:rPr>
          <w:i/>
          <w:iCs/>
          <w:color w:val="auto"/>
          <w:kern w:val="0"/>
          <w:sz w:val="24"/>
        </w:rPr>
        <w:t>Elaphurus davidianus</w:t>
      </w:r>
      <w:r>
        <w:rPr>
          <w:color w:val="auto"/>
          <w:kern w:val="0"/>
          <w:sz w:val="24"/>
        </w:rPr>
        <w:t>、白尾海雕</w:t>
      </w:r>
      <w:r>
        <w:rPr>
          <w:i/>
          <w:iCs/>
          <w:color w:val="auto"/>
          <w:kern w:val="0"/>
          <w:sz w:val="24"/>
        </w:rPr>
        <w:t>Haliaeetus albicilla</w:t>
      </w:r>
      <w:r>
        <w:rPr>
          <w:color w:val="auto"/>
          <w:kern w:val="0"/>
          <w:sz w:val="24"/>
        </w:rPr>
        <w:t>等7种 ，国家II级重点保护的野生动物小天鹅、大天鹅、白额雁</w:t>
      </w:r>
      <w:r>
        <w:rPr>
          <w:i/>
          <w:iCs/>
          <w:color w:val="auto"/>
          <w:kern w:val="0"/>
          <w:sz w:val="24"/>
        </w:rPr>
        <w:t>Anser anser</w:t>
      </w:r>
      <w:r>
        <w:rPr>
          <w:color w:val="auto"/>
          <w:kern w:val="0"/>
          <w:sz w:val="24"/>
        </w:rPr>
        <w:t>、鸳鸯</w:t>
      </w:r>
      <w:r>
        <w:rPr>
          <w:i/>
          <w:iCs/>
          <w:color w:val="auto"/>
          <w:kern w:val="0"/>
          <w:sz w:val="24"/>
        </w:rPr>
        <w:t>Aix galericulata</w:t>
      </w:r>
      <w:r>
        <w:rPr>
          <w:color w:val="auto"/>
          <w:kern w:val="0"/>
          <w:sz w:val="24"/>
        </w:rPr>
        <w:t>等，还有珍稀濒危物种东方白鹳</w:t>
      </w:r>
      <w:r>
        <w:rPr>
          <w:i/>
          <w:iCs/>
          <w:color w:val="auto"/>
          <w:kern w:val="0"/>
          <w:sz w:val="24"/>
        </w:rPr>
        <w:t>Ciconia boyciana</w:t>
      </w:r>
      <w:r>
        <w:rPr>
          <w:color w:val="auto"/>
          <w:kern w:val="0"/>
          <w:sz w:val="24"/>
        </w:rPr>
        <w:t>。保护区内湖沼洲滩是最为典型的湿地生态系统，为全球同一生物气候带上具有较高代表性和典型性的区域，是亚热带内陆湿地的典型代表。由于保护区湿地水资源的不稳定性，使得环境因子的波动与变化的频率和幅度都比较明显，湿地生态系统的结构容易发生变化，生物种群和生态系统处于一种不稳定状态，使该自然保护区及其社区的自然一经济一社会的总关系非常脆弱，更需要外力保护和维持稳定与平衡，特别是三峡水库等大型水利枢纽工程的建设，在冬季将会对洞庭湖水位、湿地生态、植被演替、水生动物的分布乃至鸟类的越冬产生明显的影响。</w:t>
      </w:r>
    </w:p>
    <w:p w14:paraId="0120FCEE">
      <w:pPr>
        <w:adjustRightInd w:val="0"/>
        <w:snapToGrid w:val="0"/>
        <w:spacing w:line="360" w:lineRule="auto"/>
        <w:ind w:firstLine="480" w:firstLineChars="200"/>
        <w:rPr>
          <w:color w:val="auto"/>
          <w:kern w:val="0"/>
          <w:sz w:val="24"/>
        </w:rPr>
      </w:pPr>
      <w:r>
        <w:rPr>
          <w:color w:val="auto"/>
          <w:kern w:val="0"/>
          <w:sz w:val="24"/>
        </w:rPr>
        <w:t>区域河滩漫布、水网纵横，在涵养水源和维持生物多样性等发面发挥着极其重要作用。位于亚洲鸟类迁徙通道上，为大量迁徙鸟类提供了安全的繁殖、栖息场所，尤其是在东北亚鹤类网络、东亚雁鸭类网络和东亚及澳大利亚涉禽迁徙网络等区域性物种保护网络中具有十分重要的保护地位 。</w:t>
      </w:r>
    </w:p>
    <w:p w14:paraId="6993EAC2">
      <w:pPr>
        <w:adjustRightInd w:val="0"/>
        <w:snapToGrid w:val="0"/>
        <w:spacing w:line="360" w:lineRule="auto"/>
        <w:ind w:firstLine="480" w:firstLineChars="200"/>
        <w:rPr>
          <w:color w:val="auto"/>
          <w:kern w:val="0"/>
          <w:sz w:val="24"/>
        </w:rPr>
      </w:pPr>
      <w:r>
        <w:rPr>
          <w:color w:val="auto"/>
          <w:kern w:val="0"/>
          <w:sz w:val="24"/>
        </w:rPr>
        <w:t>根据珍稀濒危鸟类等动物的活动规律和典型湿地的分布情况，区内越冬候鸟分布具有一定的规律性，据保护区</w:t>
      </w:r>
      <w:r>
        <w:rPr>
          <w:rFonts w:hint="eastAsia"/>
          <w:color w:val="auto"/>
          <w:kern w:val="0"/>
          <w:sz w:val="24"/>
        </w:rPr>
        <w:t>2023</w:t>
      </w:r>
      <w:r>
        <w:rPr>
          <w:color w:val="auto"/>
          <w:kern w:val="0"/>
          <w:sz w:val="24"/>
        </w:rPr>
        <w:t>年生物多样性监测报告鸟类分布主要集中在洞庭湖注滋河和黑嘴移动水域，大小西湖封闭管理区，以及春风湖外滩。近十年来，在丁字堤建新农场附件监测到越冬灰鹤Grus grus。保护区内国家重点保护、珍稀、国际濒危物种（小白额雁、东方白鹳）等野生动物分布及栖息地概况见下表。</w:t>
      </w:r>
    </w:p>
    <w:p w14:paraId="6AA20C70">
      <w:pPr>
        <w:jc w:val="center"/>
        <w:rPr>
          <w:b/>
          <w:bCs/>
          <w:color w:val="auto"/>
          <w:szCs w:val="21"/>
        </w:rPr>
      </w:pPr>
      <w:r>
        <w:rPr>
          <w:b/>
          <w:bCs/>
          <w:color w:val="auto"/>
          <w:szCs w:val="21"/>
        </w:rPr>
        <w:t>表</w:t>
      </w:r>
      <w:r>
        <w:rPr>
          <w:rFonts w:hint="eastAsia"/>
          <w:b/>
          <w:bCs/>
          <w:color w:val="auto"/>
          <w:szCs w:val="21"/>
        </w:rPr>
        <w:t>3.</w:t>
      </w:r>
      <w:r>
        <w:rPr>
          <w:b/>
          <w:bCs/>
          <w:color w:val="auto"/>
          <w:szCs w:val="21"/>
        </w:rPr>
        <w:t>7-1   重点保护、珍稀、濒危物种分布表</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3511"/>
        <w:gridCol w:w="3640"/>
      </w:tblGrid>
      <w:tr w14:paraId="41389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65C40292">
            <w:pPr>
              <w:widowControl/>
              <w:jc w:val="center"/>
              <w:rPr>
                <w:b/>
                <w:color w:val="auto"/>
                <w:kern w:val="0"/>
                <w:szCs w:val="21"/>
              </w:rPr>
            </w:pPr>
            <w:r>
              <w:rPr>
                <w:b/>
                <w:color w:val="auto"/>
                <w:kern w:val="0"/>
                <w:szCs w:val="21"/>
              </w:rPr>
              <w:t>保护目标</w:t>
            </w:r>
          </w:p>
        </w:tc>
        <w:tc>
          <w:tcPr>
            <w:tcW w:w="2061" w:type="pct"/>
            <w:tcBorders>
              <w:tl2br w:val="nil"/>
              <w:tr2bl w:val="nil"/>
            </w:tcBorders>
            <w:vAlign w:val="center"/>
          </w:tcPr>
          <w:p w14:paraId="2BA38BBC">
            <w:pPr>
              <w:widowControl/>
              <w:jc w:val="center"/>
              <w:rPr>
                <w:b/>
                <w:color w:val="auto"/>
                <w:kern w:val="0"/>
                <w:szCs w:val="21"/>
              </w:rPr>
            </w:pPr>
            <w:r>
              <w:rPr>
                <w:b/>
                <w:color w:val="auto"/>
                <w:kern w:val="0"/>
                <w:szCs w:val="21"/>
              </w:rPr>
              <w:t>分布概况</w:t>
            </w:r>
          </w:p>
        </w:tc>
        <w:tc>
          <w:tcPr>
            <w:tcW w:w="2137" w:type="pct"/>
            <w:tcBorders>
              <w:tl2br w:val="nil"/>
              <w:tr2bl w:val="nil"/>
            </w:tcBorders>
            <w:vAlign w:val="center"/>
          </w:tcPr>
          <w:p w14:paraId="3C3465F7">
            <w:pPr>
              <w:widowControl/>
              <w:jc w:val="center"/>
              <w:rPr>
                <w:b/>
                <w:color w:val="auto"/>
                <w:kern w:val="0"/>
                <w:szCs w:val="21"/>
              </w:rPr>
            </w:pPr>
            <w:r>
              <w:rPr>
                <w:b/>
                <w:color w:val="auto"/>
                <w:kern w:val="0"/>
                <w:szCs w:val="21"/>
              </w:rPr>
              <w:t>备注</w:t>
            </w:r>
          </w:p>
        </w:tc>
      </w:tr>
      <w:tr w14:paraId="665E3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vMerge w:val="restart"/>
            <w:tcBorders>
              <w:tl2br w:val="nil"/>
              <w:tr2bl w:val="nil"/>
            </w:tcBorders>
            <w:vAlign w:val="center"/>
          </w:tcPr>
          <w:p w14:paraId="330CD9D7">
            <w:pPr>
              <w:widowControl/>
              <w:jc w:val="center"/>
              <w:rPr>
                <w:color w:val="auto"/>
                <w:kern w:val="0"/>
                <w:szCs w:val="21"/>
              </w:rPr>
            </w:pPr>
            <w:r>
              <w:rPr>
                <w:color w:val="auto"/>
                <w:kern w:val="0"/>
                <w:szCs w:val="21"/>
              </w:rPr>
              <w:t>越冬候鸟重要栖息地</w:t>
            </w:r>
          </w:p>
        </w:tc>
        <w:tc>
          <w:tcPr>
            <w:tcW w:w="2061" w:type="pct"/>
            <w:tcBorders>
              <w:tl2br w:val="nil"/>
              <w:tr2bl w:val="nil"/>
            </w:tcBorders>
            <w:vAlign w:val="center"/>
          </w:tcPr>
          <w:p w14:paraId="0F0DD8F0">
            <w:pPr>
              <w:widowControl/>
              <w:jc w:val="center"/>
              <w:rPr>
                <w:color w:val="auto"/>
                <w:kern w:val="0"/>
                <w:szCs w:val="21"/>
              </w:rPr>
            </w:pPr>
            <w:r>
              <w:rPr>
                <w:color w:val="auto"/>
                <w:kern w:val="0"/>
                <w:szCs w:val="21"/>
              </w:rPr>
              <w:t>大小西湖-丁字堤核心区</w:t>
            </w:r>
          </w:p>
        </w:tc>
        <w:tc>
          <w:tcPr>
            <w:tcW w:w="2137" w:type="pct"/>
            <w:tcBorders>
              <w:tl2br w:val="nil"/>
              <w:tr2bl w:val="nil"/>
            </w:tcBorders>
            <w:vAlign w:val="center"/>
          </w:tcPr>
          <w:p w14:paraId="21481BC6">
            <w:pPr>
              <w:widowControl/>
              <w:jc w:val="center"/>
              <w:rPr>
                <w:color w:val="auto"/>
                <w:kern w:val="0"/>
                <w:szCs w:val="21"/>
              </w:rPr>
            </w:pPr>
            <w:r>
              <w:rPr>
                <w:color w:val="auto"/>
                <w:kern w:val="0"/>
                <w:szCs w:val="21"/>
              </w:rPr>
              <w:t>以鸻鹬类、雁鸭类、鹤类、鹳形目、鸥形目鸟类重要的越冬地、停歇地。</w:t>
            </w:r>
          </w:p>
        </w:tc>
      </w:tr>
      <w:tr w14:paraId="5B64D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vMerge w:val="continue"/>
            <w:tcBorders>
              <w:tl2br w:val="nil"/>
              <w:tr2bl w:val="nil"/>
            </w:tcBorders>
            <w:vAlign w:val="center"/>
          </w:tcPr>
          <w:p w14:paraId="46973869">
            <w:pPr>
              <w:widowControl/>
              <w:jc w:val="center"/>
              <w:rPr>
                <w:color w:val="auto"/>
                <w:kern w:val="0"/>
                <w:szCs w:val="21"/>
              </w:rPr>
            </w:pPr>
          </w:p>
        </w:tc>
        <w:tc>
          <w:tcPr>
            <w:tcW w:w="2061" w:type="pct"/>
            <w:tcBorders>
              <w:tl2br w:val="nil"/>
              <w:tr2bl w:val="nil"/>
            </w:tcBorders>
            <w:vAlign w:val="center"/>
          </w:tcPr>
          <w:p w14:paraId="325BE644">
            <w:pPr>
              <w:widowControl/>
              <w:jc w:val="center"/>
              <w:rPr>
                <w:color w:val="auto"/>
                <w:kern w:val="0"/>
                <w:szCs w:val="21"/>
              </w:rPr>
            </w:pPr>
            <w:r>
              <w:rPr>
                <w:color w:val="auto"/>
                <w:kern w:val="0"/>
                <w:szCs w:val="21"/>
              </w:rPr>
              <w:t>白湖</w:t>
            </w:r>
          </w:p>
        </w:tc>
        <w:tc>
          <w:tcPr>
            <w:tcW w:w="2137" w:type="pct"/>
            <w:tcBorders>
              <w:tl2br w:val="nil"/>
              <w:tr2bl w:val="nil"/>
            </w:tcBorders>
            <w:vAlign w:val="center"/>
          </w:tcPr>
          <w:p w14:paraId="0A9D9B8B">
            <w:pPr>
              <w:widowControl/>
              <w:jc w:val="center"/>
              <w:rPr>
                <w:color w:val="auto"/>
                <w:kern w:val="0"/>
                <w:szCs w:val="21"/>
              </w:rPr>
            </w:pPr>
            <w:r>
              <w:rPr>
                <w:color w:val="auto"/>
                <w:kern w:val="0"/>
                <w:szCs w:val="21"/>
              </w:rPr>
              <w:t>雁鸭类和鸻鹬类。</w:t>
            </w:r>
          </w:p>
        </w:tc>
      </w:tr>
      <w:tr w14:paraId="36BCB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vMerge w:val="continue"/>
            <w:tcBorders>
              <w:tl2br w:val="nil"/>
              <w:tr2bl w:val="nil"/>
            </w:tcBorders>
            <w:vAlign w:val="center"/>
          </w:tcPr>
          <w:p w14:paraId="46E57CA3">
            <w:pPr>
              <w:widowControl/>
              <w:jc w:val="center"/>
              <w:rPr>
                <w:color w:val="auto"/>
                <w:kern w:val="0"/>
                <w:szCs w:val="21"/>
              </w:rPr>
            </w:pPr>
          </w:p>
        </w:tc>
        <w:tc>
          <w:tcPr>
            <w:tcW w:w="2061" w:type="pct"/>
            <w:tcBorders>
              <w:tl2br w:val="nil"/>
              <w:tr2bl w:val="nil"/>
            </w:tcBorders>
            <w:vAlign w:val="center"/>
          </w:tcPr>
          <w:p w14:paraId="6CEB566C">
            <w:pPr>
              <w:widowControl/>
              <w:jc w:val="center"/>
              <w:rPr>
                <w:color w:val="auto"/>
                <w:kern w:val="0"/>
                <w:szCs w:val="21"/>
              </w:rPr>
            </w:pPr>
            <w:r>
              <w:rPr>
                <w:color w:val="auto"/>
                <w:kern w:val="0"/>
                <w:szCs w:val="21"/>
              </w:rPr>
              <w:t>春风外滩</w:t>
            </w:r>
          </w:p>
        </w:tc>
        <w:tc>
          <w:tcPr>
            <w:tcW w:w="2137" w:type="pct"/>
            <w:tcBorders>
              <w:tl2br w:val="nil"/>
              <w:tr2bl w:val="nil"/>
            </w:tcBorders>
            <w:vAlign w:val="center"/>
          </w:tcPr>
          <w:p w14:paraId="1B5F6BF1">
            <w:pPr>
              <w:widowControl/>
              <w:jc w:val="center"/>
              <w:rPr>
                <w:color w:val="auto"/>
                <w:kern w:val="0"/>
                <w:szCs w:val="21"/>
              </w:rPr>
            </w:pPr>
            <w:r>
              <w:rPr>
                <w:color w:val="auto"/>
                <w:kern w:val="0"/>
                <w:szCs w:val="21"/>
              </w:rPr>
              <w:t>雁类为主。</w:t>
            </w:r>
          </w:p>
        </w:tc>
      </w:tr>
      <w:tr w14:paraId="79D62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009FC3DF">
            <w:pPr>
              <w:widowControl/>
              <w:jc w:val="center"/>
              <w:rPr>
                <w:color w:val="auto"/>
                <w:kern w:val="0"/>
                <w:szCs w:val="21"/>
              </w:rPr>
            </w:pPr>
            <w:r>
              <w:rPr>
                <w:color w:val="auto"/>
                <w:kern w:val="0"/>
                <w:szCs w:val="21"/>
              </w:rPr>
              <w:t>白鹤</w:t>
            </w:r>
          </w:p>
        </w:tc>
        <w:tc>
          <w:tcPr>
            <w:tcW w:w="2061" w:type="pct"/>
            <w:tcBorders>
              <w:tl2br w:val="nil"/>
              <w:tr2bl w:val="nil"/>
            </w:tcBorders>
            <w:vAlign w:val="center"/>
          </w:tcPr>
          <w:p w14:paraId="0C2A04A0">
            <w:pPr>
              <w:widowControl/>
              <w:jc w:val="center"/>
              <w:rPr>
                <w:color w:val="auto"/>
                <w:kern w:val="0"/>
                <w:szCs w:val="21"/>
              </w:rPr>
            </w:pPr>
            <w:r>
              <w:rPr>
                <w:color w:val="auto"/>
                <w:kern w:val="0"/>
                <w:szCs w:val="21"/>
              </w:rPr>
              <w:t>大小西湖-丁字堤区域</w:t>
            </w:r>
          </w:p>
        </w:tc>
        <w:tc>
          <w:tcPr>
            <w:tcW w:w="2137" w:type="pct"/>
            <w:tcBorders>
              <w:tl2br w:val="nil"/>
              <w:tr2bl w:val="nil"/>
            </w:tcBorders>
            <w:vAlign w:val="center"/>
          </w:tcPr>
          <w:p w14:paraId="430033F6">
            <w:pPr>
              <w:widowControl/>
              <w:jc w:val="center"/>
              <w:rPr>
                <w:color w:val="auto"/>
                <w:kern w:val="0"/>
                <w:szCs w:val="21"/>
              </w:rPr>
            </w:pPr>
            <w:r>
              <w:rPr>
                <w:color w:val="auto"/>
                <w:kern w:val="0"/>
                <w:szCs w:val="21"/>
              </w:rPr>
              <w:t>Ⅰ级保护，在建新农场后丁字堤区域洲滩、大小西湖发现多次。</w:t>
            </w:r>
          </w:p>
        </w:tc>
      </w:tr>
      <w:tr w14:paraId="4F564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28C03430">
            <w:pPr>
              <w:widowControl/>
              <w:jc w:val="center"/>
              <w:rPr>
                <w:color w:val="auto"/>
                <w:kern w:val="0"/>
                <w:szCs w:val="21"/>
              </w:rPr>
            </w:pPr>
            <w:r>
              <w:rPr>
                <w:color w:val="auto"/>
                <w:kern w:val="0"/>
                <w:szCs w:val="21"/>
              </w:rPr>
              <w:t>白头鹤</w:t>
            </w:r>
          </w:p>
        </w:tc>
        <w:tc>
          <w:tcPr>
            <w:tcW w:w="2061" w:type="pct"/>
            <w:tcBorders>
              <w:tl2br w:val="nil"/>
              <w:tr2bl w:val="nil"/>
            </w:tcBorders>
            <w:vAlign w:val="center"/>
          </w:tcPr>
          <w:p w14:paraId="709EE396">
            <w:pPr>
              <w:widowControl/>
              <w:jc w:val="center"/>
              <w:rPr>
                <w:color w:val="auto"/>
                <w:kern w:val="0"/>
                <w:szCs w:val="21"/>
              </w:rPr>
            </w:pPr>
            <w:r>
              <w:rPr>
                <w:color w:val="auto"/>
                <w:kern w:val="0"/>
                <w:szCs w:val="21"/>
              </w:rPr>
              <w:t>大小西湖、春风外滩</w:t>
            </w:r>
          </w:p>
        </w:tc>
        <w:tc>
          <w:tcPr>
            <w:tcW w:w="2137" w:type="pct"/>
            <w:tcBorders>
              <w:tl2br w:val="nil"/>
              <w:tr2bl w:val="nil"/>
            </w:tcBorders>
            <w:vAlign w:val="center"/>
          </w:tcPr>
          <w:p w14:paraId="1A8DDCA4">
            <w:pPr>
              <w:widowControl/>
              <w:jc w:val="center"/>
              <w:rPr>
                <w:color w:val="auto"/>
                <w:kern w:val="0"/>
                <w:szCs w:val="21"/>
              </w:rPr>
            </w:pPr>
            <w:r>
              <w:rPr>
                <w:color w:val="auto"/>
                <w:kern w:val="0"/>
                <w:szCs w:val="21"/>
              </w:rPr>
              <w:t>Ⅰ级保护，候鸟同步调查时该区域发现多次。</w:t>
            </w:r>
          </w:p>
        </w:tc>
      </w:tr>
      <w:tr w14:paraId="3E41A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3D414019">
            <w:pPr>
              <w:widowControl/>
              <w:jc w:val="center"/>
              <w:rPr>
                <w:color w:val="auto"/>
                <w:kern w:val="0"/>
                <w:szCs w:val="21"/>
              </w:rPr>
            </w:pPr>
            <w:r>
              <w:rPr>
                <w:color w:val="auto"/>
                <w:kern w:val="0"/>
                <w:szCs w:val="21"/>
              </w:rPr>
              <w:t>麇鹿</w:t>
            </w:r>
          </w:p>
        </w:tc>
        <w:tc>
          <w:tcPr>
            <w:tcW w:w="2061" w:type="pct"/>
            <w:tcBorders>
              <w:tl2br w:val="nil"/>
              <w:tr2bl w:val="nil"/>
            </w:tcBorders>
            <w:vAlign w:val="center"/>
          </w:tcPr>
          <w:p w14:paraId="0B44CEE2">
            <w:pPr>
              <w:widowControl/>
              <w:jc w:val="center"/>
              <w:rPr>
                <w:color w:val="auto"/>
                <w:kern w:val="0"/>
                <w:szCs w:val="21"/>
              </w:rPr>
            </w:pPr>
            <w:r>
              <w:rPr>
                <w:color w:val="auto"/>
                <w:kern w:val="0"/>
                <w:szCs w:val="21"/>
              </w:rPr>
              <w:t>大小西湖-注滋河末端、上红旗湖区域内</w:t>
            </w:r>
          </w:p>
        </w:tc>
        <w:tc>
          <w:tcPr>
            <w:tcW w:w="2137" w:type="pct"/>
            <w:tcBorders>
              <w:tl2br w:val="nil"/>
              <w:tr2bl w:val="nil"/>
            </w:tcBorders>
            <w:vAlign w:val="center"/>
          </w:tcPr>
          <w:p w14:paraId="69C178BC">
            <w:pPr>
              <w:widowControl/>
              <w:jc w:val="center"/>
              <w:rPr>
                <w:color w:val="auto"/>
                <w:kern w:val="0"/>
                <w:szCs w:val="21"/>
              </w:rPr>
            </w:pPr>
            <w:r>
              <w:rPr>
                <w:color w:val="auto"/>
                <w:kern w:val="0"/>
                <w:szCs w:val="21"/>
              </w:rPr>
              <w:t>Ⅰ级保护，自然野化种群。</w:t>
            </w:r>
          </w:p>
        </w:tc>
      </w:tr>
      <w:tr w14:paraId="0B8E4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788FDD09">
            <w:pPr>
              <w:widowControl/>
              <w:jc w:val="center"/>
              <w:rPr>
                <w:color w:val="auto"/>
                <w:kern w:val="0"/>
                <w:szCs w:val="21"/>
              </w:rPr>
            </w:pPr>
            <w:r>
              <w:rPr>
                <w:color w:val="auto"/>
                <w:kern w:val="0"/>
                <w:szCs w:val="21"/>
              </w:rPr>
              <w:t>东方白鹳</w:t>
            </w:r>
          </w:p>
        </w:tc>
        <w:tc>
          <w:tcPr>
            <w:tcW w:w="2061" w:type="pct"/>
            <w:tcBorders>
              <w:tl2br w:val="nil"/>
              <w:tr2bl w:val="nil"/>
            </w:tcBorders>
            <w:vAlign w:val="center"/>
          </w:tcPr>
          <w:p w14:paraId="421F9FED">
            <w:pPr>
              <w:widowControl/>
              <w:jc w:val="center"/>
              <w:rPr>
                <w:color w:val="auto"/>
                <w:kern w:val="0"/>
                <w:szCs w:val="21"/>
              </w:rPr>
            </w:pPr>
            <w:r>
              <w:rPr>
                <w:color w:val="auto"/>
                <w:kern w:val="0"/>
                <w:szCs w:val="21"/>
              </w:rPr>
              <w:t>主要分布在保护区核心区内的大小西湖、采桑湖，在春风湖偶尔也会发现</w:t>
            </w:r>
          </w:p>
        </w:tc>
        <w:tc>
          <w:tcPr>
            <w:tcW w:w="2137" w:type="pct"/>
            <w:tcBorders>
              <w:tl2br w:val="nil"/>
              <w:tr2bl w:val="nil"/>
            </w:tcBorders>
            <w:vAlign w:val="center"/>
          </w:tcPr>
          <w:p w14:paraId="5247121A">
            <w:pPr>
              <w:widowControl/>
              <w:jc w:val="center"/>
              <w:rPr>
                <w:color w:val="auto"/>
                <w:kern w:val="0"/>
                <w:szCs w:val="21"/>
              </w:rPr>
            </w:pPr>
            <w:r>
              <w:rPr>
                <w:color w:val="auto"/>
                <w:kern w:val="0"/>
                <w:szCs w:val="21"/>
              </w:rPr>
              <w:t>CITES Ⅰ</w:t>
            </w:r>
          </w:p>
        </w:tc>
      </w:tr>
      <w:tr w14:paraId="1973B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6B98B2F5">
            <w:pPr>
              <w:widowControl/>
              <w:jc w:val="center"/>
              <w:rPr>
                <w:color w:val="auto"/>
                <w:kern w:val="0"/>
                <w:szCs w:val="21"/>
              </w:rPr>
            </w:pPr>
            <w:r>
              <w:rPr>
                <w:color w:val="auto"/>
                <w:kern w:val="0"/>
                <w:szCs w:val="21"/>
              </w:rPr>
              <w:t>小白额雁</w:t>
            </w:r>
          </w:p>
        </w:tc>
        <w:tc>
          <w:tcPr>
            <w:tcW w:w="2061" w:type="pct"/>
            <w:tcBorders>
              <w:tl2br w:val="nil"/>
              <w:tr2bl w:val="nil"/>
            </w:tcBorders>
            <w:vAlign w:val="center"/>
          </w:tcPr>
          <w:p w14:paraId="5C165823">
            <w:pPr>
              <w:widowControl/>
              <w:jc w:val="center"/>
              <w:rPr>
                <w:color w:val="auto"/>
                <w:kern w:val="0"/>
                <w:szCs w:val="21"/>
              </w:rPr>
            </w:pPr>
            <w:r>
              <w:rPr>
                <w:color w:val="auto"/>
                <w:kern w:val="0"/>
                <w:szCs w:val="21"/>
              </w:rPr>
              <w:t>大小西湖、丁字堤外滩、君山后湖、春风湖</w:t>
            </w:r>
          </w:p>
        </w:tc>
        <w:tc>
          <w:tcPr>
            <w:tcW w:w="2137" w:type="pct"/>
            <w:tcBorders>
              <w:tl2br w:val="nil"/>
              <w:tr2bl w:val="nil"/>
            </w:tcBorders>
            <w:vAlign w:val="center"/>
          </w:tcPr>
          <w:p w14:paraId="60402FB9">
            <w:pPr>
              <w:widowControl/>
              <w:jc w:val="center"/>
              <w:rPr>
                <w:color w:val="auto"/>
                <w:kern w:val="0"/>
                <w:szCs w:val="21"/>
              </w:rPr>
            </w:pPr>
            <w:r>
              <w:rPr>
                <w:rFonts w:hint="eastAsia"/>
                <w:color w:val="auto"/>
                <w:kern w:val="0"/>
                <w:szCs w:val="21"/>
              </w:rPr>
              <w:t>“</w:t>
            </w:r>
            <w:r>
              <w:rPr>
                <w:color w:val="auto"/>
                <w:kern w:val="0"/>
                <w:szCs w:val="21"/>
              </w:rPr>
              <w:t>三有保护</w:t>
            </w:r>
            <w:r>
              <w:rPr>
                <w:rFonts w:hint="eastAsia"/>
                <w:color w:val="auto"/>
                <w:kern w:val="0"/>
                <w:szCs w:val="21"/>
              </w:rPr>
              <w:t>”</w:t>
            </w:r>
            <w:r>
              <w:rPr>
                <w:color w:val="auto"/>
                <w:kern w:val="0"/>
                <w:szCs w:val="21"/>
              </w:rPr>
              <w:t>，国际濒危物种，全球种群数量约25000只</w:t>
            </w:r>
          </w:p>
        </w:tc>
      </w:tr>
      <w:tr w14:paraId="79844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06B874E3">
            <w:pPr>
              <w:widowControl/>
              <w:jc w:val="center"/>
              <w:rPr>
                <w:color w:val="auto"/>
                <w:kern w:val="0"/>
                <w:szCs w:val="21"/>
              </w:rPr>
            </w:pPr>
            <w:r>
              <w:rPr>
                <w:color w:val="auto"/>
                <w:kern w:val="0"/>
                <w:szCs w:val="21"/>
              </w:rPr>
              <w:t>豆雁、白额雁</w:t>
            </w:r>
          </w:p>
        </w:tc>
        <w:tc>
          <w:tcPr>
            <w:tcW w:w="2061" w:type="pct"/>
            <w:tcBorders>
              <w:tl2br w:val="nil"/>
              <w:tr2bl w:val="nil"/>
            </w:tcBorders>
            <w:vAlign w:val="center"/>
          </w:tcPr>
          <w:p w14:paraId="6D68D2B9">
            <w:pPr>
              <w:widowControl/>
              <w:jc w:val="center"/>
              <w:rPr>
                <w:color w:val="auto"/>
                <w:kern w:val="0"/>
                <w:szCs w:val="21"/>
              </w:rPr>
            </w:pPr>
            <w:r>
              <w:rPr>
                <w:color w:val="auto"/>
                <w:kern w:val="0"/>
                <w:szCs w:val="21"/>
              </w:rPr>
              <w:t>大小西湖封闭管理区、丁字堤外滩、春风外滩</w:t>
            </w:r>
          </w:p>
        </w:tc>
        <w:tc>
          <w:tcPr>
            <w:tcW w:w="2137" w:type="pct"/>
            <w:tcBorders>
              <w:tl2br w:val="nil"/>
              <w:tr2bl w:val="nil"/>
            </w:tcBorders>
            <w:vAlign w:val="center"/>
          </w:tcPr>
          <w:p w14:paraId="6968EE21">
            <w:pPr>
              <w:widowControl/>
              <w:jc w:val="center"/>
              <w:rPr>
                <w:color w:val="auto"/>
                <w:kern w:val="0"/>
                <w:szCs w:val="21"/>
              </w:rPr>
            </w:pPr>
            <w:r>
              <w:rPr>
                <w:color w:val="auto"/>
                <w:kern w:val="0"/>
                <w:szCs w:val="21"/>
              </w:rPr>
              <w:t>是东洞庭湖保护区同小白额雁一起越冬数量最多的雁类，对保护区越冬候鸟种群结构有重要影响。</w:t>
            </w:r>
          </w:p>
        </w:tc>
      </w:tr>
      <w:tr w14:paraId="1E2EA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6309263C">
            <w:pPr>
              <w:widowControl/>
              <w:jc w:val="center"/>
              <w:rPr>
                <w:color w:val="auto"/>
                <w:kern w:val="0"/>
                <w:szCs w:val="21"/>
              </w:rPr>
            </w:pPr>
            <w:r>
              <w:rPr>
                <w:color w:val="auto"/>
                <w:kern w:val="0"/>
                <w:szCs w:val="21"/>
              </w:rPr>
              <w:t>罗纹鸭、绿头鸭、绿翅鸭、斑嘴鸭、赤颈鸭等</w:t>
            </w:r>
          </w:p>
        </w:tc>
        <w:tc>
          <w:tcPr>
            <w:tcW w:w="2061" w:type="pct"/>
            <w:tcBorders>
              <w:tl2br w:val="nil"/>
              <w:tr2bl w:val="nil"/>
            </w:tcBorders>
            <w:vAlign w:val="center"/>
          </w:tcPr>
          <w:p w14:paraId="710CC51A">
            <w:pPr>
              <w:widowControl/>
              <w:jc w:val="center"/>
              <w:rPr>
                <w:color w:val="auto"/>
                <w:kern w:val="0"/>
                <w:szCs w:val="21"/>
              </w:rPr>
            </w:pPr>
            <w:r>
              <w:rPr>
                <w:color w:val="auto"/>
                <w:kern w:val="0"/>
                <w:szCs w:val="21"/>
              </w:rPr>
              <w:t>大小西湖封闭管理区、丁字堤水域、采桑湖</w:t>
            </w:r>
          </w:p>
        </w:tc>
        <w:tc>
          <w:tcPr>
            <w:tcW w:w="2137" w:type="pct"/>
            <w:tcBorders>
              <w:tl2br w:val="nil"/>
              <w:tr2bl w:val="nil"/>
            </w:tcBorders>
            <w:vAlign w:val="center"/>
          </w:tcPr>
          <w:p w14:paraId="11F27993">
            <w:pPr>
              <w:widowControl/>
              <w:jc w:val="center"/>
              <w:rPr>
                <w:color w:val="auto"/>
                <w:kern w:val="0"/>
                <w:szCs w:val="21"/>
              </w:rPr>
            </w:pPr>
            <w:r>
              <w:rPr>
                <w:color w:val="auto"/>
                <w:kern w:val="0"/>
                <w:szCs w:val="21"/>
              </w:rPr>
              <w:t>数量多</w:t>
            </w:r>
          </w:p>
        </w:tc>
      </w:tr>
      <w:tr w14:paraId="69A27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01" w:type="pct"/>
            <w:tcBorders>
              <w:tl2br w:val="nil"/>
              <w:tr2bl w:val="nil"/>
            </w:tcBorders>
            <w:vAlign w:val="center"/>
          </w:tcPr>
          <w:p w14:paraId="7F6624AF">
            <w:pPr>
              <w:widowControl/>
              <w:jc w:val="center"/>
              <w:rPr>
                <w:color w:val="auto"/>
                <w:kern w:val="0"/>
                <w:szCs w:val="21"/>
              </w:rPr>
            </w:pPr>
            <w:r>
              <w:rPr>
                <w:color w:val="auto"/>
                <w:kern w:val="0"/>
                <w:szCs w:val="21"/>
              </w:rPr>
              <w:t>黑腹滨鹬、反嘴鹬等</w:t>
            </w:r>
          </w:p>
        </w:tc>
        <w:tc>
          <w:tcPr>
            <w:tcW w:w="2061" w:type="pct"/>
            <w:tcBorders>
              <w:tl2br w:val="nil"/>
              <w:tr2bl w:val="nil"/>
            </w:tcBorders>
            <w:vAlign w:val="center"/>
          </w:tcPr>
          <w:p w14:paraId="0C9A4889">
            <w:pPr>
              <w:widowControl/>
              <w:jc w:val="center"/>
              <w:rPr>
                <w:color w:val="auto"/>
                <w:kern w:val="0"/>
                <w:szCs w:val="21"/>
              </w:rPr>
            </w:pPr>
            <w:r>
              <w:rPr>
                <w:color w:val="auto"/>
                <w:kern w:val="0"/>
                <w:szCs w:val="21"/>
              </w:rPr>
              <w:t>在东洞庭湖湖泊、水塘、河口等水域岸边和附近沼泽与草地上。常成群活动于水边泥地或水边浅水处。根据多年调查大小西湖、丁字堤是此类鸻鹬类鸟类的重要活动区域。</w:t>
            </w:r>
          </w:p>
        </w:tc>
        <w:tc>
          <w:tcPr>
            <w:tcW w:w="2137" w:type="pct"/>
            <w:tcBorders>
              <w:tl2br w:val="nil"/>
              <w:tr2bl w:val="nil"/>
            </w:tcBorders>
            <w:vAlign w:val="center"/>
          </w:tcPr>
          <w:p w14:paraId="15DD6618">
            <w:pPr>
              <w:widowControl/>
              <w:jc w:val="center"/>
              <w:rPr>
                <w:color w:val="auto"/>
                <w:kern w:val="0"/>
                <w:szCs w:val="21"/>
              </w:rPr>
            </w:pPr>
            <w:r>
              <w:rPr>
                <w:color w:val="auto"/>
                <w:kern w:val="0"/>
                <w:szCs w:val="21"/>
              </w:rPr>
              <w:t>个体较小，数量多。</w:t>
            </w:r>
          </w:p>
        </w:tc>
      </w:tr>
    </w:tbl>
    <w:p w14:paraId="1861B430">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bookmarkStart w:id="134" w:name="_Toc472494240"/>
      <w:bookmarkStart w:id="135" w:name="OLE_LINK67"/>
      <w:bookmarkStart w:id="136" w:name="OLE_LINK68"/>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7.2评价区陆生动物</w:t>
      </w:r>
      <w:bookmarkEnd w:id="134"/>
      <w:r>
        <w:rPr>
          <w:rFonts w:ascii="Times New Roman" w:hAnsi="Times New Roman" w:eastAsia="宋体" w:cs="Times New Roman"/>
          <w:b/>
          <w:color w:val="auto"/>
          <w:sz w:val="28"/>
          <w:szCs w:val="28"/>
        </w:rPr>
        <w:t>多样性</w:t>
      </w:r>
    </w:p>
    <w:bookmarkEnd w:id="135"/>
    <w:bookmarkEnd w:id="136"/>
    <w:p w14:paraId="774A4B88">
      <w:pPr>
        <w:spacing w:line="360" w:lineRule="auto"/>
        <w:ind w:firstLine="480" w:firstLineChars="200"/>
        <w:rPr>
          <w:color w:val="auto"/>
          <w:kern w:val="0"/>
          <w:sz w:val="24"/>
        </w:rPr>
      </w:pPr>
      <w:r>
        <w:rPr>
          <w:color w:val="auto"/>
          <w:kern w:val="0"/>
          <w:sz w:val="24"/>
        </w:rPr>
        <w:t>根据实地调查、访问调查及查阅相关文献，评价区内共记录野生动物218种，隶属于43目87科。其中，两栖类10种，隶属于1目5科；爬行类13种，隶属于1目8科；鸟类114种，隶属于14目39科；哺乳类12种，隶属于5目8科；鱼类25种，隶属于6目7科；底栖类44种，隶属于13目18科。</w:t>
      </w:r>
    </w:p>
    <w:p w14:paraId="7840A626">
      <w:pPr>
        <w:adjustRightInd w:val="0"/>
        <w:spacing w:line="360" w:lineRule="auto"/>
        <w:jc w:val="left"/>
        <w:outlineLvl w:val="3"/>
        <w:rPr>
          <w:b/>
          <w:bCs/>
          <w:color w:val="auto"/>
          <w:sz w:val="24"/>
        </w:rPr>
      </w:pPr>
      <w:r>
        <w:rPr>
          <w:rFonts w:hint="eastAsia"/>
          <w:b/>
          <w:bCs/>
          <w:color w:val="auto"/>
          <w:sz w:val="24"/>
        </w:rPr>
        <w:t>3.</w:t>
      </w:r>
      <w:r>
        <w:rPr>
          <w:b/>
          <w:bCs/>
          <w:color w:val="auto"/>
          <w:sz w:val="24"/>
        </w:rPr>
        <w:t>7.2.1两栖类</w:t>
      </w:r>
    </w:p>
    <w:p w14:paraId="633308D9">
      <w:pPr>
        <w:spacing w:line="360" w:lineRule="auto"/>
        <w:ind w:firstLine="480" w:firstLineChars="200"/>
        <w:rPr>
          <w:color w:val="auto"/>
          <w:kern w:val="0"/>
          <w:sz w:val="24"/>
        </w:rPr>
      </w:pPr>
      <w:r>
        <w:rPr>
          <w:color w:val="auto"/>
          <w:kern w:val="0"/>
          <w:sz w:val="24"/>
        </w:rPr>
        <w:t>根据实地调查、访问调查及查阅相关文献得知，评价区内共记录两栖动物10种，隶属于1目5科（表</w:t>
      </w:r>
      <w:r>
        <w:rPr>
          <w:rFonts w:hint="eastAsia"/>
          <w:color w:val="auto"/>
          <w:kern w:val="0"/>
          <w:sz w:val="24"/>
        </w:rPr>
        <w:t>3.</w:t>
      </w:r>
      <w:r>
        <w:rPr>
          <w:color w:val="auto"/>
          <w:kern w:val="0"/>
          <w:sz w:val="24"/>
        </w:rPr>
        <w:t>7-2）。占已知湖南省71种两栖类的14.08%，其中，蟾蜍科1种、蛙科5种、树蛙科1种、姬蛙科2种和叉舌蛙科1种。评级区记录的10种两栖动物均属于</w:t>
      </w:r>
      <w:r>
        <w:rPr>
          <w:rFonts w:hint="eastAsia"/>
          <w:color w:val="auto"/>
          <w:kern w:val="0"/>
          <w:sz w:val="24"/>
        </w:rPr>
        <w:t>“</w:t>
      </w:r>
      <w:r>
        <w:rPr>
          <w:color w:val="auto"/>
          <w:kern w:val="0"/>
          <w:sz w:val="24"/>
        </w:rPr>
        <w:t>有重要生态、科学、社会价值的陆生野生动物</w:t>
      </w:r>
      <w:r>
        <w:rPr>
          <w:rFonts w:hint="eastAsia"/>
          <w:color w:val="auto"/>
          <w:kern w:val="0"/>
          <w:sz w:val="24"/>
        </w:rPr>
        <w:t>”</w:t>
      </w:r>
      <w:r>
        <w:rPr>
          <w:color w:val="auto"/>
          <w:kern w:val="0"/>
          <w:sz w:val="24"/>
        </w:rPr>
        <w:t>和湖南省地方重点保护野生动物。</w:t>
      </w:r>
    </w:p>
    <w:p w14:paraId="37E74F37">
      <w:pPr>
        <w:adjustRightInd w:val="0"/>
        <w:spacing w:line="360" w:lineRule="auto"/>
        <w:jc w:val="left"/>
        <w:outlineLvl w:val="3"/>
        <w:rPr>
          <w:b/>
          <w:bCs/>
          <w:color w:val="auto"/>
          <w:sz w:val="24"/>
        </w:rPr>
      </w:pPr>
      <w:r>
        <w:rPr>
          <w:rFonts w:hint="eastAsia"/>
          <w:b/>
          <w:bCs/>
          <w:color w:val="auto"/>
          <w:sz w:val="24"/>
        </w:rPr>
        <w:t>3.</w:t>
      </w:r>
      <w:r>
        <w:rPr>
          <w:b/>
          <w:bCs/>
          <w:color w:val="auto"/>
          <w:sz w:val="24"/>
        </w:rPr>
        <w:t>7.2.2爬行类</w:t>
      </w:r>
    </w:p>
    <w:p w14:paraId="3FD6B76A">
      <w:pPr>
        <w:spacing w:line="360" w:lineRule="auto"/>
        <w:ind w:firstLine="480" w:firstLineChars="200"/>
        <w:rPr>
          <w:color w:val="auto"/>
          <w:kern w:val="0"/>
          <w:sz w:val="24"/>
        </w:rPr>
      </w:pPr>
      <w:r>
        <w:rPr>
          <w:color w:val="auto"/>
          <w:kern w:val="0"/>
          <w:sz w:val="24"/>
        </w:rPr>
        <w:t>根据实地调查、访问调查及查阅文献得知，评价区共记录爬行动物13种，隶属于1目8科（表</w:t>
      </w:r>
      <w:r>
        <w:rPr>
          <w:rFonts w:hint="eastAsia"/>
          <w:color w:val="auto"/>
          <w:kern w:val="0"/>
          <w:sz w:val="24"/>
        </w:rPr>
        <w:t>3.</w:t>
      </w:r>
      <w:r>
        <w:rPr>
          <w:color w:val="auto"/>
          <w:kern w:val="0"/>
          <w:sz w:val="24"/>
        </w:rPr>
        <w:t>7-3）均为有鳞目。即壁虎科1种、蜥蜴科1种、石龙子科2种、游蛇科4种、水游蛇科3种、水蛇科1种、眼镜蛇科1种和蝰科1种，以游蛇科种类占优势。在评价区记录的13种爬行动物均属于</w:t>
      </w:r>
      <w:r>
        <w:rPr>
          <w:rFonts w:hint="eastAsia"/>
          <w:color w:val="auto"/>
          <w:kern w:val="0"/>
          <w:sz w:val="24"/>
        </w:rPr>
        <w:t>“</w:t>
      </w:r>
      <w:r>
        <w:rPr>
          <w:color w:val="auto"/>
          <w:kern w:val="0"/>
          <w:sz w:val="24"/>
        </w:rPr>
        <w:t>有重要生态、科学、社会价值的陆生野生动物</w:t>
      </w:r>
      <w:r>
        <w:rPr>
          <w:rFonts w:hint="eastAsia"/>
          <w:color w:val="auto"/>
          <w:kern w:val="0"/>
          <w:sz w:val="24"/>
        </w:rPr>
        <w:t>”</w:t>
      </w:r>
      <w:r>
        <w:rPr>
          <w:color w:val="auto"/>
          <w:kern w:val="0"/>
          <w:sz w:val="24"/>
        </w:rPr>
        <w:t>和湖南省地方重点保护陆生野生动物。</w:t>
      </w:r>
    </w:p>
    <w:p w14:paraId="2B472D75">
      <w:pPr>
        <w:adjustRightInd w:val="0"/>
        <w:spacing w:line="360" w:lineRule="auto"/>
        <w:jc w:val="left"/>
        <w:outlineLvl w:val="3"/>
        <w:rPr>
          <w:b/>
          <w:bCs/>
          <w:color w:val="auto"/>
          <w:sz w:val="24"/>
        </w:rPr>
      </w:pPr>
      <w:r>
        <w:rPr>
          <w:rFonts w:hint="eastAsia"/>
          <w:b/>
          <w:bCs/>
          <w:color w:val="auto"/>
          <w:sz w:val="24"/>
        </w:rPr>
        <w:t>3.</w:t>
      </w:r>
      <w:r>
        <w:rPr>
          <w:b/>
          <w:bCs/>
          <w:color w:val="auto"/>
          <w:sz w:val="24"/>
        </w:rPr>
        <w:t>7.2.3鸟类</w:t>
      </w:r>
    </w:p>
    <w:p w14:paraId="64A7B413">
      <w:pPr>
        <w:spacing w:line="360" w:lineRule="auto"/>
        <w:ind w:firstLine="480" w:firstLineChars="200"/>
        <w:rPr>
          <w:color w:val="auto"/>
          <w:kern w:val="0"/>
          <w:sz w:val="24"/>
        </w:rPr>
      </w:pPr>
      <w:r>
        <w:rPr>
          <w:color w:val="auto"/>
          <w:kern w:val="0"/>
          <w:sz w:val="24"/>
        </w:rPr>
        <w:t>根据实地调查、访问调查和查阅有关文献，评价区共记录鸟类114种，隶属14目39科（表</w:t>
      </w:r>
      <w:r>
        <w:rPr>
          <w:rFonts w:hint="eastAsia"/>
          <w:color w:val="auto"/>
          <w:kern w:val="0"/>
          <w:sz w:val="24"/>
        </w:rPr>
        <w:t>3.</w:t>
      </w:r>
      <w:r>
        <w:rPr>
          <w:color w:val="auto"/>
          <w:kern w:val="0"/>
          <w:sz w:val="24"/>
        </w:rPr>
        <w:t>7-4）。其中䴙䴘目1科2种、鹈形目1科1种、鹳形目3科11种、雁形目1科19种、鸻形目4科17种、鸡形目1科2种、鹤形目2科6种、鸽形目1科2种、鹃形目1科3种、佛法僧目1科2种、戴胜目1科1种、雀形目19科40种、隼形目1科3种、鸮形目2科4种。评价区有1种国家Ⅰ级重点保护野生动物，即白鹤；有7种国家Ⅱ级重点保护野生动物，即灰鹤、小天鹅、鸿雁、白琵鹭、白额雁、小白额雁和画眉；有92种鸟类属于</w:t>
      </w:r>
      <w:r>
        <w:rPr>
          <w:rFonts w:hint="eastAsia"/>
          <w:color w:val="auto"/>
          <w:kern w:val="0"/>
          <w:sz w:val="24"/>
        </w:rPr>
        <w:t>“</w:t>
      </w:r>
      <w:r>
        <w:rPr>
          <w:color w:val="auto"/>
          <w:kern w:val="0"/>
          <w:sz w:val="24"/>
        </w:rPr>
        <w:t>有重要生态、科学、社会价值的陆生野生动物</w:t>
      </w:r>
      <w:r>
        <w:rPr>
          <w:rFonts w:hint="eastAsia"/>
          <w:color w:val="auto"/>
          <w:kern w:val="0"/>
          <w:sz w:val="24"/>
        </w:rPr>
        <w:t>”</w:t>
      </w:r>
      <w:r>
        <w:rPr>
          <w:color w:val="auto"/>
          <w:kern w:val="0"/>
          <w:sz w:val="24"/>
        </w:rPr>
        <w:t>，62种鸟类被列入《湖南省地方重点保护野生动物名录》。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2"/>
        <w:gridCol w:w="4185"/>
      </w:tblGrid>
      <w:tr w14:paraId="216E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vAlign w:val="center"/>
          </w:tcPr>
          <w:p w14:paraId="10B41D30">
            <w:pPr>
              <w:spacing w:line="360" w:lineRule="auto"/>
              <w:jc w:val="center"/>
              <w:rPr>
                <w:color w:val="auto"/>
                <w:kern w:val="0"/>
                <w:szCs w:val="21"/>
              </w:rPr>
            </w:pPr>
            <w:r>
              <w:rPr>
                <w:color w:val="auto"/>
                <w:kern w:val="0"/>
                <w:szCs w:val="21"/>
              </w:rPr>
              <w:drawing>
                <wp:inline distT="0" distB="0" distL="114300" distR="114300">
                  <wp:extent cx="2601595" cy="1949450"/>
                  <wp:effectExtent l="0" t="0" r="8255" b="12700"/>
                  <wp:docPr id="1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9"/>
                          <pic:cNvPicPr>
                            <a:picLocks noChangeAspect="1"/>
                          </pic:cNvPicPr>
                        </pic:nvPicPr>
                        <pic:blipFill>
                          <a:blip r:embed="rId55"/>
                          <a:stretch>
                            <a:fillRect/>
                          </a:stretch>
                        </pic:blipFill>
                        <pic:spPr>
                          <a:xfrm>
                            <a:off x="0" y="0"/>
                            <a:ext cx="2601595" cy="1949450"/>
                          </a:xfrm>
                          <a:prstGeom prst="rect">
                            <a:avLst/>
                          </a:prstGeom>
                          <a:noFill/>
                          <a:ln>
                            <a:noFill/>
                          </a:ln>
                        </pic:spPr>
                      </pic:pic>
                    </a:graphicData>
                  </a:graphic>
                </wp:inline>
              </w:drawing>
            </w:r>
          </w:p>
        </w:tc>
        <w:tc>
          <w:tcPr>
            <w:tcW w:w="4259" w:type="dxa"/>
            <w:vAlign w:val="center"/>
          </w:tcPr>
          <w:p w14:paraId="68D07D92">
            <w:pPr>
              <w:spacing w:line="360" w:lineRule="auto"/>
              <w:jc w:val="center"/>
              <w:rPr>
                <w:color w:val="auto"/>
                <w:kern w:val="0"/>
                <w:szCs w:val="21"/>
              </w:rPr>
            </w:pPr>
            <w:r>
              <w:rPr>
                <w:color w:val="auto"/>
                <w:kern w:val="0"/>
                <w:szCs w:val="21"/>
              </w:rPr>
              <w:drawing>
                <wp:inline distT="0" distB="0" distL="114300" distR="114300">
                  <wp:extent cx="2553335" cy="1924685"/>
                  <wp:effectExtent l="0" t="0" r="18415" b="18415"/>
                  <wp:docPr id="1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
                          <pic:cNvPicPr>
                            <a:picLocks noChangeAspect="1"/>
                          </pic:cNvPicPr>
                        </pic:nvPicPr>
                        <pic:blipFill>
                          <a:blip r:embed="rId56"/>
                          <a:stretch>
                            <a:fillRect/>
                          </a:stretch>
                        </pic:blipFill>
                        <pic:spPr>
                          <a:xfrm>
                            <a:off x="0" y="0"/>
                            <a:ext cx="2553335" cy="1924685"/>
                          </a:xfrm>
                          <a:prstGeom prst="rect">
                            <a:avLst/>
                          </a:prstGeom>
                          <a:noFill/>
                          <a:ln>
                            <a:noFill/>
                          </a:ln>
                        </pic:spPr>
                      </pic:pic>
                    </a:graphicData>
                  </a:graphic>
                </wp:inline>
              </w:drawing>
            </w:r>
          </w:p>
        </w:tc>
      </w:tr>
      <w:tr w14:paraId="1A47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vAlign w:val="center"/>
          </w:tcPr>
          <w:p w14:paraId="1DB30EC0">
            <w:pPr>
              <w:spacing w:line="360" w:lineRule="auto"/>
              <w:jc w:val="center"/>
              <w:rPr>
                <w:color w:val="auto"/>
                <w:kern w:val="0"/>
                <w:szCs w:val="21"/>
              </w:rPr>
            </w:pPr>
            <w:r>
              <w:rPr>
                <w:color w:val="auto"/>
                <w:kern w:val="0"/>
                <w:sz w:val="24"/>
              </w:rPr>
              <w:drawing>
                <wp:inline distT="0" distB="0" distL="114300" distR="114300">
                  <wp:extent cx="2650490" cy="2005965"/>
                  <wp:effectExtent l="0" t="0" r="16510" b="13335"/>
                  <wp:docPr id="1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1"/>
                          <pic:cNvPicPr>
                            <a:picLocks noChangeAspect="1"/>
                          </pic:cNvPicPr>
                        </pic:nvPicPr>
                        <pic:blipFill>
                          <a:blip r:embed="rId57"/>
                          <a:stretch>
                            <a:fillRect/>
                          </a:stretch>
                        </pic:blipFill>
                        <pic:spPr>
                          <a:xfrm>
                            <a:off x="0" y="0"/>
                            <a:ext cx="2650490" cy="2005965"/>
                          </a:xfrm>
                          <a:prstGeom prst="rect">
                            <a:avLst/>
                          </a:prstGeom>
                          <a:noFill/>
                          <a:ln>
                            <a:noFill/>
                          </a:ln>
                        </pic:spPr>
                      </pic:pic>
                    </a:graphicData>
                  </a:graphic>
                </wp:inline>
              </w:drawing>
            </w:r>
          </w:p>
        </w:tc>
        <w:tc>
          <w:tcPr>
            <w:tcW w:w="4259" w:type="dxa"/>
            <w:vAlign w:val="center"/>
          </w:tcPr>
          <w:p w14:paraId="7949AB8C">
            <w:pPr>
              <w:spacing w:line="360" w:lineRule="auto"/>
              <w:jc w:val="center"/>
              <w:rPr>
                <w:color w:val="auto"/>
                <w:kern w:val="0"/>
                <w:szCs w:val="21"/>
              </w:rPr>
            </w:pPr>
            <w:r>
              <w:rPr>
                <w:color w:val="auto"/>
                <w:kern w:val="0"/>
                <w:sz w:val="24"/>
              </w:rPr>
              <w:drawing>
                <wp:inline distT="0" distB="0" distL="114300" distR="114300">
                  <wp:extent cx="2571750" cy="1929130"/>
                  <wp:effectExtent l="0" t="0" r="0" b="13970"/>
                  <wp:docPr id="1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2"/>
                          <pic:cNvPicPr>
                            <a:picLocks noChangeAspect="1"/>
                          </pic:cNvPicPr>
                        </pic:nvPicPr>
                        <pic:blipFill>
                          <a:blip r:embed="rId58"/>
                          <a:stretch>
                            <a:fillRect/>
                          </a:stretch>
                        </pic:blipFill>
                        <pic:spPr>
                          <a:xfrm>
                            <a:off x="0" y="0"/>
                            <a:ext cx="2571750" cy="1929130"/>
                          </a:xfrm>
                          <a:prstGeom prst="rect">
                            <a:avLst/>
                          </a:prstGeom>
                          <a:noFill/>
                          <a:ln>
                            <a:noFill/>
                          </a:ln>
                        </pic:spPr>
                      </pic:pic>
                    </a:graphicData>
                  </a:graphic>
                </wp:inline>
              </w:drawing>
            </w:r>
          </w:p>
        </w:tc>
      </w:tr>
    </w:tbl>
    <w:p w14:paraId="31922E16">
      <w:pPr>
        <w:jc w:val="center"/>
        <w:rPr>
          <w:b/>
          <w:bCs/>
          <w:color w:val="auto"/>
          <w:szCs w:val="21"/>
        </w:rPr>
      </w:pPr>
      <w:r>
        <w:rPr>
          <w:b/>
          <w:bCs/>
          <w:color w:val="auto"/>
          <w:szCs w:val="21"/>
        </w:rPr>
        <w:t>表</w:t>
      </w:r>
      <w:r>
        <w:rPr>
          <w:rFonts w:hint="eastAsia"/>
          <w:b/>
          <w:bCs/>
          <w:color w:val="auto"/>
          <w:szCs w:val="21"/>
        </w:rPr>
        <w:t>3.</w:t>
      </w:r>
      <w:r>
        <w:rPr>
          <w:b/>
          <w:bCs/>
          <w:color w:val="auto"/>
          <w:szCs w:val="21"/>
        </w:rPr>
        <w:t>7-</w:t>
      </w:r>
      <w:r>
        <w:rPr>
          <w:rFonts w:hint="eastAsia"/>
          <w:b/>
          <w:bCs/>
          <w:color w:val="auto"/>
          <w:szCs w:val="21"/>
        </w:rPr>
        <w:t>2</w:t>
      </w:r>
      <w:r>
        <w:rPr>
          <w:b/>
          <w:bCs/>
          <w:color w:val="auto"/>
          <w:szCs w:val="21"/>
        </w:rPr>
        <w:t xml:space="preserve">   评价区鸟类名录</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425"/>
        <w:gridCol w:w="754"/>
        <w:gridCol w:w="754"/>
        <w:gridCol w:w="1053"/>
        <w:gridCol w:w="940"/>
        <w:gridCol w:w="837"/>
        <w:gridCol w:w="754"/>
      </w:tblGrid>
      <w:tr w14:paraId="51048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FFEC461">
            <w:pPr>
              <w:adjustRightInd w:val="0"/>
              <w:jc w:val="center"/>
              <w:rPr>
                <w:b/>
                <w:bCs/>
                <w:color w:val="auto"/>
                <w:szCs w:val="21"/>
              </w:rPr>
            </w:pPr>
            <w:r>
              <w:rPr>
                <w:b/>
                <w:bCs/>
                <w:color w:val="auto"/>
                <w:szCs w:val="21"/>
              </w:rPr>
              <w:t>分类地位、物种名称</w:t>
            </w:r>
          </w:p>
        </w:tc>
        <w:tc>
          <w:tcPr>
            <w:tcW w:w="0" w:type="auto"/>
            <w:tcBorders>
              <w:tl2br w:val="nil"/>
              <w:tr2bl w:val="nil"/>
            </w:tcBorders>
            <w:vAlign w:val="center"/>
          </w:tcPr>
          <w:p w14:paraId="7BC09487">
            <w:pPr>
              <w:adjustRightInd w:val="0"/>
              <w:jc w:val="center"/>
              <w:rPr>
                <w:b/>
                <w:bCs/>
                <w:color w:val="auto"/>
                <w:szCs w:val="21"/>
              </w:rPr>
            </w:pPr>
            <w:r>
              <w:rPr>
                <w:b/>
                <w:bCs/>
                <w:color w:val="auto"/>
                <w:szCs w:val="21"/>
              </w:rPr>
              <w:t>居留类型</w:t>
            </w:r>
          </w:p>
        </w:tc>
        <w:tc>
          <w:tcPr>
            <w:tcW w:w="0" w:type="auto"/>
            <w:tcBorders>
              <w:tl2br w:val="nil"/>
              <w:tr2bl w:val="nil"/>
            </w:tcBorders>
            <w:vAlign w:val="center"/>
          </w:tcPr>
          <w:p w14:paraId="260EF056">
            <w:pPr>
              <w:adjustRightInd w:val="0"/>
              <w:jc w:val="center"/>
              <w:rPr>
                <w:b/>
                <w:bCs/>
                <w:color w:val="auto"/>
                <w:szCs w:val="21"/>
              </w:rPr>
            </w:pPr>
            <w:r>
              <w:rPr>
                <w:b/>
                <w:bCs/>
                <w:color w:val="auto"/>
                <w:szCs w:val="21"/>
              </w:rPr>
              <w:t>动物区系</w:t>
            </w:r>
          </w:p>
        </w:tc>
        <w:tc>
          <w:tcPr>
            <w:tcW w:w="0" w:type="auto"/>
            <w:tcBorders>
              <w:tl2br w:val="nil"/>
              <w:tr2bl w:val="nil"/>
            </w:tcBorders>
            <w:vAlign w:val="center"/>
          </w:tcPr>
          <w:p w14:paraId="2626DF4C">
            <w:pPr>
              <w:adjustRightInd w:val="0"/>
              <w:jc w:val="center"/>
              <w:rPr>
                <w:b/>
                <w:bCs/>
                <w:color w:val="auto"/>
                <w:szCs w:val="21"/>
              </w:rPr>
            </w:pPr>
            <w:r>
              <w:rPr>
                <w:b/>
                <w:bCs/>
                <w:color w:val="auto"/>
                <w:szCs w:val="21"/>
              </w:rPr>
              <w:t>CITES</w:t>
            </w:r>
          </w:p>
        </w:tc>
        <w:tc>
          <w:tcPr>
            <w:tcW w:w="0" w:type="auto"/>
            <w:tcBorders>
              <w:tl2br w:val="nil"/>
              <w:tr2bl w:val="nil"/>
            </w:tcBorders>
            <w:vAlign w:val="center"/>
          </w:tcPr>
          <w:p w14:paraId="3C512819">
            <w:pPr>
              <w:adjustRightInd w:val="0"/>
              <w:jc w:val="center"/>
              <w:rPr>
                <w:b/>
                <w:bCs/>
                <w:color w:val="auto"/>
                <w:szCs w:val="21"/>
              </w:rPr>
            </w:pPr>
            <w:r>
              <w:rPr>
                <w:b/>
                <w:bCs/>
                <w:color w:val="auto"/>
                <w:szCs w:val="21"/>
              </w:rPr>
              <w:t>保护等级</w:t>
            </w:r>
          </w:p>
        </w:tc>
        <w:tc>
          <w:tcPr>
            <w:tcW w:w="0" w:type="auto"/>
            <w:tcBorders>
              <w:tl2br w:val="nil"/>
              <w:tr2bl w:val="nil"/>
            </w:tcBorders>
            <w:vAlign w:val="center"/>
          </w:tcPr>
          <w:p w14:paraId="107C177C">
            <w:pPr>
              <w:adjustRightInd w:val="0"/>
              <w:jc w:val="center"/>
              <w:rPr>
                <w:b/>
                <w:bCs/>
                <w:color w:val="auto"/>
                <w:szCs w:val="21"/>
              </w:rPr>
            </w:pPr>
            <w:r>
              <w:rPr>
                <w:b/>
                <w:bCs/>
                <w:color w:val="auto"/>
                <w:szCs w:val="21"/>
              </w:rPr>
              <w:t>濒危等级</w:t>
            </w:r>
          </w:p>
        </w:tc>
        <w:tc>
          <w:tcPr>
            <w:tcW w:w="0" w:type="auto"/>
            <w:tcBorders>
              <w:tl2br w:val="nil"/>
              <w:tr2bl w:val="nil"/>
            </w:tcBorders>
            <w:vAlign w:val="center"/>
          </w:tcPr>
          <w:p w14:paraId="039D9FB5">
            <w:pPr>
              <w:adjustRightInd w:val="0"/>
              <w:jc w:val="center"/>
              <w:rPr>
                <w:b/>
                <w:bCs/>
                <w:color w:val="auto"/>
                <w:szCs w:val="21"/>
              </w:rPr>
            </w:pPr>
            <w:r>
              <w:rPr>
                <w:b/>
                <w:bCs/>
                <w:color w:val="auto"/>
                <w:szCs w:val="21"/>
              </w:rPr>
              <w:t>收录依据</w:t>
            </w:r>
          </w:p>
        </w:tc>
      </w:tr>
      <w:tr w14:paraId="6AF35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546C6A9">
            <w:pPr>
              <w:adjustRightInd w:val="0"/>
              <w:jc w:val="left"/>
              <w:rPr>
                <w:b/>
                <w:bCs/>
                <w:color w:val="auto"/>
                <w:szCs w:val="21"/>
              </w:rPr>
            </w:pPr>
            <w:r>
              <w:rPr>
                <w:b/>
                <w:bCs/>
                <w:color w:val="auto"/>
                <w:szCs w:val="21"/>
              </w:rPr>
              <w:t>Ⅰ 䴙䴘目 PODICPEDIFORMES</w:t>
            </w:r>
          </w:p>
        </w:tc>
        <w:tc>
          <w:tcPr>
            <w:tcW w:w="0" w:type="auto"/>
            <w:tcBorders>
              <w:tl2br w:val="nil"/>
              <w:tr2bl w:val="nil"/>
            </w:tcBorders>
            <w:vAlign w:val="center"/>
          </w:tcPr>
          <w:p w14:paraId="774022E0">
            <w:pPr>
              <w:adjustRightInd w:val="0"/>
              <w:jc w:val="center"/>
              <w:rPr>
                <w:b/>
                <w:bCs/>
                <w:color w:val="auto"/>
                <w:szCs w:val="21"/>
              </w:rPr>
            </w:pPr>
          </w:p>
        </w:tc>
        <w:tc>
          <w:tcPr>
            <w:tcW w:w="0" w:type="auto"/>
            <w:tcBorders>
              <w:tl2br w:val="nil"/>
              <w:tr2bl w:val="nil"/>
            </w:tcBorders>
            <w:vAlign w:val="center"/>
          </w:tcPr>
          <w:p w14:paraId="7286D146">
            <w:pPr>
              <w:adjustRightInd w:val="0"/>
              <w:jc w:val="center"/>
              <w:rPr>
                <w:b/>
                <w:bCs/>
                <w:color w:val="auto"/>
                <w:szCs w:val="21"/>
              </w:rPr>
            </w:pPr>
          </w:p>
        </w:tc>
        <w:tc>
          <w:tcPr>
            <w:tcW w:w="0" w:type="auto"/>
            <w:tcBorders>
              <w:tl2br w:val="nil"/>
              <w:tr2bl w:val="nil"/>
            </w:tcBorders>
            <w:vAlign w:val="center"/>
          </w:tcPr>
          <w:p w14:paraId="39176BD5">
            <w:pPr>
              <w:adjustRightInd w:val="0"/>
              <w:jc w:val="center"/>
              <w:rPr>
                <w:b/>
                <w:bCs/>
                <w:color w:val="auto"/>
                <w:szCs w:val="21"/>
              </w:rPr>
            </w:pPr>
          </w:p>
        </w:tc>
        <w:tc>
          <w:tcPr>
            <w:tcW w:w="0" w:type="auto"/>
            <w:tcBorders>
              <w:tl2br w:val="nil"/>
              <w:tr2bl w:val="nil"/>
            </w:tcBorders>
            <w:vAlign w:val="center"/>
          </w:tcPr>
          <w:p w14:paraId="52909887">
            <w:pPr>
              <w:adjustRightInd w:val="0"/>
              <w:jc w:val="center"/>
              <w:rPr>
                <w:b/>
                <w:bCs/>
                <w:color w:val="auto"/>
                <w:szCs w:val="21"/>
              </w:rPr>
            </w:pPr>
          </w:p>
        </w:tc>
        <w:tc>
          <w:tcPr>
            <w:tcW w:w="0" w:type="auto"/>
            <w:tcBorders>
              <w:tl2br w:val="nil"/>
              <w:tr2bl w:val="nil"/>
            </w:tcBorders>
            <w:vAlign w:val="center"/>
          </w:tcPr>
          <w:p w14:paraId="10385E32">
            <w:pPr>
              <w:adjustRightInd w:val="0"/>
              <w:jc w:val="center"/>
              <w:rPr>
                <w:b/>
                <w:bCs/>
                <w:color w:val="auto"/>
                <w:szCs w:val="21"/>
              </w:rPr>
            </w:pPr>
          </w:p>
        </w:tc>
        <w:tc>
          <w:tcPr>
            <w:tcW w:w="0" w:type="auto"/>
            <w:tcBorders>
              <w:tl2br w:val="nil"/>
              <w:tr2bl w:val="nil"/>
            </w:tcBorders>
            <w:vAlign w:val="center"/>
          </w:tcPr>
          <w:p w14:paraId="5D824DE6">
            <w:pPr>
              <w:adjustRightInd w:val="0"/>
              <w:jc w:val="center"/>
              <w:rPr>
                <w:b/>
                <w:bCs/>
                <w:color w:val="auto"/>
                <w:szCs w:val="21"/>
              </w:rPr>
            </w:pPr>
          </w:p>
        </w:tc>
      </w:tr>
      <w:tr w14:paraId="03524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379AADB">
            <w:pPr>
              <w:widowControl/>
              <w:jc w:val="left"/>
              <w:rPr>
                <w:b/>
                <w:bCs/>
                <w:color w:val="auto"/>
                <w:szCs w:val="21"/>
              </w:rPr>
            </w:pPr>
            <w:r>
              <w:rPr>
                <w:b/>
                <w:bCs/>
                <w:color w:val="auto"/>
                <w:szCs w:val="21"/>
              </w:rPr>
              <w:t>（一）䴙䴘科 Podicipedidae</w:t>
            </w:r>
          </w:p>
        </w:tc>
        <w:tc>
          <w:tcPr>
            <w:tcW w:w="0" w:type="auto"/>
            <w:tcBorders>
              <w:tl2br w:val="nil"/>
              <w:tr2bl w:val="nil"/>
            </w:tcBorders>
            <w:vAlign w:val="center"/>
          </w:tcPr>
          <w:p w14:paraId="3D9C5785">
            <w:pPr>
              <w:adjustRightInd w:val="0"/>
              <w:jc w:val="center"/>
              <w:rPr>
                <w:b/>
                <w:bCs/>
                <w:color w:val="auto"/>
                <w:szCs w:val="21"/>
              </w:rPr>
            </w:pPr>
          </w:p>
        </w:tc>
        <w:tc>
          <w:tcPr>
            <w:tcW w:w="0" w:type="auto"/>
            <w:tcBorders>
              <w:tl2br w:val="nil"/>
              <w:tr2bl w:val="nil"/>
            </w:tcBorders>
            <w:vAlign w:val="center"/>
          </w:tcPr>
          <w:p w14:paraId="31D6597E">
            <w:pPr>
              <w:adjustRightInd w:val="0"/>
              <w:jc w:val="center"/>
              <w:rPr>
                <w:b/>
                <w:bCs/>
                <w:color w:val="auto"/>
                <w:szCs w:val="21"/>
              </w:rPr>
            </w:pPr>
          </w:p>
        </w:tc>
        <w:tc>
          <w:tcPr>
            <w:tcW w:w="0" w:type="auto"/>
            <w:tcBorders>
              <w:tl2br w:val="nil"/>
              <w:tr2bl w:val="nil"/>
            </w:tcBorders>
            <w:vAlign w:val="center"/>
          </w:tcPr>
          <w:p w14:paraId="0733F7E4">
            <w:pPr>
              <w:adjustRightInd w:val="0"/>
              <w:jc w:val="center"/>
              <w:rPr>
                <w:b/>
                <w:bCs/>
                <w:color w:val="auto"/>
                <w:szCs w:val="21"/>
              </w:rPr>
            </w:pPr>
          </w:p>
        </w:tc>
        <w:tc>
          <w:tcPr>
            <w:tcW w:w="0" w:type="auto"/>
            <w:tcBorders>
              <w:tl2br w:val="nil"/>
              <w:tr2bl w:val="nil"/>
            </w:tcBorders>
            <w:vAlign w:val="center"/>
          </w:tcPr>
          <w:p w14:paraId="6FB99362">
            <w:pPr>
              <w:adjustRightInd w:val="0"/>
              <w:jc w:val="center"/>
              <w:rPr>
                <w:b/>
                <w:bCs/>
                <w:color w:val="auto"/>
                <w:szCs w:val="21"/>
              </w:rPr>
            </w:pPr>
          </w:p>
        </w:tc>
        <w:tc>
          <w:tcPr>
            <w:tcW w:w="0" w:type="auto"/>
            <w:tcBorders>
              <w:tl2br w:val="nil"/>
              <w:tr2bl w:val="nil"/>
            </w:tcBorders>
            <w:vAlign w:val="center"/>
          </w:tcPr>
          <w:p w14:paraId="3D58013A">
            <w:pPr>
              <w:adjustRightInd w:val="0"/>
              <w:jc w:val="center"/>
              <w:rPr>
                <w:b/>
                <w:bCs/>
                <w:color w:val="auto"/>
                <w:szCs w:val="21"/>
              </w:rPr>
            </w:pPr>
          </w:p>
        </w:tc>
        <w:tc>
          <w:tcPr>
            <w:tcW w:w="0" w:type="auto"/>
            <w:tcBorders>
              <w:tl2br w:val="nil"/>
              <w:tr2bl w:val="nil"/>
            </w:tcBorders>
            <w:vAlign w:val="center"/>
          </w:tcPr>
          <w:p w14:paraId="7433D3D3">
            <w:pPr>
              <w:adjustRightInd w:val="0"/>
              <w:jc w:val="center"/>
              <w:rPr>
                <w:b/>
                <w:bCs/>
                <w:color w:val="auto"/>
                <w:szCs w:val="21"/>
              </w:rPr>
            </w:pPr>
          </w:p>
        </w:tc>
      </w:tr>
      <w:tr w14:paraId="170A5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6ECCD45">
            <w:pPr>
              <w:widowControl/>
              <w:jc w:val="left"/>
              <w:rPr>
                <w:color w:val="auto"/>
                <w:szCs w:val="21"/>
              </w:rPr>
            </w:pPr>
            <w:r>
              <w:rPr>
                <w:color w:val="auto"/>
                <w:szCs w:val="21"/>
              </w:rPr>
              <w:t>1 小䴙䴘</w:t>
            </w:r>
            <w:r>
              <w:rPr>
                <w:i/>
                <w:iCs/>
                <w:color w:val="auto"/>
                <w:szCs w:val="21"/>
              </w:rPr>
              <w:t xml:space="preserve"> Tachybaptus ruficollis</w:t>
            </w:r>
          </w:p>
        </w:tc>
        <w:tc>
          <w:tcPr>
            <w:tcW w:w="0" w:type="auto"/>
            <w:tcBorders>
              <w:tl2br w:val="nil"/>
              <w:tr2bl w:val="nil"/>
            </w:tcBorders>
            <w:vAlign w:val="center"/>
          </w:tcPr>
          <w:p w14:paraId="458B948E">
            <w:pPr>
              <w:adjustRightInd w:val="0"/>
              <w:jc w:val="center"/>
              <w:rPr>
                <w:color w:val="auto"/>
                <w:szCs w:val="21"/>
              </w:rPr>
            </w:pPr>
            <w:r>
              <w:rPr>
                <w:color w:val="auto"/>
                <w:szCs w:val="21"/>
              </w:rPr>
              <w:t>R</w:t>
            </w:r>
          </w:p>
        </w:tc>
        <w:tc>
          <w:tcPr>
            <w:tcW w:w="0" w:type="auto"/>
            <w:tcBorders>
              <w:tl2br w:val="nil"/>
              <w:tr2bl w:val="nil"/>
            </w:tcBorders>
            <w:vAlign w:val="center"/>
          </w:tcPr>
          <w:p w14:paraId="16CED6CF">
            <w:pPr>
              <w:adjustRightInd w:val="0"/>
              <w:jc w:val="center"/>
              <w:rPr>
                <w:color w:val="auto"/>
                <w:szCs w:val="21"/>
              </w:rPr>
            </w:pPr>
            <w:r>
              <w:rPr>
                <w:color w:val="auto"/>
                <w:szCs w:val="21"/>
              </w:rPr>
              <w:t>O</w:t>
            </w:r>
          </w:p>
        </w:tc>
        <w:tc>
          <w:tcPr>
            <w:tcW w:w="0" w:type="auto"/>
            <w:tcBorders>
              <w:tl2br w:val="nil"/>
              <w:tr2bl w:val="nil"/>
            </w:tcBorders>
            <w:vAlign w:val="center"/>
          </w:tcPr>
          <w:p w14:paraId="1813757B">
            <w:pPr>
              <w:adjustRightInd w:val="0"/>
              <w:jc w:val="center"/>
              <w:rPr>
                <w:color w:val="auto"/>
                <w:szCs w:val="21"/>
              </w:rPr>
            </w:pPr>
          </w:p>
        </w:tc>
        <w:tc>
          <w:tcPr>
            <w:tcW w:w="0" w:type="auto"/>
            <w:tcBorders>
              <w:tl2br w:val="nil"/>
              <w:tr2bl w:val="nil"/>
            </w:tcBorders>
            <w:vAlign w:val="center"/>
          </w:tcPr>
          <w:p w14:paraId="3D8E9E97">
            <w:pPr>
              <w:adjustRightInd w:val="0"/>
              <w:jc w:val="center"/>
              <w:rPr>
                <w:color w:val="auto"/>
                <w:szCs w:val="21"/>
              </w:rPr>
            </w:pPr>
            <w:r>
              <w:rPr>
                <w:color w:val="auto"/>
                <w:szCs w:val="21"/>
              </w:rPr>
              <w:t>三有；湘</w:t>
            </w:r>
          </w:p>
        </w:tc>
        <w:tc>
          <w:tcPr>
            <w:tcW w:w="0" w:type="auto"/>
            <w:tcBorders>
              <w:tl2br w:val="nil"/>
              <w:tr2bl w:val="nil"/>
            </w:tcBorders>
            <w:vAlign w:val="center"/>
          </w:tcPr>
          <w:p w14:paraId="2366D575">
            <w:pPr>
              <w:adjustRightInd w:val="0"/>
              <w:jc w:val="center"/>
              <w:rPr>
                <w:color w:val="auto"/>
                <w:szCs w:val="21"/>
              </w:rPr>
            </w:pPr>
            <w:r>
              <w:rPr>
                <w:color w:val="auto"/>
                <w:szCs w:val="21"/>
              </w:rPr>
              <w:t>LC</w:t>
            </w:r>
          </w:p>
        </w:tc>
        <w:tc>
          <w:tcPr>
            <w:tcW w:w="0" w:type="auto"/>
            <w:tcBorders>
              <w:tl2br w:val="nil"/>
              <w:tr2bl w:val="nil"/>
            </w:tcBorders>
            <w:vAlign w:val="center"/>
          </w:tcPr>
          <w:p w14:paraId="3B17B1BC">
            <w:pPr>
              <w:adjustRightInd w:val="0"/>
              <w:jc w:val="center"/>
              <w:rPr>
                <w:color w:val="auto"/>
                <w:szCs w:val="21"/>
              </w:rPr>
            </w:pPr>
            <w:r>
              <w:rPr>
                <w:color w:val="auto"/>
                <w:szCs w:val="21"/>
              </w:rPr>
              <w:t>K</w:t>
            </w:r>
          </w:p>
        </w:tc>
      </w:tr>
      <w:tr w14:paraId="2B9A8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2B9B0AA">
            <w:pPr>
              <w:widowControl/>
              <w:jc w:val="left"/>
              <w:rPr>
                <w:color w:val="auto"/>
                <w:szCs w:val="21"/>
              </w:rPr>
            </w:pPr>
            <w:r>
              <w:rPr>
                <w:color w:val="auto"/>
                <w:szCs w:val="21"/>
              </w:rPr>
              <w:t xml:space="preserve">2 凤头䴙䴘 </w:t>
            </w:r>
            <w:r>
              <w:rPr>
                <w:i/>
                <w:iCs/>
                <w:color w:val="auto"/>
                <w:szCs w:val="21"/>
              </w:rPr>
              <w:t>Podiceps cristatus</w:t>
            </w:r>
          </w:p>
        </w:tc>
        <w:tc>
          <w:tcPr>
            <w:tcW w:w="0" w:type="auto"/>
            <w:tcBorders>
              <w:tl2br w:val="nil"/>
              <w:tr2bl w:val="nil"/>
            </w:tcBorders>
            <w:vAlign w:val="center"/>
          </w:tcPr>
          <w:p w14:paraId="28BB2CAC">
            <w:pPr>
              <w:adjustRightInd w:val="0"/>
              <w:jc w:val="center"/>
              <w:rPr>
                <w:color w:val="auto"/>
                <w:szCs w:val="21"/>
              </w:rPr>
            </w:pPr>
            <w:r>
              <w:rPr>
                <w:color w:val="auto"/>
                <w:szCs w:val="21"/>
              </w:rPr>
              <w:t>W</w:t>
            </w:r>
          </w:p>
        </w:tc>
        <w:tc>
          <w:tcPr>
            <w:tcW w:w="0" w:type="auto"/>
            <w:tcBorders>
              <w:tl2br w:val="nil"/>
              <w:tr2bl w:val="nil"/>
            </w:tcBorders>
            <w:vAlign w:val="center"/>
          </w:tcPr>
          <w:p w14:paraId="2FAD7DD5">
            <w:pPr>
              <w:adjustRightInd w:val="0"/>
              <w:jc w:val="center"/>
              <w:rPr>
                <w:color w:val="auto"/>
                <w:szCs w:val="21"/>
              </w:rPr>
            </w:pPr>
            <w:r>
              <w:rPr>
                <w:color w:val="auto"/>
                <w:szCs w:val="21"/>
              </w:rPr>
              <w:t>O</w:t>
            </w:r>
          </w:p>
        </w:tc>
        <w:tc>
          <w:tcPr>
            <w:tcW w:w="0" w:type="auto"/>
            <w:tcBorders>
              <w:tl2br w:val="nil"/>
              <w:tr2bl w:val="nil"/>
            </w:tcBorders>
            <w:vAlign w:val="center"/>
          </w:tcPr>
          <w:p w14:paraId="2DC11977">
            <w:pPr>
              <w:adjustRightInd w:val="0"/>
              <w:jc w:val="center"/>
              <w:rPr>
                <w:color w:val="auto"/>
                <w:szCs w:val="21"/>
              </w:rPr>
            </w:pPr>
          </w:p>
        </w:tc>
        <w:tc>
          <w:tcPr>
            <w:tcW w:w="0" w:type="auto"/>
            <w:tcBorders>
              <w:tl2br w:val="nil"/>
              <w:tr2bl w:val="nil"/>
            </w:tcBorders>
            <w:vAlign w:val="center"/>
          </w:tcPr>
          <w:p w14:paraId="63FAAFD6">
            <w:pPr>
              <w:adjustRightInd w:val="0"/>
              <w:jc w:val="center"/>
              <w:rPr>
                <w:color w:val="auto"/>
                <w:szCs w:val="21"/>
              </w:rPr>
            </w:pPr>
            <w:r>
              <w:rPr>
                <w:color w:val="auto"/>
                <w:szCs w:val="21"/>
              </w:rPr>
              <w:t>三有；湘</w:t>
            </w:r>
          </w:p>
        </w:tc>
        <w:tc>
          <w:tcPr>
            <w:tcW w:w="0" w:type="auto"/>
            <w:tcBorders>
              <w:tl2br w:val="nil"/>
              <w:tr2bl w:val="nil"/>
            </w:tcBorders>
            <w:vAlign w:val="center"/>
          </w:tcPr>
          <w:p w14:paraId="23389B22">
            <w:pPr>
              <w:adjustRightInd w:val="0"/>
              <w:jc w:val="center"/>
              <w:rPr>
                <w:color w:val="auto"/>
                <w:szCs w:val="21"/>
              </w:rPr>
            </w:pPr>
            <w:r>
              <w:rPr>
                <w:color w:val="auto"/>
                <w:szCs w:val="21"/>
              </w:rPr>
              <w:t>LC</w:t>
            </w:r>
          </w:p>
        </w:tc>
        <w:tc>
          <w:tcPr>
            <w:tcW w:w="0" w:type="auto"/>
            <w:tcBorders>
              <w:tl2br w:val="nil"/>
              <w:tr2bl w:val="nil"/>
            </w:tcBorders>
            <w:vAlign w:val="center"/>
          </w:tcPr>
          <w:p w14:paraId="4DA41A87">
            <w:pPr>
              <w:adjustRightInd w:val="0"/>
              <w:jc w:val="center"/>
              <w:rPr>
                <w:color w:val="auto"/>
                <w:szCs w:val="21"/>
              </w:rPr>
            </w:pPr>
            <w:r>
              <w:rPr>
                <w:color w:val="auto"/>
                <w:szCs w:val="21"/>
              </w:rPr>
              <w:t>K</w:t>
            </w:r>
          </w:p>
        </w:tc>
      </w:tr>
      <w:tr w14:paraId="71DA1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28E79C3">
            <w:pPr>
              <w:adjustRightInd w:val="0"/>
              <w:jc w:val="left"/>
              <w:rPr>
                <w:b/>
                <w:bCs/>
                <w:color w:val="auto"/>
                <w:szCs w:val="21"/>
              </w:rPr>
            </w:pPr>
            <w:r>
              <w:rPr>
                <w:b/>
                <w:bCs/>
                <w:color w:val="auto"/>
                <w:szCs w:val="21"/>
              </w:rPr>
              <w:t>Ⅱ 鹈形目 PELECANIFORMES</w:t>
            </w:r>
          </w:p>
        </w:tc>
        <w:tc>
          <w:tcPr>
            <w:tcW w:w="0" w:type="auto"/>
            <w:tcBorders>
              <w:tl2br w:val="nil"/>
              <w:tr2bl w:val="nil"/>
            </w:tcBorders>
            <w:vAlign w:val="center"/>
          </w:tcPr>
          <w:p w14:paraId="0EE220EF">
            <w:pPr>
              <w:adjustRightInd w:val="0"/>
              <w:jc w:val="center"/>
              <w:rPr>
                <w:color w:val="auto"/>
                <w:szCs w:val="21"/>
              </w:rPr>
            </w:pPr>
          </w:p>
        </w:tc>
        <w:tc>
          <w:tcPr>
            <w:tcW w:w="0" w:type="auto"/>
            <w:tcBorders>
              <w:tl2br w:val="nil"/>
              <w:tr2bl w:val="nil"/>
            </w:tcBorders>
            <w:vAlign w:val="center"/>
          </w:tcPr>
          <w:p w14:paraId="1416244E">
            <w:pPr>
              <w:adjustRightInd w:val="0"/>
              <w:jc w:val="center"/>
              <w:rPr>
                <w:color w:val="auto"/>
                <w:szCs w:val="21"/>
              </w:rPr>
            </w:pPr>
          </w:p>
        </w:tc>
        <w:tc>
          <w:tcPr>
            <w:tcW w:w="0" w:type="auto"/>
            <w:tcBorders>
              <w:tl2br w:val="nil"/>
              <w:tr2bl w:val="nil"/>
            </w:tcBorders>
            <w:vAlign w:val="center"/>
          </w:tcPr>
          <w:p w14:paraId="307B6FA5">
            <w:pPr>
              <w:adjustRightInd w:val="0"/>
              <w:jc w:val="center"/>
              <w:rPr>
                <w:color w:val="auto"/>
                <w:szCs w:val="21"/>
              </w:rPr>
            </w:pPr>
          </w:p>
        </w:tc>
        <w:tc>
          <w:tcPr>
            <w:tcW w:w="0" w:type="auto"/>
            <w:tcBorders>
              <w:tl2br w:val="nil"/>
              <w:tr2bl w:val="nil"/>
            </w:tcBorders>
            <w:vAlign w:val="center"/>
          </w:tcPr>
          <w:p w14:paraId="0A76E656">
            <w:pPr>
              <w:adjustRightInd w:val="0"/>
              <w:jc w:val="center"/>
              <w:rPr>
                <w:color w:val="auto"/>
                <w:szCs w:val="21"/>
              </w:rPr>
            </w:pPr>
          </w:p>
        </w:tc>
        <w:tc>
          <w:tcPr>
            <w:tcW w:w="0" w:type="auto"/>
            <w:tcBorders>
              <w:tl2br w:val="nil"/>
              <w:tr2bl w:val="nil"/>
            </w:tcBorders>
            <w:vAlign w:val="center"/>
          </w:tcPr>
          <w:p w14:paraId="0E6F191B">
            <w:pPr>
              <w:adjustRightInd w:val="0"/>
              <w:jc w:val="center"/>
              <w:rPr>
                <w:color w:val="auto"/>
                <w:szCs w:val="21"/>
              </w:rPr>
            </w:pPr>
          </w:p>
        </w:tc>
        <w:tc>
          <w:tcPr>
            <w:tcW w:w="0" w:type="auto"/>
            <w:tcBorders>
              <w:tl2br w:val="nil"/>
              <w:tr2bl w:val="nil"/>
            </w:tcBorders>
            <w:vAlign w:val="center"/>
          </w:tcPr>
          <w:p w14:paraId="5722EC8F">
            <w:pPr>
              <w:adjustRightInd w:val="0"/>
              <w:jc w:val="center"/>
              <w:rPr>
                <w:color w:val="auto"/>
                <w:szCs w:val="21"/>
              </w:rPr>
            </w:pPr>
          </w:p>
        </w:tc>
      </w:tr>
      <w:tr w14:paraId="38DEB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577C23C4">
            <w:pPr>
              <w:adjustRightInd w:val="0"/>
              <w:jc w:val="left"/>
              <w:rPr>
                <w:b/>
                <w:bCs/>
                <w:color w:val="auto"/>
                <w:szCs w:val="21"/>
              </w:rPr>
            </w:pPr>
            <w:r>
              <w:rPr>
                <w:b/>
                <w:bCs/>
                <w:color w:val="auto"/>
                <w:szCs w:val="21"/>
              </w:rPr>
              <w:t>（二）鸬鹚科 Phalacrocoracodae</w:t>
            </w:r>
          </w:p>
        </w:tc>
        <w:tc>
          <w:tcPr>
            <w:tcW w:w="0" w:type="auto"/>
            <w:tcBorders>
              <w:tl2br w:val="nil"/>
              <w:tr2bl w:val="nil"/>
            </w:tcBorders>
            <w:vAlign w:val="center"/>
          </w:tcPr>
          <w:p w14:paraId="5074EACC">
            <w:pPr>
              <w:adjustRightInd w:val="0"/>
              <w:jc w:val="center"/>
              <w:rPr>
                <w:color w:val="auto"/>
                <w:szCs w:val="21"/>
              </w:rPr>
            </w:pPr>
          </w:p>
        </w:tc>
        <w:tc>
          <w:tcPr>
            <w:tcW w:w="0" w:type="auto"/>
            <w:tcBorders>
              <w:tl2br w:val="nil"/>
              <w:tr2bl w:val="nil"/>
            </w:tcBorders>
            <w:vAlign w:val="center"/>
          </w:tcPr>
          <w:p w14:paraId="306070B9">
            <w:pPr>
              <w:adjustRightInd w:val="0"/>
              <w:jc w:val="center"/>
              <w:rPr>
                <w:color w:val="auto"/>
                <w:szCs w:val="21"/>
              </w:rPr>
            </w:pPr>
          </w:p>
        </w:tc>
        <w:tc>
          <w:tcPr>
            <w:tcW w:w="0" w:type="auto"/>
            <w:tcBorders>
              <w:tl2br w:val="nil"/>
              <w:tr2bl w:val="nil"/>
            </w:tcBorders>
            <w:vAlign w:val="center"/>
          </w:tcPr>
          <w:p w14:paraId="7ED13029">
            <w:pPr>
              <w:adjustRightInd w:val="0"/>
              <w:jc w:val="center"/>
              <w:rPr>
                <w:color w:val="auto"/>
                <w:szCs w:val="21"/>
              </w:rPr>
            </w:pPr>
          </w:p>
        </w:tc>
        <w:tc>
          <w:tcPr>
            <w:tcW w:w="0" w:type="auto"/>
            <w:tcBorders>
              <w:tl2br w:val="nil"/>
              <w:tr2bl w:val="nil"/>
            </w:tcBorders>
            <w:vAlign w:val="center"/>
          </w:tcPr>
          <w:p w14:paraId="3A31959F">
            <w:pPr>
              <w:adjustRightInd w:val="0"/>
              <w:jc w:val="center"/>
              <w:rPr>
                <w:color w:val="auto"/>
                <w:szCs w:val="21"/>
              </w:rPr>
            </w:pPr>
          </w:p>
        </w:tc>
        <w:tc>
          <w:tcPr>
            <w:tcW w:w="0" w:type="auto"/>
            <w:tcBorders>
              <w:tl2br w:val="nil"/>
              <w:tr2bl w:val="nil"/>
            </w:tcBorders>
            <w:vAlign w:val="center"/>
          </w:tcPr>
          <w:p w14:paraId="1B45D100">
            <w:pPr>
              <w:adjustRightInd w:val="0"/>
              <w:jc w:val="center"/>
              <w:rPr>
                <w:color w:val="auto"/>
                <w:szCs w:val="21"/>
              </w:rPr>
            </w:pPr>
          </w:p>
        </w:tc>
        <w:tc>
          <w:tcPr>
            <w:tcW w:w="0" w:type="auto"/>
            <w:tcBorders>
              <w:tl2br w:val="nil"/>
              <w:tr2bl w:val="nil"/>
            </w:tcBorders>
            <w:vAlign w:val="center"/>
          </w:tcPr>
          <w:p w14:paraId="606FB77A">
            <w:pPr>
              <w:adjustRightInd w:val="0"/>
              <w:jc w:val="center"/>
              <w:rPr>
                <w:color w:val="auto"/>
                <w:szCs w:val="21"/>
              </w:rPr>
            </w:pPr>
          </w:p>
        </w:tc>
      </w:tr>
      <w:tr w14:paraId="68D1F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26A9B18">
            <w:pPr>
              <w:adjustRightInd w:val="0"/>
              <w:jc w:val="left"/>
              <w:rPr>
                <w:color w:val="auto"/>
                <w:szCs w:val="21"/>
              </w:rPr>
            </w:pPr>
            <w:r>
              <w:rPr>
                <w:color w:val="auto"/>
                <w:szCs w:val="21"/>
              </w:rPr>
              <w:t xml:space="preserve">3 普通鸬鹚 </w:t>
            </w:r>
            <w:r>
              <w:rPr>
                <w:i/>
                <w:iCs/>
                <w:color w:val="auto"/>
                <w:szCs w:val="21"/>
              </w:rPr>
              <w:t>Phalacrocorax carbo</w:t>
            </w:r>
          </w:p>
        </w:tc>
        <w:tc>
          <w:tcPr>
            <w:tcW w:w="0" w:type="auto"/>
            <w:tcBorders>
              <w:tl2br w:val="nil"/>
              <w:tr2bl w:val="nil"/>
            </w:tcBorders>
            <w:vAlign w:val="center"/>
          </w:tcPr>
          <w:p w14:paraId="5ECCDC3B">
            <w:pPr>
              <w:adjustRightInd w:val="0"/>
              <w:jc w:val="center"/>
              <w:rPr>
                <w:color w:val="auto"/>
                <w:szCs w:val="21"/>
              </w:rPr>
            </w:pPr>
            <w:r>
              <w:rPr>
                <w:color w:val="auto"/>
                <w:szCs w:val="21"/>
              </w:rPr>
              <w:t>W</w:t>
            </w:r>
          </w:p>
        </w:tc>
        <w:tc>
          <w:tcPr>
            <w:tcW w:w="0" w:type="auto"/>
            <w:tcBorders>
              <w:tl2br w:val="nil"/>
              <w:tr2bl w:val="nil"/>
            </w:tcBorders>
            <w:vAlign w:val="center"/>
          </w:tcPr>
          <w:p w14:paraId="7429AE94">
            <w:pPr>
              <w:adjustRightInd w:val="0"/>
              <w:jc w:val="center"/>
              <w:rPr>
                <w:color w:val="auto"/>
                <w:szCs w:val="21"/>
              </w:rPr>
            </w:pPr>
            <w:r>
              <w:rPr>
                <w:color w:val="auto"/>
                <w:szCs w:val="21"/>
              </w:rPr>
              <w:t>O</w:t>
            </w:r>
          </w:p>
        </w:tc>
        <w:tc>
          <w:tcPr>
            <w:tcW w:w="0" w:type="auto"/>
            <w:tcBorders>
              <w:tl2br w:val="nil"/>
              <w:tr2bl w:val="nil"/>
            </w:tcBorders>
            <w:vAlign w:val="center"/>
          </w:tcPr>
          <w:p w14:paraId="7E1B5A39">
            <w:pPr>
              <w:adjustRightInd w:val="0"/>
              <w:jc w:val="center"/>
              <w:rPr>
                <w:color w:val="auto"/>
                <w:szCs w:val="21"/>
              </w:rPr>
            </w:pPr>
          </w:p>
        </w:tc>
        <w:tc>
          <w:tcPr>
            <w:tcW w:w="0" w:type="auto"/>
            <w:tcBorders>
              <w:tl2br w:val="nil"/>
              <w:tr2bl w:val="nil"/>
            </w:tcBorders>
            <w:vAlign w:val="center"/>
          </w:tcPr>
          <w:p w14:paraId="7A6143A6">
            <w:pPr>
              <w:adjustRightInd w:val="0"/>
              <w:jc w:val="center"/>
              <w:rPr>
                <w:color w:val="auto"/>
                <w:szCs w:val="21"/>
              </w:rPr>
            </w:pPr>
            <w:r>
              <w:rPr>
                <w:color w:val="auto"/>
                <w:szCs w:val="21"/>
              </w:rPr>
              <w:t>三有；湘</w:t>
            </w:r>
          </w:p>
        </w:tc>
        <w:tc>
          <w:tcPr>
            <w:tcW w:w="0" w:type="auto"/>
            <w:tcBorders>
              <w:tl2br w:val="nil"/>
              <w:tr2bl w:val="nil"/>
            </w:tcBorders>
            <w:vAlign w:val="center"/>
          </w:tcPr>
          <w:p w14:paraId="006D3CC2">
            <w:pPr>
              <w:adjustRightInd w:val="0"/>
              <w:jc w:val="center"/>
              <w:rPr>
                <w:color w:val="auto"/>
                <w:szCs w:val="21"/>
              </w:rPr>
            </w:pPr>
            <w:r>
              <w:rPr>
                <w:color w:val="auto"/>
                <w:szCs w:val="21"/>
              </w:rPr>
              <w:t>LC</w:t>
            </w:r>
          </w:p>
        </w:tc>
        <w:tc>
          <w:tcPr>
            <w:tcW w:w="0" w:type="auto"/>
            <w:tcBorders>
              <w:tl2br w:val="nil"/>
              <w:tr2bl w:val="nil"/>
            </w:tcBorders>
            <w:vAlign w:val="center"/>
          </w:tcPr>
          <w:p w14:paraId="79C07EEB">
            <w:pPr>
              <w:adjustRightInd w:val="0"/>
              <w:jc w:val="center"/>
              <w:rPr>
                <w:color w:val="auto"/>
                <w:szCs w:val="21"/>
              </w:rPr>
            </w:pPr>
            <w:r>
              <w:rPr>
                <w:color w:val="auto"/>
                <w:szCs w:val="21"/>
              </w:rPr>
              <w:t>K</w:t>
            </w:r>
          </w:p>
        </w:tc>
      </w:tr>
      <w:tr w14:paraId="1BA39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58F744C3">
            <w:pPr>
              <w:adjustRightInd w:val="0"/>
              <w:jc w:val="left"/>
              <w:rPr>
                <w:b/>
                <w:bCs/>
                <w:color w:val="auto"/>
                <w:szCs w:val="21"/>
              </w:rPr>
            </w:pPr>
            <w:r>
              <w:rPr>
                <w:b/>
                <w:bCs/>
                <w:color w:val="auto"/>
                <w:szCs w:val="21"/>
              </w:rPr>
              <w:t>Ⅲ 鹳形目 CICONIIFORMES</w:t>
            </w:r>
          </w:p>
        </w:tc>
        <w:tc>
          <w:tcPr>
            <w:tcW w:w="0" w:type="auto"/>
            <w:tcBorders>
              <w:tl2br w:val="nil"/>
              <w:tr2bl w:val="nil"/>
            </w:tcBorders>
            <w:vAlign w:val="center"/>
          </w:tcPr>
          <w:p w14:paraId="2115CDF3">
            <w:pPr>
              <w:adjustRightInd w:val="0"/>
              <w:jc w:val="center"/>
              <w:rPr>
                <w:color w:val="auto"/>
                <w:szCs w:val="21"/>
              </w:rPr>
            </w:pPr>
          </w:p>
        </w:tc>
        <w:tc>
          <w:tcPr>
            <w:tcW w:w="0" w:type="auto"/>
            <w:tcBorders>
              <w:tl2br w:val="nil"/>
              <w:tr2bl w:val="nil"/>
            </w:tcBorders>
            <w:vAlign w:val="center"/>
          </w:tcPr>
          <w:p w14:paraId="5C8AA656">
            <w:pPr>
              <w:adjustRightInd w:val="0"/>
              <w:jc w:val="center"/>
              <w:rPr>
                <w:color w:val="auto"/>
                <w:szCs w:val="21"/>
              </w:rPr>
            </w:pPr>
          </w:p>
        </w:tc>
        <w:tc>
          <w:tcPr>
            <w:tcW w:w="0" w:type="auto"/>
            <w:tcBorders>
              <w:tl2br w:val="nil"/>
              <w:tr2bl w:val="nil"/>
            </w:tcBorders>
            <w:vAlign w:val="center"/>
          </w:tcPr>
          <w:p w14:paraId="4E1C20E3">
            <w:pPr>
              <w:adjustRightInd w:val="0"/>
              <w:jc w:val="center"/>
              <w:rPr>
                <w:color w:val="auto"/>
                <w:szCs w:val="21"/>
              </w:rPr>
            </w:pPr>
          </w:p>
        </w:tc>
        <w:tc>
          <w:tcPr>
            <w:tcW w:w="0" w:type="auto"/>
            <w:tcBorders>
              <w:tl2br w:val="nil"/>
              <w:tr2bl w:val="nil"/>
            </w:tcBorders>
            <w:vAlign w:val="center"/>
          </w:tcPr>
          <w:p w14:paraId="282670AB">
            <w:pPr>
              <w:adjustRightInd w:val="0"/>
              <w:jc w:val="center"/>
              <w:rPr>
                <w:color w:val="auto"/>
                <w:szCs w:val="21"/>
              </w:rPr>
            </w:pPr>
          </w:p>
        </w:tc>
        <w:tc>
          <w:tcPr>
            <w:tcW w:w="0" w:type="auto"/>
            <w:tcBorders>
              <w:tl2br w:val="nil"/>
              <w:tr2bl w:val="nil"/>
            </w:tcBorders>
            <w:vAlign w:val="center"/>
          </w:tcPr>
          <w:p w14:paraId="65BD1F8B">
            <w:pPr>
              <w:adjustRightInd w:val="0"/>
              <w:jc w:val="center"/>
              <w:rPr>
                <w:color w:val="auto"/>
                <w:szCs w:val="21"/>
              </w:rPr>
            </w:pPr>
          </w:p>
        </w:tc>
        <w:tc>
          <w:tcPr>
            <w:tcW w:w="0" w:type="auto"/>
            <w:tcBorders>
              <w:tl2br w:val="nil"/>
              <w:tr2bl w:val="nil"/>
            </w:tcBorders>
            <w:vAlign w:val="center"/>
          </w:tcPr>
          <w:p w14:paraId="23700604">
            <w:pPr>
              <w:adjustRightInd w:val="0"/>
              <w:jc w:val="center"/>
              <w:rPr>
                <w:color w:val="auto"/>
                <w:szCs w:val="21"/>
              </w:rPr>
            </w:pPr>
          </w:p>
        </w:tc>
      </w:tr>
      <w:tr w14:paraId="27DD8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EF9B138">
            <w:pPr>
              <w:adjustRightInd w:val="0"/>
              <w:jc w:val="left"/>
              <w:rPr>
                <w:b/>
                <w:bCs/>
                <w:color w:val="auto"/>
                <w:szCs w:val="21"/>
              </w:rPr>
            </w:pPr>
            <w:r>
              <w:rPr>
                <w:b/>
                <w:bCs/>
                <w:color w:val="auto"/>
                <w:szCs w:val="21"/>
              </w:rPr>
              <w:t>（三）鹭科 Ardeidae</w:t>
            </w:r>
          </w:p>
        </w:tc>
        <w:tc>
          <w:tcPr>
            <w:tcW w:w="0" w:type="auto"/>
            <w:tcBorders>
              <w:tl2br w:val="nil"/>
              <w:tr2bl w:val="nil"/>
            </w:tcBorders>
            <w:vAlign w:val="center"/>
          </w:tcPr>
          <w:p w14:paraId="7C109A3D">
            <w:pPr>
              <w:adjustRightInd w:val="0"/>
              <w:jc w:val="center"/>
              <w:rPr>
                <w:color w:val="auto"/>
                <w:szCs w:val="21"/>
              </w:rPr>
            </w:pPr>
          </w:p>
        </w:tc>
        <w:tc>
          <w:tcPr>
            <w:tcW w:w="0" w:type="auto"/>
            <w:tcBorders>
              <w:tl2br w:val="nil"/>
              <w:tr2bl w:val="nil"/>
            </w:tcBorders>
            <w:vAlign w:val="center"/>
          </w:tcPr>
          <w:p w14:paraId="23FA21C1">
            <w:pPr>
              <w:adjustRightInd w:val="0"/>
              <w:jc w:val="center"/>
              <w:rPr>
                <w:color w:val="auto"/>
                <w:szCs w:val="21"/>
              </w:rPr>
            </w:pPr>
          </w:p>
        </w:tc>
        <w:tc>
          <w:tcPr>
            <w:tcW w:w="0" w:type="auto"/>
            <w:tcBorders>
              <w:tl2br w:val="nil"/>
              <w:tr2bl w:val="nil"/>
            </w:tcBorders>
            <w:vAlign w:val="center"/>
          </w:tcPr>
          <w:p w14:paraId="4DEDABE0">
            <w:pPr>
              <w:adjustRightInd w:val="0"/>
              <w:jc w:val="center"/>
              <w:rPr>
                <w:color w:val="auto"/>
                <w:szCs w:val="21"/>
              </w:rPr>
            </w:pPr>
          </w:p>
        </w:tc>
        <w:tc>
          <w:tcPr>
            <w:tcW w:w="0" w:type="auto"/>
            <w:tcBorders>
              <w:tl2br w:val="nil"/>
              <w:tr2bl w:val="nil"/>
            </w:tcBorders>
            <w:vAlign w:val="center"/>
          </w:tcPr>
          <w:p w14:paraId="31E78425">
            <w:pPr>
              <w:adjustRightInd w:val="0"/>
              <w:jc w:val="center"/>
              <w:rPr>
                <w:color w:val="auto"/>
                <w:szCs w:val="21"/>
              </w:rPr>
            </w:pPr>
          </w:p>
        </w:tc>
        <w:tc>
          <w:tcPr>
            <w:tcW w:w="0" w:type="auto"/>
            <w:tcBorders>
              <w:tl2br w:val="nil"/>
              <w:tr2bl w:val="nil"/>
            </w:tcBorders>
            <w:vAlign w:val="center"/>
          </w:tcPr>
          <w:p w14:paraId="19C55C21">
            <w:pPr>
              <w:adjustRightInd w:val="0"/>
              <w:jc w:val="center"/>
              <w:rPr>
                <w:color w:val="auto"/>
                <w:szCs w:val="21"/>
              </w:rPr>
            </w:pPr>
          </w:p>
        </w:tc>
        <w:tc>
          <w:tcPr>
            <w:tcW w:w="0" w:type="auto"/>
            <w:tcBorders>
              <w:tl2br w:val="nil"/>
              <w:tr2bl w:val="nil"/>
            </w:tcBorders>
            <w:vAlign w:val="center"/>
          </w:tcPr>
          <w:p w14:paraId="436C2BEA">
            <w:pPr>
              <w:adjustRightInd w:val="0"/>
              <w:jc w:val="center"/>
              <w:rPr>
                <w:color w:val="auto"/>
                <w:szCs w:val="21"/>
              </w:rPr>
            </w:pPr>
          </w:p>
        </w:tc>
      </w:tr>
      <w:tr w14:paraId="5719B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787421B5">
            <w:pPr>
              <w:adjustRightInd w:val="0"/>
              <w:jc w:val="left"/>
              <w:rPr>
                <w:color w:val="auto"/>
                <w:szCs w:val="21"/>
              </w:rPr>
            </w:pPr>
            <w:r>
              <w:rPr>
                <w:color w:val="auto"/>
                <w:szCs w:val="21"/>
              </w:rPr>
              <w:t xml:space="preserve">4 白鹭 </w:t>
            </w:r>
            <w:r>
              <w:rPr>
                <w:i/>
                <w:iCs/>
                <w:color w:val="auto"/>
                <w:szCs w:val="21"/>
              </w:rPr>
              <w:t>Egretta garzetta</w:t>
            </w:r>
          </w:p>
        </w:tc>
        <w:tc>
          <w:tcPr>
            <w:tcW w:w="0" w:type="auto"/>
            <w:tcBorders>
              <w:tl2br w:val="nil"/>
              <w:tr2bl w:val="nil"/>
            </w:tcBorders>
            <w:vAlign w:val="center"/>
          </w:tcPr>
          <w:p w14:paraId="1A3E2281">
            <w:pPr>
              <w:adjustRightInd w:val="0"/>
              <w:jc w:val="center"/>
              <w:rPr>
                <w:color w:val="auto"/>
                <w:szCs w:val="21"/>
              </w:rPr>
            </w:pPr>
            <w:r>
              <w:rPr>
                <w:color w:val="auto"/>
                <w:szCs w:val="21"/>
              </w:rPr>
              <w:t>S</w:t>
            </w:r>
          </w:p>
        </w:tc>
        <w:tc>
          <w:tcPr>
            <w:tcW w:w="0" w:type="auto"/>
            <w:tcBorders>
              <w:tl2br w:val="nil"/>
              <w:tr2bl w:val="nil"/>
            </w:tcBorders>
            <w:vAlign w:val="center"/>
          </w:tcPr>
          <w:p w14:paraId="5CBE6B2E">
            <w:pPr>
              <w:adjustRightInd w:val="0"/>
              <w:jc w:val="center"/>
              <w:rPr>
                <w:color w:val="auto"/>
                <w:szCs w:val="21"/>
              </w:rPr>
            </w:pPr>
            <w:r>
              <w:rPr>
                <w:color w:val="auto"/>
                <w:szCs w:val="21"/>
              </w:rPr>
              <w:t>O</w:t>
            </w:r>
          </w:p>
        </w:tc>
        <w:tc>
          <w:tcPr>
            <w:tcW w:w="0" w:type="auto"/>
            <w:tcBorders>
              <w:tl2br w:val="nil"/>
              <w:tr2bl w:val="nil"/>
            </w:tcBorders>
            <w:vAlign w:val="center"/>
          </w:tcPr>
          <w:p w14:paraId="1022A605">
            <w:pPr>
              <w:adjustRightInd w:val="0"/>
              <w:jc w:val="center"/>
              <w:rPr>
                <w:color w:val="auto"/>
                <w:szCs w:val="21"/>
              </w:rPr>
            </w:pPr>
          </w:p>
        </w:tc>
        <w:tc>
          <w:tcPr>
            <w:tcW w:w="0" w:type="auto"/>
            <w:tcBorders>
              <w:tl2br w:val="nil"/>
              <w:tr2bl w:val="nil"/>
            </w:tcBorders>
            <w:vAlign w:val="center"/>
          </w:tcPr>
          <w:p w14:paraId="1C47CD48">
            <w:pPr>
              <w:adjustRightInd w:val="0"/>
              <w:jc w:val="center"/>
              <w:rPr>
                <w:color w:val="auto"/>
                <w:szCs w:val="21"/>
              </w:rPr>
            </w:pPr>
            <w:r>
              <w:rPr>
                <w:color w:val="auto"/>
                <w:szCs w:val="21"/>
              </w:rPr>
              <w:t>三有；湘</w:t>
            </w:r>
          </w:p>
        </w:tc>
        <w:tc>
          <w:tcPr>
            <w:tcW w:w="0" w:type="auto"/>
            <w:tcBorders>
              <w:tl2br w:val="nil"/>
              <w:tr2bl w:val="nil"/>
            </w:tcBorders>
            <w:vAlign w:val="center"/>
          </w:tcPr>
          <w:p w14:paraId="099B173B">
            <w:pPr>
              <w:adjustRightInd w:val="0"/>
              <w:jc w:val="center"/>
              <w:rPr>
                <w:color w:val="auto"/>
                <w:szCs w:val="21"/>
              </w:rPr>
            </w:pPr>
            <w:r>
              <w:rPr>
                <w:color w:val="auto"/>
                <w:szCs w:val="21"/>
              </w:rPr>
              <w:t>LC</w:t>
            </w:r>
          </w:p>
        </w:tc>
        <w:tc>
          <w:tcPr>
            <w:tcW w:w="0" w:type="auto"/>
            <w:tcBorders>
              <w:tl2br w:val="nil"/>
              <w:tr2bl w:val="nil"/>
            </w:tcBorders>
            <w:vAlign w:val="center"/>
          </w:tcPr>
          <w:p w14:paraId="1DD6DE45">
            <w:pPr>
              <w:adjustRightInd w:val="0"/>
              <w:jc w:val="center"/>
              <w:rPr>
                <w:color w:val="auto"/>
                <w:szCs w:val="21"/>
              </w:rPr>
            </w:pPr>
            <w:r>
              <w:rPr>
                <w:color w:val="auto"/>
                <w:szCs w:val="21"/>
              </w:rPr>
              <w:t>K</w:t>
            </w:r>
          </w:p>
        </w:tc>
      </w:tr>
      <w:tr w14:paraId="3FBE7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114E4F9">
            <w:pPr>
              <w:adjustRightInd w:val="0"/>
              <w:jc w:val="left"/>
              <w:rPr>
                <w:color w:val="auto"/>
                <w:szCs w:val="21"/>
              </w:rPr>
            </w:pPr>
            <w:r>
              <w:rPr>
                <w:color w:val="auto"/>
                <w:szCs w:val="21"/>
              </w:rPr>
              <w:t xml:space="preserve">5 池鹭 </w:t>
            </w:r>
            <w:r>
              <w:rPr>
                <w:i/>
                <w:iCs/>
                <w:color w:val="auto"/>
                <w:szCs w:val="21"/>
              </w:rPr>
              <w:t>Ardeola bacchus</w:t>
            </w:r>
          </w:p>
        </w:tc>
        <w:tc>
          <w:tcPr>
            <w:tcW w:w="0" w:type="auto"/>
            <w:tcBorders>
              <w:tl2br w:val="nil"/>
              <w:tr2bl w:val="nil"/>
            </w:tcBorders>
            <w:vAlign w:val="center"/>
          </w:tcPr>
          <w:p w14:paraId="69A0CC77">
            <w:pPr>
              <w:adjustRightInd w:val="0"/>
              <w:jc w:val="center"/>
              <w:rPr>
                <w:color w:val="auto"/>
                <w:szCs w:val="21"/>
              </w:rPr>
            </w:pPr>
            <w:r>
              <w:rPr>
                <w:color w:val="auto"/>
                <w:szCs w:val="21"/>
              </w:rPr>
              <w:t>S</w:t>
            </w:r>
          </w:p>
        </w:tc>
        <w:tc>
          <w:tcPr>
            <w:tcW w:w="0" w:type="auto"/>
            <w:tcBorders>
              <w:tl2br w:val="nil"/>
              <w:tr2bl w:val="nil"/>
            </w:tcBorders>
            <w:vAlign w:val="center"/>
          </w:tcPr>
          <w:p w14:paraId="58D0F148">
            <w:pPr>
              <w:adjustRightInd w:val="0"/>
              <w:jc w:val="center"/>
              <w:rPr>
                <w:color w:val="auto"/>
                <w:szCs w:val="21"/>
              </w:rPr>
            </w:pPr>
            <w:r>
              <w:rPr>
                <w:color w:val="auto"/>
                <w:szCs w:val="21"/>
              </w:rPr>
              <w:t>O</w:t>
            </w:r>
          </w:p>
        </w:tc>
        <w:tc>
          <w:tcPr>
            <w:tcW w:w="0" w:type="auto"/>
            <w:tcBorders>
              <w:tl2br w:val="nil"/>
              <w:tr2bl w:val="nil"/>
            </w:tcBorders>
            <w:vAlign w:val="center"/>
          </w:tcPr>
          <w:p w14:paraId="62C54141">
            <w:pPr>
              <w:adjustRightInd w:val="0"/>
              <w:jc w:val="center"/>
              <w:rPr>
                <w:color w:val="auto"/>
                <w:szCs w:val="21"/>
              </w:rPr>
            </w:pPr>
          </w:p>
        </w:tc>
        <w:tc>
          <w:tcPr>
            <w:tcW w:w="0" w:type="auto"/>
            <w:tcBorders>
              <w:tl2br w:val="nil"/>
              <w:tr2bl w:val="nil"/>
            </w:tcBorders>
            <w:vAlign w:val="center"/>
          </w:tcPr>
          <w:p w14:paraId="44653C3F">
            <w:pPr>
              <w:adjustRightInd w:val="0"/>
              <w:jc w:val="center"/>
              <w:rPr>
                <w:color w:val="auto"/>
                <w:szCs w:val="21"/>
              </w:rPr>
            </w:pPr>
            <w:r>
              <w:rPr>
                <w:color w:val="auto"/>
                <w:szCs w:val="21"/>
              </w:rPr>
              <w:t>三有；湘</w:t>
            </w:r>
          </w:p>
        </w:tc>
        <w:tc>
          <w:tcPr>
            <w:tcW w:w="0" w:type="auto"/>
            <w:tcBorders>
              <w:tl2br w:val="nil"/>
              <w:tr2bl w:val="nil"/>
            </w:tcBorders>
            <w:vAlign w:val="center"/>
          </w:tcPr>
          <w:p w14:paraId="7AC50A5C">
            <w:pPr>
              <w:adjustRightInd w:val="0"/>
              <w:jc w:val="center"/>
              <w:rPr>
                <w:color w:val="auto"/>
                <w:szCs w:val="21"/>
              </w:rPr>
            </w:pPr>
            <w:r>
              <w:rPr>
                <w:color w:val="auto"/>
                <w:szCs w:val="21"/>
              </w:rPr>
              <w:t>LC</w:t>
            </w:r>
          </w:p>
        </w:tc>
        <w:tc>
          <w:tcPr>
            <w:tcW w:w="0" w:type="auto"/>
            <w:tcBorders>
              <w:tl2br w:val="nil"/>
              <w:tr2bl w:val="nil"/>
            </w:tcBorders>
            <w:vAlign w:val="center"/>
          </w:tcPr>
          <w:p w14:paraId="742B6494">
            <w:pPr>
              <w:adjustRightInd w:val="0"/>
              <w:jc w:val="center"/>
              <w:rPr>
                <w:color w:val="auto"/>
                <w:szCs w:val="21"/>
              </w:rPr>
            </w:pPr>
            <w:r>
              <w:rPr>
                <w:color w:val="auto"/>
                <w:szCs w:val="21"/>
              </w:rPr>
              <w:t>K</w:t>
            </w:r>
          </w:p>
        </w:tc>
      </w:tr>
      <w:tr w14:paraId="66713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8E92BBA">
            <w:pPr>
              <w:adjustRightInd w:val="0"/>
              <w:jc w:val="left"/>
              <w:rPr>
                <w:color w:val="auto"/>
                <w:szCs w:val="21"/>
              </w:rPr>
            </w:pPr>
            <w:r>
              <w:rPr>
                <w:color w:val="auto"/>
                <w:szCs w:val="21"/>
              </w:rPr>
              <w:t>6 大白鹭</w:t>
            </w:r>
            <w:r>
              <w:rPr>
                <w:i/>
                <w:iCs/>
                <w:color w:val="auto"/>
                <w:szCs w:val="21"/>
              </w:rPr>
              <w:t xml:space="preserve"> Ardea alba</w:t>
            </w:r>
          </w:p>
        </w:tc>
        <w:tc>
          <w:tcPr>
            <w:tcW w:w="0" w:type="auto"/>
            <w:tcBorders>
              <w:tl2br w:val="nil"/>
              <w:tr2bl w:val="nil"/>
            </w:tcBorders>
            <w:vAlign w:val="center"/>
          </w:tcPr>
          <w:p w14:paraId="743F2C6C">
            <w:pPr>
              <w:adjustRightInd w:val="0"/>
              <w:jc w:val="center"/>
              <w:rPr>
                <w:color w:val="auto"/>
                <w:szCs w:val="21"/>
              </w:rPr>
            </w:pPr>
            <w:r>
              <w:rPr>
                <w:color w:val="auto"/>
                <w:szCs w:val="21"/>
              </w:rPr>
              <w:t>S</w:t>
            </w:r>
          </w:p>
        </w:tc>
        <w:tc>
          <w:tcPr>
            <w:tcW w:w="0" w:type="auto"/>
            <w:tcBorders>
              <w:tl2br w:val="nil"/>
              <w:tr2bl w:val="nil"/>
            </w:tcBorders>
            <w:vAlign w:val="center"/>
          </w:tcPr>
          <w:p w14:paraId="369831BB">
            <w:pPr>
              <w:adjustRightInd w:val="0"/>
              <w:jc w:val="center"/>
              <w:rPr>
                <w:color w:val="auto"/>
                <w:szCs w:val="21"/>
              </w:rPr>
            </w:pPr>
            <w:r>
              <w:rPr>
                <w:color w:val="auto"/>
                <w:szCs w:val="21"/>
              </w:rPr>
              <w:t>O</w:t>
            </w:r>
          </w:p>
        </w:tc>
        <w:tc>
          <w:tcPr>
            <w:tcW w:w="0" w:type="auto"/>
            <w:tcBorders>
              <w:tl2br w:val="nil"/>
              <w:tr2bl w:val="nil"/>
            </w:tcBorders>
            <w:vAlign w:val="center"/>
          </w:tcPr>
          <w:p w14:paraId="07B8AE93">
            <w:pPr>
              <w:adjustRightInd w:val="0"/>
              <w:jc w:val="center"/>
              <w:rPr>
                <w:color w:val="auto"/>
                <w:szCs w:val="21"/>
              </w:rPr>
            </w:pPr>
          </w:p>
        </w:tc>
        <w:tc>
          <w:tcPr>
            <w:tcW w:w="0" w:type="auto"/>
            <w:tcBorders>
              <w:tl2br w:val="nil"/>
              <w:tr2bl w:val="nil"/>
            </w:tcBorders>
            <w:vAlign w:val="center"/>
          </w:tcPr>
          <w:p w14:paraId="530DF67F">
            <w:pPr>
              <w:adjustRightInd w:val="0"/>
              <w:jc w:val="center"/>
              <w:rPr>
                <w:color w:val="auto"/>
                <w:szCs w:val="21"/>
              </w:rPr>
            </w:pPr>
            <w:r>
              <w:rPr>
                <w:color w:val="auto"/>
                <w:szCs w:val="21"/>
              </w:rPr>
              <w:t>三有；湘</w:t>
            </w:r>
          </w:p>
        </w:tc>
        <w:tc>
          <w:tcPr>
            <w:tcW w:w="0" w:type="auto"/>
            <w:tcBorders>
              <w:tl2br w:val="nil"/>
              <w:tr2bl w:val="nil"/>
            </w:tcBorders>
            <w:vAlign w:val="center"/>
          </w:tcPr>
          <w:p w14:paraId="59B64FB6">
            <w:pPr>
              <w:adjustRightInd w:val="0"/>
              <w:jc w:val="center"/>
              <w:rPr>
                <w:color w:val="auto"/>
                <w:szCs w:val="21"/>
              </w:rPr>
            </w:pPr>
            <w:r>
              <w:rPr>
                <w:color w:val="auto"/>
                <w:szCs w:val="21"/>
              </w:rPr>
              <w:t>LC</w:t>
            </w:r>
          </w:p>
        </w:tc>
        <w:tc>
          <w:tcPr>
            <w:tcW w:w="0" w:type="auto"/>
            <w:tcBorders>
              <w:tl2br w:val="nil"/>
              <w:tr2bl w:val="nil"/>
            </w:tcBorders>
            <w:vAlign w:val="center"/>
          </w:tcPr>
          <w:p w14:paraId="421CD055">
            <w:pPr>
              <w:adjustRightInd w:val="0"/>
              <w:jc w:val="center"/>
              <w:rPr>
                <w:color w:val="auto"/>
                <w:szCs w:val="21"/>
              </w:rPr>
            </w:pPr>
            <w:r>
              <w:rPr>
                <w:color w:val="auto"/>
                <w:szCs w:val="21"/>
              </w:rPr>
              <w:t>K</w:t>
            </w:r>
          </w:p>
        </w:tc>
      </w:tr>
      <w:tr w14:paraId="5E39A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05F9611">
            <w:pPr>
              <w:adjustRightInd w:val="0"/>
              <w:jc w:val="left"/>
              <w:rPr>
                <w:color w:val="auto"/>
                <w:szCs w:val="21"/>
              </w:rPr>
            </w:pPr>
            <w:r>
              <w:rPr>
                <w:color w:val="auto"/>
                <w:szCs w:val="21"/>
              </w:rPr>
              <w:t xml:space="preserve">7 中白鹭 </w:t>
            </w:r>
            <w:r>
              <w:rPr>
                <w:i/>
                <w:iCs/>
                <w:color w:val="auto"/>
                <w:szCs w:val="21"/>
              </w:rPr>
              <w:t>Egretta intermedia</w:t>
            </w:r>
          </w:p>
        </w:tc>
        <w:tc>
          <w:tcPr>
            <w:tcW w:w="0" w:type="auto"/>
            <w:tcBorders>
              <w:tl2br w:val="nil"/>
              <w:tr2bl w:val="nil"/>
            </w:tcBorders>
            <w:vAlign w:val="center"/>
          </w:tcPr>
          <w:p w14:paraId="0E0CCB4B">
            <w:pPr>
              <w:adjustRightInd w:val="0"/>
              <w:jc w:val="center"/>
              <w:rPr>
                <w:color w:val="auto"/>
                <w:szCs w:val="21"/>
              </w:rPr>
            </w:pPr>
            <w:r>
              <w:rPr>
                <w:color w:val="auto"/>
                <w:szCs w:val="21"/>
              </w:rPr>
              <w:t>S</w:t>
            </w:r>
          </w:p>
        </w:tc>
        <w:tc>
          <w:tcPr>
            <w:tcW w:w="0" w:type="auto"/>
            <w:tcBorders>
              <w:tl2br w:val="nil"/>
              <w:tr2bl w:val="nil"/>
            </w:tcBorders>
            <w:vAlign w:val="center"/>
          </w:tcPr>
          <w:p w14:paraId="1BDFA9CE">
            <w:pPr>
              <w:adjustRightInd w:val="0"/>
              <w:jc w:val="center"/>
              <w:rPr>
                <w:color w:val="auto"/>
                <w:szCs w:val="21"/>
              </w:rPr>
            </w:pPr>
            <w:r>
              <w:rPr>
                <w:color w:val="auto"/>
                <w:szCs w:val="21"/>
              </w:rPr>
              <w:t>O</w:t>
            </w:r>
          </w:p>
        </w:tc>
        <w:tc>
          <w:tcPr>
            <w:tcW w:w="0" w:type="auto"/>
            <w:tcBorders>
              <w:tl2br w:val="nil"/>
              <w:tr2bl w:val="nil"/>
            </w:tcBorders>
            <w:vAlign w:val="center"/>
          </w:tcPr>
          <w:p w14:paraId="6E820818">
            <w:pPr>
              <w:adjustRightInd w:val="0"/>
              <w:jc w:val="center"/>
              <w:rPr>
                <w:color w:val="auto"/>
                <w:szCs w:val="21"/>
              </w:rPr>
            </w:pPr>
          </w:p>
        </w:tc>
        <w:tc>
          <w:tcPr>
            <w:tcW w:w="0" w:type="auto"/>
            <w:tcBorders>
              <w:tl2br w:val="nil"/>
              <w:tr2bl w:val="nil"/>
            </w:tcBorders>
            <w:vAlign w:val="center"/>
          </w:tcPr>
          <w:p w14:paraId="0D7D6CC5">
            <w:pPr>
              <w:adjustRightInd w:val="0"/>
              <w:jc w:val="center"/>
              <w:rPr>
                <w:color w:val="auto"/>
                <w:szCs w:val="21"/>
              </w:rPr>
            </w:pPr>
            <w:r>
              <w:rPr>
                <w:color w:val="auto"/>
                <w:szCs w:val="21"/>
              </w:rPr>
              <w:t>三有；湘</w:t>
            </w:r>
          </w:p>
        </w:tc>
        <w:tc>
          <w:tcPr>
            <w:tcW w:w="0" w:type="auto"/>
            <w:tcBorders>
              <w:tl2br w:val="nil"/>
              <w:tr2bl w:val="nil"/>
            </w:tcBorders>
            <w:vAlign w:val="center"/>
          </w:tcPr>
          <w:p w14:paraId="1FC27259">
            <w:pPr>
              <w:adjustRightInd w:val="0"/>
              <w:jc w:val="center"/>
              <w:rPr>
                <w:color w:val="auto"/>
                <w:szCs w:val="21"/>
              </w:rPr>
            </w:pPr>
            <w:r>
              <w:rPr>
                <w:color w:val="auto"/>
                <w:szCs w:val="21"/>
              </w:rPr>
              <w:t>LC</w:t>
            </w:r>
          </w:p>
        </w:tc>
        <w:tc>
          <w:tcPr>
            <w:tcW w:w="0" w:type="auto"/>
            <w:tcBorders>
              <w:tl2br w:val="nil"/>
              <w:tr2bl w:val="nil"/>
            </w:tcBorders>
            <w:vAlign w:val="center"/>
          </w:tcPr>
          <w:p w14:paraId="01A97D54">
            <w:pPr>
              <w:adjustRightInd w:val="0"/>
              <w:jc w:val="center"/>
              <w:rPr>
                <w:color w:val="auto"/>
                <w:szCs w:val="21"/>
              </w:rPr>
            </w:pPr>
            <w:r>
              <w:rPr>
                <w:color w:val="auto"/>
                <w:szCs w:val="21"/>
              </w:rPr>
              <w:t>K</w:t>
            </w:r>
          </w:p>
        </w:tc>
      </w:tr>
      <w:tr w14:paraId="4E7B7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5BFD584">
            <w:pPr>
              <w:adjustRightInd w:val="0"/>
              <w:jc w:val="left"/>
              <w:rPr>
                <w:color w:val="auto"/>
                <w:szCs w:val="21"/>
              </w:rPr>
            </w:pPr>
            <w:r>
              <w:rPr>
                <w:color w:val="auto"/>
                <w:szCs w:val="21"/>
              </w:rPr>
              <w:t>8 牛背鹭</w:t>
            </w:r>
            <w:r>
              <w:rPr>
                <w:i/>
                <w:iCs/>
                <w:color w:val="auto"/>
                <w:szCs w:val="21"/>
              </w:rPr>
              <w:t xml:space="preserve"> Bubulcus ibis</w:t>
            </w:r>
          </w:p>
        </w:tc>
        <w:tc>
          <w:tcPr>
            <w:tcW w:w="0" w:type="auto"/>
            <w:tcBorders>
              <w:tl2br w:val="nil"/>
              <w:tr2bl w:val="nil"/>
            </w:tcBorders>
            <w:vAlign w:val="center"/>
          </w:tcPr>
          <w:p w14:paraId="0B6F0BDD">
            <w:pPr>
              <w:adjustRightInd w:val="0"/>
              <w:jc w:val="center"/>
              <w:rPr>
                <w:color w:val="auto"/>
                <w:szCs w:val="21"/>
              </w:rPr>
            </w:pPr>
            <w:r>
              <w:rPr>
                <w:color w:val="auto"/>
                <w:szCs w:val="21"/>
              </w:rPr>
              <w:t>S</w:t>
            </w:r>
          </w:p>
        </w:tc>
        <w:tc>
          <w:tcPr>
            <w:tcW w:w="0" w:type="auto"/>
            <w:tcBorders>
              <w:tl2br w:val="nil"/>
              <w:tr2bl w:val="nil"/>
            </w:tcBorders>
            <w:vAlign w:val="center"/>
          </w:tcPr>
          <w:p w14:paraId="3E26C7C5">
            <w:pPr>
              <w:adjustRightInd w:val="0"/>
              <w:jc w:val="center"/>
              <w:rPr>
                <w:color w:val="auto"/>
                <w:szCs w:val="21"/>
              </w:rPr>
            </w:pPr>
            <w:r>
              <w:rPr>
                <w:color w:val="auto"/>
                <w:szCs w:val="21"/>
              </w:rPr>
              <w:t>O</w:t>
            </w:r>
          </w:p>
        </w:tc>
        <w:tc>
          <w:tcPr>
            <w:tcW w:w="0" w:type="auto"/>
            <w:tcBorders>
              <w:tl2br w:val="nil"/>
              <w:tr2bl w:val="nil"/>
            </w:tcBorders>
            <w:vAlign w:val="center"/>
          </w:tcPr>
          <w:p w14:paraId="70CAAA07">
            <w:pPr>
              <w:adjustRightInd w:val="0"/>
              <w:jc w:val="center"/>
              <w:rPr>
                <w:color w:val="auto"/>
                <w:szCs w:val="21"/>
              </w:rPr>
            </w:pPr>
          </w:p>
        </w:tc>
        <w:tc>
          <w:tcPr>
            <w:tcW w:w="0" w:type="auto"/>
            <w:tcBorders>
              <w:tl2br w:val="nil"/>
              <w:tr2bl w:val="nil"/>
            </w:tcBorders>
            <w:vAlign w:val="center"/>
          </w:tcPr>
          <w:p w14:paraId="29E9CA1A">
            <w:pPr>
              <w:adjustRightInd w:val="0"/>
              <w:jc w:val="center"/>
              <w:rPr>
                <w:color w:val="auto"/>
                <w:szCs w:val="21"/>
              </w:rPr>
            </w:pPr>
            <w:r>
              <w:rPr>
                <w:color w:val="auto"/>
                <w:szCs w:val="21"/>
              </w:rPr>
              <w:t>三有；湘</w:t>
            </w:r>
          </w:p>
        </w:tc>
        <w:tc>
          <w:tcPr>
            <w:tcW w:w="0" w:type="auto"/>
            <w:tcBorders>
              <w:tl2br w:val="nil"/>
              <w:tr2bl w:val="nil"/>
            </w:tcBorders>
            <w:vAlign w:val="center"/>
          </w:tcPr>
          <w:p w14:paraId="08FB0F28">
            <w:pPr>
              <w:adjustRightInd w:val="0"/>
              <w:jc w:val="center"/>
              <w:rPr>
                <w:color w:val="auto"/>
                <w:szCs w:val="21"/>
              </w:rPr>
            </w:pPr>
            <w:r>
              <w:rPr>
                <w:color w:val="auto"/>
                <w:szCs w:val="21"/>
              </w:rPr>
              <w:t>LC</w:t>
            </w:r>
          </w:p>
        </w:tc>
        <w:tc>
          <w:tcPr>
            <w:tcW w:w="0" w:type="auto"/>
            <w:tcBorders>
              <w:tl2br w:val="nil"/>
              <w:tr2bl w:val="nil"/>
            </w:tcBorders>
            <w:vAlign w:val="center"/>
          </w:tcPr>
          <w:p w14:paraId="22811E7E">
            <w:pPr>
              <w:adjustRightInd w:val="0"/>
              <w:jc w:val="center"/>
              <w:rPr>
                <w:color w:val="auto"/>
                <w:szCs w:val="21"/>
              </w:rPr>
            </w:pPr>
            <w:r>
              <w:rPr>
                <w:color w:val="auto"/>
                <w:szCs w:val="21"/>
              </w:rPr>
              <w:t>K</w:t>
            </w:r>
          </w:p>
        </w:tc>
      </w:tr>
      <w:tr w14:paraId="18705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21D18F4">
            <w:pPr>
              <w:adjustRightInd w:val="0"/>
              <w:jc w:val="left"/>
              <w:rPr>
                <w:color w:val="auto"/>
                <w:szCs w:val="21"/>
              </w:rPr>
            </w:pPr>
            <w:r>
              <w:rPr>
                <w:color w:val="auto"/>
                <w:szCs w:val="21"/>
              </w:rPr>
              <w:t xml:space="preserve">9 苍鹭 </w:t>
            </w:r>
            <w:r>
              <w:rPr>
                <w:i/>
                <w:iCs/>
                <w:color w:val="auto"/>
                <w:szCs w:val="21"/>
              </w:rPr>
              <w:t>Ardea cinereal</w:t>
            </w:r>
          </w:p>
        </w:tc>
        <w:tc>
          <w:tcPr>
            <w:tcW w:w="0" w:type="auto"/>
            <w:tcBorders>
              <w:tl2br w:val="nil"/>
              <w:tr2bl w:val="nil"/>
            </w:tcBorders>
            <w:vAlign w:val="center"/>
          </w:tcPr>
          <w:p w14:paraId="615342FF">
            <w:pPr>
              <w:adjustRightInd w:val="0"/>
              <w:jc w:val="center"/>
              <w:rPr>
                <w:color w:val="auto"/>
                <w:szCs w:val="21"/>
              </w:rPr>
            </w:pPr>
            <w:r>
              <w:rPr>
                <w:color w:val="auto"/>
                <w:szCs w:val="21"/>
              </w:rPr>
              <w:t>R</w:t>
            </w:r>
          </w:p>
        </w:tc>
        <w:tc>
          <w:tcPr>
            <w:tcW w:w="0" w:type="auto"/>
            <w:tcBorders>
              <w:tl2br w:val="nil"/>
              <w:tr2bl w:val="nil"/>
            </w:tcBorders>
            <w:vAlign w:val="center"/>
          </w:tcPr>
          <w:p w14:paraId="523E224D">
            <w:pPr>
              <w:adjustRightInd w:val="0"/>
              <w:jc w:val="center"/>
              <w:rPr>
                <w:color w:val="auto"/>
                <w:szCs w:val="21"/>
              </w:rPr>
            </w:pPr>
            <w:r>
              <w:rPr>
                <w:color w:val="auto"/>
                <w:szCs w:val="21"/>
              </w:rPr>
              <w:t>O</w:t>
            </w:r>
          </w:p>
        </w:tc>
        <w:tc>
          <w:tcPr>
            <w:tcW w:w="0" w:type="auto"/>
            <w:tcBorders>
              <w:tl2br w:val="nil"/>
              <w:tr2bl w:val="nil"/>
            </w:tcBorders>
            <w:vAlign w:val="center"/>
          </w:tcPr>
          <w:p w14:paraId="34B6D2DE">
            <w:pPr>
              <w:adjustRightInd w:val="0"/>
              <w:jc w:val="center"/>
              <w:rPr>
                <w:color w:val="auto"/>
                <w:szCs w:val="21"/>
              </w:rPr>
            </w:pPr>
          </w:p>
        </w:tc>
        <w:tc>
          <w:tcPr>
            <w:tcW w:w="0" w:type="auto"/>
            <w:tcBorders>
              <w:tl2br w:val="nil"/>
              <w:tr2bl w:val="nil"/>
            </w:tcBorders>
            <w:vAlign w:val="center"/>
          </w:tcPr>
          <w:p w14:paraId="64C461E4">
            <w:pPr>
              <w:adjustRightInd w:val="0"/>
              <w:jc w:val="center"/>
              <w:rPr>
                <w:color w:val="auto"/>
                <w:szCs w:val="21"/>
              </w:rPr>
            </w:pPr>
            <w:r>
              <w:rPr>
                <w:color w:val="auto"/>
                <w:szCs w:val="21"/>
              </w:rPr>
              <w:t>三有；湘</w:t>
            </w:r>
          </w:p>
        </w:tc>
        <w:tc>
          <w:tcPr>
            <w:tcW w:w="0" w:type="auto"/>
            <w:tcBorders>
              <w:tl2br w:val="nil"/>
              <w:tr2bl w:val="nil"/>
            </w:tcBorders>
            <w:vAlign w:val="center"/>
          </w:tcPr>
          <w:p w14:paraId="5CEC6076">
            <w:pPr>
              <w:adjustRightInd w:val="0"/>
              <w:jc w:val="center"/>
              <w:rPr>
                <w:color w:val="auto"/>
                <w:szCs w:val="21"/>
              </w:rPr>
            </w:pPr>
            <w:r>
              <w:rPr>
                <w:color w:val="auto"/>
                <w:szCs w:val="21"/>
              </w:rPr>
              <w:t>LC</w:t>
            </w:r>
          </w:p>
        </w:tc>
        <w:tc>
          <w:tcPr>
            <w:tcW w:w="0" w:type="auto"/>
            <w:tcBorders>
              <w:tl2br w:val="nil"/>
              <w:tr2bl w:val="nil"/>
            </w:tcBorders>
            <w:vAlign w:val="center"/>
          </w:tcPr>
          <w:p w14:paraId="733D79A3">
            <w:pPr>
              <w:adjustRightInd w:val="0"/>
              <w:jc w:val="center"/>
              <w:rPr>
                <w:color w:val="auto"/>
                <w:szCs w:val="21"/>
              </w:rPr>
            </w:pPr>
            <w:r>
              <w:rPr>
                <w:color w:val="auto"/>
                <w:szCs w:val="21"/>
              </w:rPr>
              <w:t>K</w:t>
            </w:r>
          </w:p>
        </w:tc>
      </w:tr>
      <w:tr w14:paraId="65D77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98DDF47">
            <w:pPr>
              <w:adjustRightInd w:val="0"/>
              <w:jc w:val="left"/>
              <w:rPr>
                <w:color w:val="auto"/>
                <w:szCs w:val="21"/>
              </w:rPr>
            </w:pPr>
            <w:r>
              <w:rPr>
                <w:color w:val="auto"/>
                <w:szCs w:val="21"/>
              </w:rPr>
              <w:t>10 夜鹭</w:t>
            </w:r>
            <w:r>
              <w:rPr>
                <w:i/>
                <w:iCs/>
                <w:color w:val="auto"/>
                <w:szCs w:val="21"/>
              </w:rPr>
              <w:t xml:space="preserve"> Nycticorax nycticorax</w:t>
            </w:r>
          </w:p>
        </w:tc>
        <w:tc>
          <w:tcPr>
            <w:tcW w:w="0" w:type="auto"/>
            <w:tcBorders>
              <w:tl2br w:val="nil"/>
              <w:tr2bl w:val="nil"/>
            </w:tcBorders>
            <w:vAlign w:val="center"/>
          </w:tcPr>
          <w:p w14:paraId="42BB7CF6">
            <w:pPr>
              <w:adjustRightInd w:val="0"/>
              <w:jc w:val="center"/>
              <w:rPr>
                <w:color w:val="auto"/>
                <w:szCs w:val="21"/>
              </w:rPr>
            </w:pPr>
            <w:r>
              <w:rPr>
                <w:color w:val="auto"/>
                <w:szCs w:val="21"/>
              </w:rPr>
              <w:t>R</w:t>
            </w:r>
          </w:p>
        </w:tc>
        <w:tc>
          <w:tcPr>
            <w:tcW w:w="0" w:type="auto"/>
            <w:tcBorders>
              <w:tl2br w:val="nil"/>
              <w:tr2bl w:val="nil"/>
            </w:tcBorders>
            <w:vAlign w:val="center"/>
          </w:tcPr>
          <w:p w14:paraId="2DB5BEDD">
            <w:pPr>
              <w:adjustRightInd w:val="0"/>
              <w:jc w:val="center"/>
              <w:rPr>
                <w:color w:val="auto"/>
                <w:szCs w:val="21"/>
              </w:rPr>
            </w:pPr>
          </w:p>
        </w:tc>
        <w:tc>
          <w:tcPr>
            <w:tcW w:w="0" w:type="auto"/>
            <w:tcBorders>
              <w:tl2br w:val="nil"/>
              <w:tr2bl w:val="nil"/>
            </w:tcBorders>
            <w:vAlign w:val="center"/>
          </w:tcPr>
          <w:p w14:paraId="3067E16E">
            <w:pPr>
              <w:adjustRightInd w:val="0"/>
              <w:jc w:val="center"/>
              <w:rPr>
                <w:color w:val="auto"/>
                <w:szCs w:val="21"/>
              </w:rPr>
            </w:pPr>
          </w:p>
        </w:tc>
        <w:tc>
          <w:tcPr>
            <w:tcW w:w="0" w:type="auto"/>
            <w:tcBorders>
              <w:tl2br w:val="nil"/>
              <w:tr2bl w:val="nil"/>
            </w:tcBorders>
            <w:vAlign w:val="center"/>
          </w:tcPr>
          <w:p w14:paraId="1C3FF4D5">
            <w:pPr>
              <w:adjustRightInd w:val="0"/>
              <w:jc w:val="center"/>
              <w:rPr>
                <w:color w:val="auto"/>
                <w:szCs w:val="21"/>
              </w:rPr>
            </w:pPr>
            <w:r>
              <w:rPr>
                <w:color w:val="auto"/>
                <w:szCs w:val="21"/>
              </w:rPr>
              <w:t>三有；湘</w:t>
            </w:r>
          </w:p>
        </w:tc>
        <w:tc>
          <w:tcPr>
            <w:tcW w:w="0" w:type="auto"/>
            <w:tcBorders>
              <w:tl2br w:val="nil"/>
              <w:tr2bl w:val="nil"/>
            </w:tcBorders>
            <w:vAlign w:val="center"/>
          </w:tcPr>
          <w:p w14:paraId="5CA047E0">
            <w:pPr>
              <w:adjustRightInd w:val="0"/>
              <w:jc w:val="center"/>
              <w:rPr>
                <w:color w:val="auto"/>
                <w:szCs w:val="21"/>
              </w:rPr>
            </w:pPr>
            <w:r>
              <w:rPr>
                <w:color w:val="auto"/>
                <w:szCs w:val="21"/>
              </w:rPr>
              <w:t>LC</w:t>
            </w:r>
          </w:p>
        </w:tc>
        <w:tc>
          <w:tcPr>
            <w:tcW w:w="0" w:type="auto"/>
            <w:tcBorders>
              <w:tl2br w:val="nil"/>
              <w:tr2bl w:val="nil"/>
            </w:tcBorders>
            <w:vAlign w:val="center"/>
          </w:tcPr>
          <w:p w14:paraId="0BF23492">
            <w:pPr>
              <w:adjustRightInd w:val="0"/>
              <w:jc w:val="center"/>
              <w:rPr>
                <w:color w:val="auto"/>
                <w:szCs w:val="21"/>
              </w:rPr>
            </w:pPr>
          </w:p>
        </w:tc>
      </w:tr>
      <w:tr w14:paraId="7B4CE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5039F77">
            <w:pPr>
              <w:adjustRightInd w:val="0"/>
              <w:jc w:val="left"/>
              <w:rPr>
                <w:color w:val="auto"/>
                <w:szCs w:val="21"/>
              </w:rPr>
            </w:pPr>
            <w:r>
              <w:rPr>
                <w:color w:val="auto"/>
                <w:szCs w:val="21"/>
              </w:rPr>
              <w:t xml:space="preserve">11 绿鹭 </w:t>
            </w:r>
            <w:r>
              <w:rPr>
                <w:i/>
                <w:iCs/>
                <w:color w:val="auto"/>
                <w:szCs w:val="21"/>
              </w:rPr>
              <w:t>Butorides striata</w:t>
            </w:r>
          </w:p>
        </w:tc>
        <w:tc>
          <w:tcPr>
            <w:tcW w:w="0" w:type="auto"/>
            <w:tcBorders>
              <w:tl2br w:val="nil"/>
              <w:tr2bl w:val="nil"/>
            </w:tcBorders>
            <w:vAlign w:val="center"/>
          </w:tcPr>
          <w:p w14:paraId="47095E37">
            <w:pPr>
              <w:adjustRightInd w:val="0"/>
              <w:jc w:val="center"/>
              <w:rPr>
                <w:color w:val="auto"/>
                <w:szCs w:val="21"/>
              </w:rPr>
            </w:pPr>
            <w:r>
              <w:rPr>
                <w:color w:val="auto"/>
                <w:szCs w:val="21"/>
              </w:rPr>
              <w:t>W</w:t>
            </w:r>
          </w:p>
        </w:tc>
        <w:tc>
          <w:tcPr>
            <w:tcW w:w="0" w:type="auto"/>
            <w:tcBorders>
              <w:tl2br w:val="nil"/>
              <w:tr2bl w:val="nil"/>
            </w:tcBorders>
            <w:vAlign w:val="center"/>
          </w:tcPr>
          <w:p w14:paraId="4D70307B">
            <w:pPr>
              <w:adjustRightInd w:val="0"/>
              <w:jc w:val="center"/>
              <w:rPr>
                <w:color w:val="auto"/>
                <w:szCs w:val="21"/>
              </w:rPr>
            </w:pPr>
          </w:p>
        </w:tc>
        <w:tc>
          <w:tcPr>
            <w:tcW w:w="0" w:type="auto"/>
            <w:tcBorders>
              <w:tl2br w:val="nil"/>
              <w:tr2bl w:val="nil"/>
            </w:tcBorders>
            <w:vAlign w:val="center"/>
          </w:tcPr>
          <w:p w14:paraId="6400C9FB">
            <w:pPr>
              <w:adjustRightInd w:val="0"/>
              <w:jc w:val="center"/>
              <w:rPr>
                <w:color w:val="auto"/>
                <w:szCs w:val="21"/>
              </w:rPr>
            </w:pPr>
          </w:p>
        </w:tc>
        <w:tc>
          <w:tcPr>
            <w:tcW w:w="0" w:type="auto"/>
            <w:tcBorders>
              <w:tl2br w:val="nil"/>
              <w:tr2bl w:val="nil"/>
            </w:tcBorders>
            <w:vAlign w:val="center"/>
          </w:tcPr>
          <w:p w14:paraId="0D518039">
            <w:pPr>
              <w:adjustRightInd w:val="0"/>
              <w:jc w:val="center"/>
              <w:rPr>
                <w:color w:val="auto"/>
                <w:szCs w:val="21"/>
              </w:rPr>
            </w:pPr>
            <w:r>
              <w:rPr>
                <w:color w:val="auto"/>
                <w:szCs w:val="21"/>
              </w:rPr>
              <w:t>三有；湘</w:t>
            </w:r>
          </w:p>
        </w:tc>
        <w:tc>
          <w:tcPr>
            <w:tcW w:w="0" w:type="auto"/>
            <w:tcBorders>
              <w:tl2br w:val="nil"/>
              <w:tr2bl w:val="nil"/>
            </w:tcBorders>
            <w:vAlign w:val="center"/>
          </w:tcPr>
          <w:p w14:paraId="0AB0BC9D">
            <w:pPr>
              <w:adjustRightInd w:val="0"/>
              <w:jc w:val="center"/>
              <w:rPr>
                <w:color w:val="auto"/>
                <w:szCs w:val="21"/>
              </w:rPr>
            </w:pPr>
            <w:r>
              <w:rPr>
                <w:color w:val="auto"/>
                <w:szCs w:val="21"/>
              </w:rPr>
              <w:t>LC</w:t>
            </w:r>
          </w:p>
        </w:tc>
        <w:tc>
          <w:tcPr>
            <w:tcW w:w="0" w:type="auto"/>
            <w:tcBorders>
              <w:tl2br w:val="nil"/>
              <w:tr2bl w:val="nil"/>
            </w:tcBorders>
            <w:vAlign w:val="center"/>
          </w:tcPr>
          <w:p w14:paraId="39408576">
            <w:pPr>
              <w:adjustRightInd w:val="0"/>
              <w:jc w:val="center"/>
              <w:rPr>
                <w:color w:val="auto"/>
                <w:szCs w:val="21"/>
              </w:rPr>
            </w:pPr>
          </w:p>
        </w:tc>
      </w:tr>
      <w:tr w14:paraId="4C6E5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FB01642">
            <w:pPr>
              <w:adjustRightInd w:val="0"/>
              <w:jc w:val="left"/>
              <w:rPr>
                <w:color w:val="auto"/>
                <w:szCs w:val="21"/>
              </w:rPr>
            </w:pPr>
            <w:r>
              <w:rPr>
                <w:b/>
                <w:bCs/>
                <w:color w:val="auto"/>
                <w:szCs w:val="21"/>
              </w:rPr>
              <w:t>（四）鹳科 Ciconiidae</w:t>
            </w:r>
          </w:p>
        </w:tc>
        <w:tc>
          <w:tcPr>
            <w:tcW w:w="0" w:type="auto"/>
            <w:tcBorders>
              <w:tl2br w:val="nil"/>
              <w:tr2bl w:val="nil"/>
            </w:tcBorders>
            <w:vAlign w:val="center"/>
          </w:tcPr>
          <w:p w14:paraId="3152D165">
            <w:pPr>
              <w:adjustRightInd w:val="0"/>
              <w:jc w:val="center"/>
              <w:rPr>
                <w:color w:val="auto"/>
                <w:szCs w:val="21"/>
              </w:rPr>
            </w:pPr>
          </w:p>
        </w:tc>
        <w:tc>
          <w:tcPr>
            <w:tcW w:w="0" w:type="auto"/>
            <w:tcBorders>
              <w:tl2br w:val="nil"/>
              <w:tr2bl w:val="nil"/>
            </w:tcBorders>
            <w:vAlign w:val="center"/>
          </w:tcPr>
          <w:p w14:paraId="5137ED5A">
            <w:pPr>
              <w:adjustRightInd w:val="0"/>
              <w:jc w:val="center"/>
              <w:rPr>
                <w:color w:val="auto"/>
                <w:szCs w:val="21"/>
              </w:rPr>
            </w:pPr>
          </w:p>
        </w:tc>
        <w:tc>
          <w:tcPr>
            <w:tcW w:w="0" w:type="auto"/>
            <w:tcBorders>
              <w:tl2br w:val="nil"/>
              <w:tr2bl w:val="nil"/>
            </w:tcBorders>
            <w:vAlign w:val="center"/>
          </w:tcPr>
          <w:p w14:paraId="6999717B">
            <w:pPr>
              <w:adjustRightInd w:val="0"/>
              <w:jc w:val="center"/>
              <w:rPr>
                <w:color w:val="auto"/>
                <w:szCs w:val="21"/>
              </w:rPr>
            </w:pPr>
          </w:p>
        </w:tc>
        <w:tc>
          <w:tcPr>
            <w:tcW w:w="0" w:type="auto"/>
            <w:tcBorders>
              <w:tl2br w:val="nil"/>
              <w:tr2bl w:val="nil"/>
            </w:tcBorders>
            <w:vAlign w:val="center"/>
          </w:tcPr>
          <w:p w14:paraId="3EA36914">
            <w:pPr>
              <w:adjustRightInd w:val="0"/>
              <w:jc w:val="center"/>
              <w:rPr>
                <w:color w:val="auto"/>
                <w:szCs w:val="21"/>
              </w:rPr>
            </w:pPr>
          </w:p>
        </w:tc>
        <w:tc>
          <w:tcPr>
            <w:tcW w:w="0" w:type="auto"/>
            <w:tcBorders>
              <w:tl2br w:val="nil"/>
              <w:tr2bl w:val="nil"/>
            </w:tcBorders>
            <w:vAlign w:val="center"/>
          </w:tcPr>
          <w:p w14:paraId="1E03059A">
            <w:pPr>
              <w:adjustRightInd w:val="0"/>
              <w:jc w:val="center"/>
              <w:rPr>
                <w:color w:val="auto"/>
                <w:szCs w:val="21"/>
              </w:rPr>
            </w:pPr>
          </w:p>
        </w:tc>
        <w:tc>
          <w:tcPr>
            <w:tcW w:w="0" w:type="auto"/>
            <w:tcBorders>
              <w:tl2br w:val="nil"/>
              <w:tr2bl w:val="nil"/>
            </w:tcBorders>
            <w:vAlign w:val="center"/>
          </w:tcPr>
          <w:p w14:paraId="74FA968C">
            <w:pPr>
              <w:adjustRightInd w:val="0"/>
              <w:jc w:val="center"/>
              <w:rPr>
                <w:color w:val="auto"/>
                <w:szCs w:val="21"/>
              </w:rPr>
            </w:pPr>
          </w:p>
        </w:tc>
      </w:tr>
      <w:tr w14:paraId="4B379673">
        <w:tc>
          <w:tcPr>
            <w:tcW w:w="0" w:type="auto"/>
            <w:tcBorders>
              <w:tl2br w:val="nil"/>
              <w:tr2bl w:val="nil"/>
            </w:tcBorders>
            <w:vAlign w:val="center"/>
          </w:tcPr>
          <w:p w14:paraId="40D19E7B">
            <w:pPr>
              <w:adjustRightInd w:val="0"/>
              <w:jc w:val="left"/>
              <w:rPr>
                <w:color w:val="auto"/>
                <w:szCs w:val="21"/>
              </w:rPr>
            </w:pPr>
            <w:r>
              <w:rPr>
                <w:color w:val="auto"/>
                <w:szCs w:val="21"/>
              </w:rPr>
              <w:t xml:space="preserve">12 东方白鹳 </w:t>
            </w:r>
            <w:r>
              <w:rPr>
                <w:i/>
                <w:iCs/>
                <w:color w:val="auto"/>
                <w:szCs w:val="21"/>
              </w:rPr>
              <w:t>Ciconia boyciana</w:t>
            </w:r>
          </w:p>
        </w:tc>
        <w:tc>
          <w:tcPr>
            <w:tcW w:w="0" w:type="auto"/>
            <w:tcBorders>
              <w:tl2br w:val="nil"/>
              <w:tr2bl w:val="nil"/>
            </w:tcBorders>
            <w:vAlign w:val="center"/>
          </w:tcPr>
          <w:p w14:paraId="44B9A083">
            <w:pPr>
              <w:adjustRightInd w:val="0"/>
              <w:jc w:val="center"/>
              <w:rPr>
                <w:color w:val="auto"/>
                <w:szCs w:val="21"/>
              </w:rPr>
            </w:pPr>
            <w:r>
              <w:rPr>
                <w:color w:val="auto"/>
                <w:szCs w:val="21"/>
              </w:rPr>
              <w:t>W</w:t>
            </w:r>
          </w:p>
        </w:tc>
        <w:tc>
          <w:tcPr>
            <w:tcW w:w="0" w:type="auto"/>
            <w:tcBorders>
              <w:tl2br w:val="nil"/>
              <w:tr2bl w:val="nil"/>
            </w:tcBorders>
            <w:vAlign w:val="center"/>
          </w:tcPr>
          <w:p w14:paraId="204F948A">
            <w:pPr>
              <w:adjustRightInd w:val="0"/>
              <w:jc w:val="center"/>
              <w:rPr>
                <w:color w:val="auto"/>
                <w:szCs w:val="21"/>
              </w:rPr>
            </w:pPr>
            <w:r>
              <w:rPr>
                <w:color w:val="auto"/>
                <w:szCs w:val="21"/>
              </w:rPr>
              <w:t>C</w:t>
            </w:r>
          </w:p>
        </w:tc>
        <w:tc>
          <w:tcPr>
            <w:tcW w:w="0" w:type="auto"/>
            <w:tcBorders>
              <w:tl2br w:val="nil"/>
              <w:tr2bl w:val="nil"/>
            </w:tcBorders>
            <w:vAlign w:val="center"/>
          </w:tcPr>
          <w:p w14:paraId="28022888">
            <w:pPr>
              <w:adjustRightInd w:val="0"/>
              <w:jc w:val="center"/>
              <w:rPr>
                <w:color w:val="auto"/>
                <w:szCs w:val="21"/>
              </w:rPr>
            </w:pPr>
            <w:r>
              <w:rPr>
                <w:color w:val="auto"/>
                <w:szCs w:val="21"/>
              </w:rPr>
              <w:t>附录</w:t>
            </w: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kern w:val="0"/>
                <w:szCs w:val="21"/>
              </w:rPr>
              <w:t>I</w:t>
            </w:r>
            <w:r>
              <w:rPr>
                <w:color w:val="auto"/>
                <w:szCs w:val="21"/>
              </w:rPr>
              <w:fldChar w:fldCharType="end"/>
            </w:r>
          </w:p>
        </w:tc>
        <w:tc>
          <w:tcPr>
            <w:tcW w:w="0" w:type="auto"/>
            <w:tcBorders>
              <w:tl2br w:val="nil"/>
              <w:tr2bl w:val="nil"/>
            </w:tcBorders>
            <w:vAlign w:val="center"/>
          </w:tcPr>
          <w:p w14:paraId="75D9BE4C">
            <w:pPr>
              <w:adjustRightInd w:val="0"/>
              <w:jc w:val="center"/>
              <w:rPr>
                <w:color w:val="auto"/>
                <w:szCs w:val="21"/>
              </w:rPr>
            </w:pP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kern w:val="0"/>
                <w:szCs w:val="21"/>
              </w:rPr>
              <w:t>I</w:t>
            </w:r>
            <w:r>
              <w:rPr>
                <w:color w:val="auto"/>
                <w:szCs w:val="21"/>
              </w:rPr>
              <w:fldChar w:fldCharType="end"/>
            </w:r>
          </w:p>
        </w:tc>
        <w:tc>
          <w:tcPr>
            <w:tcW w:w="0" w:type="auto"/>
            <w:tcBorders>
              <w:tl2br w:val="nil"/>
              <w:tr2bl w:val="nil"/>
            </w:tcBorders>
            <w:vAlign w:val="center"/>
          </w:tcPr>
          <w:p w14:paraId="3D666218">
            <w:pPr>
              <w:adjustRightInd w:val="0"/>
              <w:jc w:val="center"/>
              <w:rPr>
                <w:color w:val="auto"/>
                <w:szCs w:val="21"/>
              </w:rPr>
            </w:pPr>
          </w:p>
        </w:tc>
        <w:tc>
          <w:tcPr>
            <w:tcW w:w="0" w:type="auto"/>
            <w:tcBorders>
              <w:tl2br w:val="nil"/>
              <w:tr2bl w:val="nil"/>
            </w:tcBorders>
            <w:vAlign w:val="center"/>
          </w:tcPr>
          <w:p w14:paraId="1BCE0F8F">
            <w:pPr>
              <w:adjustRightInd w:val="0"/>
              <w:jc w:val="center"/>
              <w:rPr>
                <w:color w:val="auto"/>
                <w:szCs w:val="21"/>
              </w:rPr>
            </w:pPr>
            <w:r>
              <w:rPr>
                <w:color w:val="auto"/>
                <w:szCs w:val="21"/>
              </w:rPr>
              <w:t>Z</w:t>
            </w:r>
          </w:p>
        </w:tc>
      </w:tr>
      <w:tr w14:paraId="068D3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E9387C7">
            <w:pPr>
              <w:adjustRightInd w:val="0"/>
              <w:jc w:val="left"/>
              <w:rPr>
                <w:color w:val="auto"/>
                <w:szCs w:val="21"/>
              </w:rPr>
            </w:pPr>
            <w:r>
              <w:rPr>
                <w:color w:val="auto"/>
                <w:szCs w:val="21"/>
              </w:rPr>
              <w:t xml:space="preserve">13 黑鹳 </w:t>
            </w:r>
            <w:r>
              <w:rPr>
                <w:i/>
                <w:iCs/>
                <w:color w:val="auto"/>
                <w:szCs w:val="21"/>
              </w:rPr>
              <w:t>Ciconia nigra</w:t>
            </w:r>
          </w:p>
        </w:tc>
        <w:tc>
          <w:tcPr>
            <w:tcW w:w="0" w:type="auto"/>
            <w:tcBorders>
              <w:tl2br w:val="nil"/>
              <w:tr2bl w:val="nil"/>
            </w:tcBorders>
            <w:vAlign w:val="center"/>
          </w:tcPr>
          <w:p w14:paraId="6CCCBA80">
            <w:pPr>
              <w:adjustRightInd w:val="0"/>
              <w:jc w:val="center"/>
              <w:rPr>
                <w:color w:val="auto"/>
                <w:szCs w:val="21"/>
              </w:rPr>
            </w:pPr>
            <w:r>
              <w:rPr>
                <w:color w:val="auto"/>
                <w:szCs w:val="21"/>
              </w:rPr>
              <w:t>W</w:t>
            </w:r>
          </w:p>
        </w:tc>
        <w:tc>
          <w:tcPr>
            <w:tcW w:w="0" w:type="auto"/>
            <w:tcBorders>
              <w:tl2br w:val="nil"/>
              <w:tr2bl w:val="nil"/>
            </w:tcBorders>
            <w:vAlign w:val="center"/>
          </w:tcPr>
          <w:p w14:paraId="051BBF35">
            <w:pPr>
              <w:adjustRightInd w:val="0"/>
              <w:jc w:val="center"/>
              <w:rPr>
                <w:color w:val="auto"/>
                <w:szCs w:val="21"/>
              </w:rPr>
            </w:pPr>
            <w:r>
              <w:rPr>
                <w:color w:val="auto"/>
                <w:szCs w:val="21"/>
              </w:rPr>
              <w:t>C</w:t>
            </w:r>
          </w:p>
        </w:tc>
        <w:tc>
          <w:tcPr>
            <w:tcW w:w="0" w:type="auto"/>
            <w:tcBorders>
              <w:tl2br w:val="nil"/>
              <w:tr2bl w:val="nil"/>
            </w:tcBorders>
            <w:vAlign w:val="center"/>
          </w:tcPr>
          <w:p w14:paraId="14830DBA">
            <w:pPr>
              <w:adjustRightInd w:val="0"/>
              <w:jc w:val="center"/>
              <w:rPr>
                <w:color w:val="auto"/>
                <w:szCs w:val="21"/>
              </w:rPr>
            </w:pPr>
            <w:r>
              <w:rPr>
                <w:color w:val="auto"/>
                <w:szCs w:val="21"/>
              </w:rPr>
              <w:t>附录</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02B25843">
            <w:pPr>
              <w:adjustRightInd w:val="0"/>
              <w:jc w:val="center"/>
              <w:rPr>
                <w:color w:val="auto"/>
                <w:szCs w:val="21"/>
              </w:rPr>
            </w:pP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kern w:val="0"/>
                <w:szCs w:val="21"/>
              </w:rPr>
              <w:t>I</w:t>
            </w:r>
            <w:r>
              <w:rPr>
                <w:color w:val="auto"/>
                <w:szCs w:val="21"/>
              </w:rPr>
              <w:fldChar w:fldCharType="end"/>
            </w:r>
          </w:p>
        </w:tc>
        <w:tc>
          <w:tcPr>
            <w:tcW w:w="0" w:type="auto"/>
            <w:tcBorders>
              <w:tl2br w:val="nil"/>
              <w:tr2bl w:val="nil"/>
            </w:tcBorders>
            <w:vAlign w:val="center"/>
          </w:tcPr>
          <w:p w14:paraId="0EF0C4F4">
            <w:pPr>
              <w:adjustRightInd w:val="0"/>
              <w:jc w:val="center"/>
              <w:rPr>
                <w:color w:val="auto"/>
                <w:szCs w:val="21"/>
              </w:rPr>
            </w:pPr>
          </w:p>
        </w:tc>
        <w:tc>
          <w:tcPr>
            <w:tcW w:w="0" w:type="auto"/>
            <w:tcBorders>
              <w:tl2br w:val="nil"/>
              <w:tr2bl w:val="nil"/>
            </w:tcBorders>
            <w:vAlign w:val="center"/>
          </w:tcPr>
          <w:p w14:paraId="45C08A7A">
            <w:pPr>
              <w:adjustRightInd w:val="0"/>
              <w:jc w:val="center"/>
              <w:rPr>
                <w:color w:val="auto"/>
                <w:szCs w:val="21"/>
              </w:rPr>
            </w:pPr>
            <w:r>
              <w:rPr>
                <w:color w:val="auto"/>
                <w:szCs w:val="21"/>
              </w:rPr>
              <w:t>Z</w:t>
            </w:r>
          </w:p>
        </w:tc>
      </w:tr>
      <w:tr w14:paraId="7AF70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3D8D1EF">
            <w:pPr>
              <w:adjustRightInd w:val="0"/>
              <w:jc w:val="left"/>
              <w:rPr>
                <w:color w:val="auto"/>
                <w:szCs w:val="21"/>
              </w:rPr>
            </w:pPr>
            <w:r>
              <w:rPr>
                <w:b/>
                <w:bCs/>
                <w:color w:val="auto"/>
                <w:szCs w:val="21"/>
              </w:rPr>
              <w:t>（五）鹮科 Threskio rnithidae</w:t>
            </w:r>
          </w:p>
        </w:tc>
        <w:tc>
          <w:tcPr>
            <w:tcW w:w="0" w:type="auto"/>
            <w:tcBorders>
              <w:tl2br w:val="nil"/>
              <w:tr2bl w:val="nil"/>
            </w:tcBorders>
            <w:vAlign w:val="center"/>
          </w:tcPr>
          <w:p w14:paraId="5FFAC24C">
            <w:pPr>
              <w:adjustRightInd w:val="0"/>
              <w:jc w:val="center"/>
              <w:rPr>
                <w:color w:val="auto"/>
                <w:szCs w:val="21"/>
              </w:rPr>
            </w:pPr>
          </w:p>
        </w:tc>
        <w:tc>
          <w:tcPr>
            <w:tcW w:w="0" w:type="auto"/>
            <w:tcBorders>
              <w:tl2br w:val="nil"/>
              <w:tr2bl w:val="nil"/>
            </w:tcBorders>
            <w:vAlign w:val="center"/>
          </w:tcPr>
          <w:p w14:paraId="31FCBCD8">
            <w:pPr>
              <w:adjustRightInd w:val="0"/>
              <w:jc w:val="center"/>
              <w:rPr>
                <w:color w:val="auto"/>
                <w:szCs w:val="21"/>
              </w:rPr>
            </w:pPr>
          </w:p>
        </w:tc>
        <w:tc>
          <w:tcPr>
            <w:tcW w:w="0" w:type="auto"/>
            <w:tcBorders>
              <w:tl2br w:val="nil"/>
              <w:tr2bl w:val="nil"/>
            </w:tcBorders>
            <w:vAlign w:val="center"/>
          </w:tcPr>
          <w:p w14:paraId="47E57F23">
            <w:pPr>
              <w:adjustRightInd w:val="0"/>
              <w:jc w:val="center"/>
              <w:rPr>
                <w:color w:val="auto"/>
                <w:szCs w:val="21"/>
              </w:rPr>
            </w:pPr>
          </w:p>
        </w:tc>
        <w:tc>
          <w:tcPr>
            <w:tcW w:w="0" w:type="auto"/>
            <w:tcBorders>
              <w:tl2br w:val="nil"/>
              <w:tr2bl w:val="nil"/>
            </w:tcBorders>
            <w:vAlign w:val="center"/>
          </w:tcPr>
          <w:p w14:paraId="4A4B454B">
            <w:pPr>
              <w:adjustRightInd w:val="0"/>
              <w:jc w:val="center"/>
              <w:rPr>
                <w:color w:val="auto"/>
                <w:szCs w:val="21"/>
              </w:rPr>
            </w:pPr>
          </w:p>
        </w:tc>
        <w:tc>
          <w:tcPr>
            <w:tcW w:w="0" w:type="auto"/>
            <w:tcBorders>
              <w:tl2br w:val="nil"/>
              <w:tr2bl w:val="nil"/>
            </w:tcBorders>
            <w:vAlign w:val="center"/>
          </w:tcPr>
          <w:p w14:paraId="44AE3772">
            <w:pPr>
              <w:adjustRightInd w:val="0"/>
              <w:jc w:val="center"/>
              <w:rPr>
                <w:color w:val="auto"/>
                <w:szCs w:val="21"/>
              </w:rPr>
            </w:pPr>
          </w:p>
        </w:tc>
        <w:tc>
          <w:tcPr>
            <w:tcW w:w="0" w:type="auto"/>
            <w:tcBorders>
              <w:tl2br w:val="nil"/>
              <w:tr2bl w:val="nil"/>
            </w:tcBorders>
            <w:vAlign w:val="center"/>
          </w:tcPr>
          <w:p w14:paraId="6A91EB26">
            <w:pPr>
              <w:adjustRightInd w:val="0"/>
              <w:jc w:val="center"/>
              <w:rPr>
                <w:color w:val="auto"/>
                <w:szCs w:val="21"/>
              </w:rPr>
            </w:pPr>
          </w:p>
        </w:tc>
      </w:tr>
      <w:tr w14:paraId="06C7E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3236D98">
            <w:pPr>
              <w:adjustRightInd w:val="0"/>
              <w:jc w:val="left"/>
              <w:rPr>
                <w:color w:val="auto"/>
                <w:szCs w:val="21"/>
              </w:rPr>
            </w:pPr>
            <w:r>
              <w:rPr>
                <w:color w:val="auto"/>
                <w:szCs w:val="21"/>
              </w:rPr>
              <w:t xml:space="preserve">14 白琵鹭 </w:t>
            </w:r>
            <w:r>
              <w:rPr>
                <w:i/>
                <w:iCs/>
                <w:color w:val="auto"/>
                <w:szCs w:val="21"/>
              </w:rPr>
              <w:t>Platalea leucorodia</w:t>
            </w:r>
          </w:p>
        </w:tc>
        <w:tc>
          <w:tcPr>
            <w:tcW w:w="0" w:type="auto"/>
            <w:tcBorders>
              <w:tl2br w:val="nil"/>
              <w:tr2bl w:val="nil"/>
            </w:tcBorders>
            <w:vAlign w:val="center"/>
          </w:tcPr>
          <w:p w14:paraId="31305961">
            <w:pPr>
              <w:adjustRightInd w:val="0"/>
              <w:jc w:val="center"/>
              <w:rPr>
                <w:color w:val="auto"/>
                <w:szCs w:val="21"/>
              </w:rPr>
            </w:pPr>
            <w:r>
              <w:rPr>
                <w:color w:val="auto"/>
                <w:szCs w:val="21"/>
              </w:rPr>
              <w:t>W</w:t>
            </w:r>
          </w:p>
        </w:tc>
        <w:tc>
          <w:tcPr>
            <w:tcW w:w="0" w:type="auto"/>
            <w:tcBorders>
              <w:tl2br w:val="nil"/>
              <w:tr2bl w:val="nil"/>
            </w:tcBorders>
            <w:vAlign w:val="center"/>
          </w:tcPr>
          <w:p w14:paraId="26E1AD24">
            <w:pPr>
              <w:adjustRightInd w:val="0"/>
              <w:jc w:val="center"/>
              <w:rPr>
                <w:color w:val="auto"/>
                <w:szCs w:val="21"/>
              </w:rPr>
            </w:pPr>
            <w:r>
              <w:rPr>
                <w:color w:val="auto"/>
                <w:szCs w:val="21"/>
              </w:rPr>
              <w:t>O</w:t>
            </w:r>
          </w:p>
        </w:tc>
        <w:tc>
          <w:tcPr>
            <w:tcW w:w="0" w:type="auto"/>
            <w:tcBorders>
              <w:tl2br w:val="nil"/>
              <w:tr2bl w:val="nil"/>
            </w:tcBorders>
            <w:vAlign w:val="center"/>
          </w:tcPr>
          <w:p w14:paraId="3ABBFBD2">
            <w:pPr>
              <w:adjustRightInd w:val="0"/>
              <w:jc w:val="center"/>
              <w:rPr>
                <w:color w:val="auto"/>
                <w:szCs w:val="21"/>
              </w:rPr>
            </w:pPr>
          </w:p>
        </w:tc>
        <w:tc>
          <w:tcPr>
            <w:tcW w:w="0" w:type="auto"/>
            <w:tcBorders>
              <w:tl2br w:val="nil"/>
              <w:tr2bl w:val="nil"/>
            </w:tcBorders>
            <w:vAlign w:val="center"/>
          </w:tcPr>
          <w:p w14:paraId="58B8748A">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375BB663">
            <w:pPr>
              <w:adjustRightInd w:val="0"/>
              <w:jc w:val="center"/>
              <w:rPr>
                <w:color w:val="auto"/>
                <w:szCs w:val="21"/>
              </w:rPr>
            </w:pPr>
            <w:r>
              <w:rPr>
                <w:color w:val="auto"/>
                <w:szCs w:val="21"/>
              </w:rPr>
              <w:t>NT</w:t>
            </w:r>
          </w:p>
        </w:tc>
        <w:tc>
          <w:tcPr>
            <w:tcW w:w="0" w:type="auto"/>
            <w:tcBorders>
              <w:tl2br w:val="nil"/>
              <w:tr2bl w:val="nil"/>
            </w:tcBorders>
            <w:vAlign w:val="center"/>
          </w:tcPr>
          <w:p w14:paraId="5470CF27">
            <w:pPr>
              <w:adjustRightInd w:val="0"/>
              <w:jc w:val="center"/>
              <w:rPr>
                <w:color w:val="auto"/>
                <w:szCs w:val="21"/>
              </w:rPr>
            </w:pPr>
            <w:r>
              <w:rPr>
                <w:color w:val="auto"/>
                <w:szCs w:val="21"/>
              </w:rPr>
              <w:t>K</w:t>
            </w:r>
          </w:p>
        </w:tc>
      </w:tr>
      <w:tr w14:paraId="79338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DFCABA6">
            <w:pPr>
              <w:adjustRightInd w:val="0"/>
              <w:jc w:val="left"/>
              <w:rPr>
                <w:b/>
                <w:bCs/>
                <w:color w:val="auto"/>
                <w:szCs w:val="21"/>
              </w:rPr>
            </w:pPr>
            <w:r>
              <w:rPr>
                <w:b/>
                <w:bCs/>
                <w:color w:val="auto"/>
                <w:szCs w:val="21"/>
              </w:rPr>
              <w:t>Ⅳ 雁形目 ANSERIFORMES</w:t>
            </w:r>
          </w:p>
        </w:tc>
        <w:tc>
          <w:tcPr>
            <w:tcW w:w="0" w:type="auto"/>
            <w:tcBorders>
              <w:tl2br w:val="nil"/>
              <w:tr2bl w:val="nil"/>
            </w:tcBorders>
            <w:vAlign w:val="center"/>
          </w:tcPr>
          <w:p w14:paraId="2151D447">
            <w:pPr>
              <w:adjustRightInd w:val="0"/>
              <w:jc w:val="center"/>
              <w:rPr>
                <w:color w:val="auto"/>
                <w:szCs w:val="21"/>
              </w:rPr>
            </w:pPr>
          </w:p>
        </w:tc>
        <w:tc>
          <w:tcPr>
            <w:tcW w:w="0" w:type="auto"/>
            <w:tcBorders>
              <w:tl2br w:val="nil"/>
              <w:tr2bl w:val="nil"/>
            </w:tcBorders>
            <w:vAlign w:val="center"/>
          </w:tcPr>
          <w:p w14:paraId="5B495A85">
            <w:pPr>
              <w:adjustRightInd w:val="0"/>
              <w:jc w:val="center"/>
              <w:rPr>
                <w:color w:val="auto"/>
                <w:szCs w:val="21"/>
              </w:rPr>
            </w:pPr>
          </w:p>
        </w:tc>
        <w:tc>
          <w:tcPr>
            <w:tcW w:w="0" w:type="auto"/>
            <w:tcBorders>
              <w:tl2br w:val="nil"/>
              <w:tr2bl w:val="nil"/>
            </w:tcBorders>
            <w:vAlign w:val="center"/>
          </w:tcPr>
          <w:p w14:paraId="28227909">
            <w:pPr>
              <w:adjustRightInd w:val="0"/>
              <w:jc w:val="center"/>
              <w:rPr>
                <w:color w:val="auto"/>
                <w:szCs w:val="21"/>
              </w:rPr>
            </w:pPr>
          </w:p>
        </w:tc>
        <w:tc>
          <w:tcPr>
            <w:tcW w:w="0" w:type="auto"/>
            <w:tcBorders>
              <w:tl2br w:val="nil"/>
              <w:tr2bl w:val="nil"/>
            </w:tcBorders>
            <w:vAlign w:val="center"/>
          </w:tcPr>
          <w:p w14:paraId="4D8A0424">
            <w:pPr>
              <w:adjustRightInd w:val="0"/>
              <w:jc w:val="center"/>
              <w:rPr>
                <w:color w:val="auto"/>
                <w:szCs w:val="21"/>
              </w:rPr>
            </w:pPr>
          </w:p>
        </w:tc>
        <w:tc>
          <w:tcPr>
            <w:tcW w:w="0" w:type="auto"/>
            <w:tcBorders>
              <w:tl2br w:val="nil"/>
              <w:tr2bl w:val="nil"/>
            </w:tcBorders>
            <w:vAlign w:val="center"/>
          </w:tcPr>
          <w:p w14:paraId="42CDC9EC">
            <w:pPr>
              <w:adjustRightInd w:val="0"/>
              <w:jc w:val="center"/>
              <w:rPr>
                <w:color w:val="auto"/>
                <w:szCs w:val="21"/>
              </w:rPr>
            </w:pPr>
          </w:p>
        </w:tc>
        <w:tc>
          <w:tcPr>
            <w:tcW w:w="0" w:type="auto"/>
            <w:tcBorders>
              <w:tl2br w:val="nil"/>
              <w:tr2bl w:val="nil"/>
            </w:tcBorders>
            <w:vAlign w:val="center"/>
          </w:tcPr>
          <w:p w14:paraId="6BC82B56">
            <w:pPr>
              <w:adjustRightInd w:val="0"/>
              <w:jc w:val="center"/>
              <w:rPr>
                <w:color w:val="auto"/>
                <w:szCs w:val="21"/>
              </w:rPr>
            </w:pPr>
          </w:p>
        </w:tc>
      </w:tr>
      <w:tr w14:paraId="3A0A1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82E8070">
            <w:pPr>
              <w:adjustRightInd w:val="0"/>
              <w:jc w:val="left"/>
              <w:rPr>
                <w:b/>
                <w:bCs/>
                <w:color w:val="auto"/>
                <w:szCs w:val="21"/>
              </w:rPr>
            </w:pPr>
            <w:r>
              <w:rPr>
                <w:b/>
                <w:bCs/>
                <w:color w:val="auto"/>
                <w:szCs w:val="21"/>
              </w:rPr>
              <w:t>（六）鸭科 Anatidae</w:t>
            </w:r>
          </w:p>
        </w:tc>
        <w:tc>
          <w:tcPr>
            <w:tcW w:w="0" w:type="auto"/>
            <w:tcBorders>
              <w:tl2br w:val="nil"/>
              <w:tr2bl w:val="nil"/>
            </w:tcBorders>
            <w:vAlign w:val="center"/>
          </w:tcPr>
          <w:p w14:paraId="3B0233E9">
            <w:pPr>
              <w:adjustRightInd w:val="0"/>
              <w:jc w:val="center"/>
              <w:rPr>
                <w:color w:val="auto"/>
                <w:szCs w:val="21"/>
              </w:rPr>
            </w:pPr>
          </w:p>
        </w:tc>
        <w:tc>
          <w:tcPr>
            <w:tcW w:w="0" w:type="auto"/>
            <w:tcBorders>
              <w:tl2br w:val="nil"/>
              <w:tr2bl w:val="nil"/>
            </w:tcBorders>
            <w:vAlign w:val="center"/>
          </w:tcPr>
          <w:p w14:paraId="5E8E48B6">
            <w:pPr>
              <w:adjustRightInd w:val="0"/>
              <w:jc w:val="center"/>
              <w:rPr>
                <w:color w:val="auto"/>
                <w:szCs w:val="21"/>
              </w:rPr>
            </w:pPr>
          </w:p>
        </w:tc>
        <w:tc>
          <w:tcPr>
            <w:tcW w:w="0" w:type="auto"/>
            <w:tcBorders>
              <w:tl2br w:val="nil"/>
              <w:tr2bl w:val="nil"/>
            </w:tcBorders>
            <w:vAlign w:val="center"/>
          </w:tcPr>
          <w:p w14:paraId="13884A82">
            <w:pPr>
              <w:adjustRightInd w:val="0"/>
              <w:jc w:val="center"/>
              <w:rPr>
                <w:color w:val="auto"/>
                <w:szCs w:val="21"/>
              </w:rPr>
            </w:pPr>
          </w:p>
        </w:tc>
        <w:tc>
          <w:tcPr>
            <w:tcW w:w="0" w:type="auto"/>
            <w:tcBorders>
              <w:tl2br w:val="nil"/>
              <w:tr2bl w:val="nil"/>
            </w:tcBorders>
            <w:vAlign w:val="center"/>
          </w:tcPr>
          <w:p w14:paraId="6E9F0F47">
            <w:pPr>
              <w:adjustRightInd w:val="0"/>
              <w:jc w:val="center"/>
              <w:rPr>
                <w:color w:val="auto"/>
                <w:szCs w:val="21"/>
              </w:rPr>
            </w:pPr>
          </w:p>
        </w:tc>
        <w:tc>
          <w:tcPr>
            <w:tcW w:w="0" w:type="auto"/>
            <w:tcBorders>
              <w:tl2br w:val="nil"/>
              <w:tr2bl w:val="nil"/>
            </w:tcBorders>
            <w:vAlign w:val="center"/>
          </w:tcPr>
          <w:p w14:paraId="6719FD85">
            <w:pPr>
              <w:adjustRightInd w:val="0"/>
              <w:jc w:val="center"/>
              <w:rPr>
                <w:color w:val="auto"/>
                <w:szCs w:val="21"/>
              </w:rPr>
            </w:pPr>
          </w:p>
        </w:tc>
        <w:tc>
          <w:tcPr>
            <w:tcW w:w="0" w:type="auto"/>
            <w:tcBorders>
              <w:tl2br w:val="nil"/>
              <w:tr2bl w:val="nil"/>
            </w:tcBorders>
            <w:vAlign w:val="center"/>
          </w:tcPr>
          <w:p w14:paraId="6B1FB25A">
            <w:pPr>
              <w:adjustRightInd w:val="0"/>
              <w:jc w:val="center"/>
              <w:rPr>
                <w:color w:val="auto"/>
                <w:szCs w:val="21"/>
              </w:rPr>
            </w:pPr>
          </w:p>
        </w:tc>
      </w:tr>
      <w:tr w14:paraId="72A22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0BFCBAF">
            <w:pPr>
              <w:adjustRightInd w:val="0"/>
              <w:jc w:val="left"/>
              <w:rPr>
                <w:color w:val="auto"/>
                <w:szCs w:val="21"/>
              </w:rPr>
            </w:pPr>
            <w:r>
              <w:rPr>
                <w:color w:val="auto"/>
                <w:szCs w:val="21"/>
              </w:rPr>
              <w:t xml:space="preserve">15 罗纹鸭 </w:t>
            </w:r>
            <w:r>
              <w:rPr>
                <w:i/>
                <w:iCs/>
                <w:color w:val="auto"/>
                <w:szCs w:val="21"/>
              </w:rPr>
              <w:t>Anas falcata</w:t>
            </w:r>
          </w:p>
        </w:tc>
        <w:tc>
          <w:tcPr>
            <w:tcW w:w="0" w:type="auto"/>
            <w:tcBorders>
              <w:tl2br w:val="nil"/>
              <w:tr2bl w:val="nil"/>
            </w:tcBorders>
            <w:vAlign w:val="center"/>
          </w:tcPr>
          <w:p w14:paraId="48F5B45E">
            <w:pPr>
              <w:adjustRightInd w:val="0"/>
              <w:jc w:val="center"/>
              <w:rPr>
                <w:color w:val="auto"/>
                <w:szCs w:val="21"/>
              </w:rPr>
            </w:pPr>
            <w:r>
              <w:rPr>
                <w:color w:val="auto"/>
                <w:szCs w:val="21"/>
              </w:rPr>
              <w:t>W</w:t>
            </w:r>
          </w:p>
        </w:tc>
        <w:tc>
          <w:tcPr>
            <w:tcW w:w="0" w:type="auto"/>
            <w:tcBorders>
              <w:tl2br w:val="nil"/>
              <w:tr2bl w:val="nil"/>
            </w:tcBorders>
            <w:vAlign w:val="center"/>
          </w:tcPr>
          <w:p w14:paraId="1515520B">
            <w:pPr>
              <w:adjustRightInd w:val="0"/>
              <w:jc w:val="center"/>
              <w:rPr>
                <w:color w:val="auto"/>
                <w:szCs w:val="21"/>
              </w:rPr>
            </w:pPr>
            <w:r>
              <w:rPr>
                <w:color w:val="auto"/>
                <w:szCs w:val="21"/>
              </w:rPr>
              <w:t>P</w:t>
            </w:r>
          </w:p>
        </w:tc>
        <w:tc>
          <w:tcPr>
            <w:tcW w:w="0" w:type="auto"/>
            <w:tcBorders>
              <w:tl2br w:val="nil"/>
              <w:tr2bl w:val="nil"/>
            </w:tcBorders>
            <w:vAlign w:val="center"/>
          </w:tcPr>
          <w:p w14:paraId="6DF925F1">
            <w:pPr>
              <w:adjustRightInd w:val="0"/>
              <w:jc w:val="center"/>
              <w:rPr>
                <w:color w:val="auto"/>
                <w:szCs w:val="21"/>
              </w:rPr>
            </w:pPr>
          </w:p>
        </w:tc>
        <w:tc>
          <w:tcPr>
            <w:tcW w:w="0" w:type="auto"/>
            <w:tcBorders>
              <w:tl2br w:val="nil"/>
              <w:tr2bl w:val="nil"/>
            </w:tcBorders>
            <w:vAlign w:val="center"/>
          </w:tcPr>
          <w:p w14:paraId="0A31865D">
            <w:pPr>
              <w:adjustRightInd w:val="0"/>
              <w:jc w:val="center"/>
              <w:rPr>
                <w:color w:val="auto"/>
                <w:szCs w:val="21"/>
              </w:rPr>
            </w:pPr>
            <w:r>
              <w:rPr>
                <w:color w:val="auto"/>
                <w:szCs w:val="21"/>
              </w:rPr>
              <w:t>三有；湘</w:t>
            </w:r>
          </w:p>
        </w:tc>
        <w:tc>
          <w:tcPr>
            <w:tcW w:w="0" w:type="auto"/>
            <w:tcBorders>
              <w:tl2br w:val="nil"/>
              <w:tr2bl w:val="nil"/>
            </w:tcBorders>
            <w:vAlign w:val="center"/>
          </w:tcPr>
          <w:p w14:paraId="28FC6259">
            <w:pPr>
              <w:adjustRightInd w:val="0"/>
              <w:jc w:val="center"/>
              <w:rPr>
                <w:color w:val="auto"/>
                <w:szCs w:val="21"/>
              </w:rPr>
            </w:pPr>
            <w:r>
              <w:rPr>
                <w:color w:val="auto"/>
                <w:szCs w:val="21"/>
              </w:rPr>
              <w:t>NT</w:t>
            </w:r>
          </w:p>
        </w:tc>
        <w:tc>
          <w:tcPr>
            <w:tcW w:w="0" w:type="auto"/>
            <w:tcBorders>
              <w:tl2br w:val="nil"/>
              <w:tr2bl w:val="nil"/>
            </w:tcBorders>
            <w:vAlign w:val="center"/>
          </w:tcPr>
          <w:p w14:paraId="7555AB86">
            <w:pPr>
              <w:adjustRightInd w:val="0"/>
              <w:jc w:val="center"/>
              <w:rPr>
                <w:color w:val="auto"/>
                <w:szCs w:val="21"/>
              </w:rPr>
            </w:pPr>
            <w:r>
              <w:rPr>
                <w:color w:val="auto"/>
                <w:szCs w:val="21"/>
              </w:rPr>
              <w:t>F</w:t>
            </w:r>
          </w:p>
        </w:tc>
      </w:tr>
      <w:tr w14:paraId="01EAE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50C79837">
            <w:pPr>
              <w:adjustRightInd w:val="0"/>
              <w:jc w:val="left"/>
              <w:rPr>
                <w:b/>
                <w:bCs/>
                <w:color w:val="auto"/>
                <w:szCs w:val="21"/>
              </w:rPr>
            </w:pPr>
            <w:r>
              <w:rPr>
                <w:color w:val="auto"/>
                <w:szCs w:val="21"/>
              </w:rPr>
              <w:t>16 鹊鸭</w:t>
            </w:r>
            <w:r>
              <w:rPr>
                <w:i/>
                <w:iCs/>
                <w:color w:val="auto"/>
                <w:szCs w:val="21"/>
              </w:rPr>
              <w:t xml:space="preserve"> Bucephala clangula</w:t>
            </w:r>
          </w:p>
        </w:tc>
        <w:tc>
          <w:tcPr>
            <w:tcW w:w="0" w:type="auto"/>
            <w:tcBorders>
              <w:tl2br w:val="nil"/>
              <w:tr2bl w:val="nil"/>
            </w:tcBorders>
            <w:vAlign w:val="center"/>
          </w:tcPr>
          <w:p w14:paraId="14274B7A">
            <w:pPr>
              <w:adjustRightInd w:val="0"/>
              <w:jc w:val="center"/>
              <w:rPr>
                <w:color w:val="auto"/>
                <w:szCs w:val="21"/>
              </w:rPr>
            </w:pPr>
            <w:r>
              <w:rPr>
                <w:color w:val="auto"/>
                <w:szCs w:val="21"/>
              </w:rPr>
              <w:t>W</w:t>
            </w:r>
          </w:p>
        </w:tc>
        <w:tc>
          <w:tcPr>
            <w:tcW w:w="0" w:type="auto"/>
            <w:tcBorders>
              <w:tl2br w:val="nil"/>
              <w:tr2bl w:val="nil"/>
            </w:tcBorders>
            <w:vAlign w:val="center"/>
          </w:tcPr>
          <w:p w14:paraId="42874476">
            <w:pPr>
              <w:adjustRightInd w:val="0"/>
              <w:jc w:val="center"/>
              <w:rPr>
                <w:color w:val="auto"/>
                <w:szCs w:val="21"/>
              </w:rPr>
            </w:pPr>
            <w:r>
              <w:rPr>
                <w:color w:val="auto"/>
                <w:szCs w:val="21"/>
              </w:rPr>
              <w:t>P</w:t>
            </w:r>
          </w:p>
        </w:tc>
        <w:tc>
          <w:tcPr>
            <w:tcW w:w="0" w:type="auto"/>
            <w:tcBorders>
              <w:tl2br w:val="nil"/>
              <w:tr2bl w:val="nil"/>
            </w:tcBorders>
            <w:vAlign w:val="center"/>
          </w:tcPr>
          <w:p w14:paraId="5A5A4519">
            <w:pPr>
              <w:adjustRightInd w:val="0"/>
              <w:jc w:val="center"/>
              <w:rPr>
                <w:color w:val="auto"/>
                <w:szCs w:val="21"/>
              </w:rPr>
            </w:pPr>
          </w:p>
        </w:tc>
        <w:tc>
          <w:tcPr>
            <w:tcW w:w="0" w:type="auto"/>
            <w:tcBorders>
              <w:tl2br w:val="nil"/>
              <w:tr2bl w:val="nil"/>
            </w:tcBorders>
            <w:vAlign w:val="center"/>
          </w:tcPr>
          <w:p w14:paraId="5419AEF1">
            <w:pPr>
              <w:adjustRightInd w:val="0"/>
              <w:jc w:val="center"/>
              <w:rPr>
                <w:color w:val="auto"/>
                <w:szCs w:val="21"/>
              </w:rPr>
            </w:pPr>
            <w:r>
              <w:rPr>
                <w:color w:val="auto"/>
                <w:szCs w:val="21"/>
              </w:rPr>
              <w:t>三有</w:t>
            </w:r>
          </w:p>
        </w:tc>
        <w:tc>
          <w:tcPr>
            <w:tcW w:w="0" w:type="auto"/>
            <w:tcBorders>
              <w:tl2br w:val="nil"/>
              <w:tr2bl w:val="nil"/>
            </w:tcBorders>
            <w:vAlign w:val="center"/>
          </w:tcPr>
          <w:p w14:paraId="78592BBD">
            <w:pPr>
              <w:adjustRightInd w:val="0"/>
              <w:jc w:val="center"/>
              <w:rPr>
                <w:color w:val="auto"/>
                <w:szCs w:val="21"/>
              </w:rPr>
            </w:pPr>
            <w:r>
              <w:rPr>
                <w:color w:val="auto"/>
                <w:szCs w:val="21"/>
              </w:rPr>
              <w:t>LC</w:t>
            </w:r>
          </w:p>
        </w:tc>
        <w:tc>
          <w:tcPr>
            <w:tcW w:w="0" w:type="auto"/>
            <w:tcBorders>
              <w:tl2br w:val="nil"/>
              <w:tr2bl w:val="nil"/>
            </w:tcBorders>
            <w:vAlign w:val="center"/>
          </w:tcPr>
          <w:p w14:paraId="0FEFE9D9">
            <w:pPr>
              <w:adjustRightInd w:val="0"/>
              <w:jc w:val="center"/>
              <w:rPr>
                <w:color w:val="auto"/>
                <w:szCs w:val="21"/>
              </w:rPr>
            </w:pPr>
            <w:r>
              <w:rPr>
                <w:color w:val="auto"/>
                <w:szCs w:val="21"/>
              </w:rPr>
              <w:t>K</w:t>
            </w:r>
          </w:p>
        </w:tc>
      </w:tr>
      <w:tr w14:paraId="49864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C3E5A18">
            <w:pPr>
              <w:adjustRightInd w:val="0"/>
              <w:jc w:val="left"/>
              <w:rPr>
                <w:color w:val="auto"/>
                <w:szCs w:val="21"/>
              </w:rPr>
            </w:pPr>
            <w:r>
              <w:rPr>
                <w:color w:val="auto"/>
                <w:szCs w:val="21"/>
              </w:rPr>
              <w:t xml:space="preserve">17 斑嘴鸭 </w:t>
            </w:r>
            <w:r>
              <w:rPr>
                <w:i/>
                <w:iCs/>
                <w:color w:val="auto"/>
                <w:szCs w:val="21"/>
              </w:rPr>
              <w:t>Anas poecilorhyncha</w:t>
            </w:r>
          </w:p>
        </w:tc>
        <w:tc>
          <w:tcPr>
            <w:tcW w:w="0" w:type="auto"/>
            <w:tcBorders>
              <w:tl2br w:val="nil"/>
              <w:tr2bl w:val="nil"/>
            </w:tcBorders>
            <w:vAlign w:val="center"/>
          </w:tcPr>
          <w:p w14:paraId="6F131738">
            <w:pPr>
              <w:adjustRightInd w:val="0"/>
              <w:jc w:val="center"/>
              <w:rPr>
                <w:color w:val="auto"/>
                <w:szCs w:val="21"/>
              </w:rPr>
            </w:pPr>
            <w:r>
              <w:rPr>
                <w:color w:val="auto"/>
                <w:szCs w:val="21"/>
              </w:rPr>
              <w:t>W</w:t>
            </w:r>
          </w:p>
        </w:tc>
        <w:tc>
          <w:tcPr>
            <w:tcW w:w="0" w:type="auto"/>
            <w:tcBorders>
              <w:tl2br w:val="nil"/>
              <w:tr2bl w:val="nil"/>
            </w:tcBorders>
            <w:vAlign w:val="center"/>
          </w:tcPr>
          <w:p w14:paraId="4A6EC1A5">
            <w:pPr>
              <w:adjustRightInd w:val="0"/>
              <w:jc w:val="center"/>
              <w:rPr>
                <w:color w:val="auto"/>
                <w:szCs w:val="21"/>
              </w:rPr>
            </w:pPr>
            <w:r>
              <w:rPr>
                <w:color w:val="auto"/>
                <w:szCs w:val="21"/>
              </w:rPr>
              <w:t>C</w:t>
            </w:r>
          </w:p>
        </w:tc>
        <w:tc>
          <w:tcPr>
            <w:tcW w:w="0" w:type="auto"/>
            <w:tcBorders>
              <w:tl2br w:val="nil"/>
              <w:tr2bl w:val="nil"/>
            </w:tcBorders>
            <w:vAlign w:val="center"/>
          </w:tcPr>
          <w:p w14:paraId="1607ABFD">
            <w:pPr>
              <w:adjustRightInd w:val="0"/>
              <w:jc w:val="center"/>
              <w:rPr>
                <w:color w:val="auto"/>
                <w:szCs w:val="21"/>
              </w:rPr>
            </w:pPr>
          </w:p>
        </w:tc>
        <w:tc>
          <w:tcPr>
            <w:tcW w:w="0" w:type="auto"/>
            <w:tcBorders>
              <w:tl2br w:val="nil"/>
              <w:tr2bl w:val="nil"/>
            </w:tcBorders>
            <w:vAlign w:val="center"/>
          </w:tcPr>
          <w:p w14:paraId="3F5DC29B">
            <w:pPr>
              <w:adjustRightInd w:val="0"/>
              <w:jc w:val="center"/>
              <w:rPr>
                <w:color w:val="auto"/>
                <w:szCs w:val="21"/>
              </w:rPr>
            </w:pPr>
            <w:r>
              <w:rPr>
                <w:color w:val="auto"/>
                <w:szCs w:val="21"/>
              </w:rPr>
              <w:t>三有；湘</w:t>
            </w:r>
          </w:p>
        </w:tc>
        <w:tc>
          <w:tcPr>
            <w:tcW w:w="0" w:type="auto"/>
            <w:tcBorders>
              <w:tl2br w:val="nil"/>
              <w:tr2bl w:val="nil"/>
            </w:tcBorders>
            <w:vAlign w:val="center"/>
          </w:tcPr>
          <w:p w14:paraId="0AFF88E8">
            <w:pPr>
              <w:adjustRightInd w:val="0"/>
              <w:jc w:val="center"/>
              <w:rPr>
                <w:color w:val="auto"/>
                <w:szCs w:val="21"/>
              </w:rPr>
            </w:pPr>
            <w:r>
              <w:rPr>
                <w:color w:val="auto"/>
                <w:szCs w:val="21"/>
              </w:rPr>
              <w:t>LC</w:t>
            </w:r>
          </w:p>
        </w:tc>
        <w:tc>
          <w:tcPr>
            <w:tcW w:w="0" w:type="auto"/>
            <w:tcBorders>
              <w:tl2br w:val="nil"/>
              <w:tr2bl w:val="nil"/>
            </w:tcBorders>
            <w:vAlign w:val="center"/>
          </w:tcPr>
          <w:p w14:paraId="0833E288">
            <w:pPr>
              <w:adjustRightInd w:val="0"/>
              <w:jc w:val="center"/>
              <w:rPr>
                <w:color w:val="auto"/>
                <w:szCs w:val="21"/>
              </w:rPr>
            </w:pPr>
            <w:r>
              <w:rPr>
                <w:color w:val="auto"/>
                <w:szCs w:val="21"/>
              </w:rPr>
              <w:t>K</w:t>
            </w:r>
          </w:p>
        </w:tc>
      </w:tr>
      <w:tr w14:paraId="4BE8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EACC426">
            <w:pPr>
              <w:adjustRightInd w:val="0"/>
              <w:jc w:val="left"/>
              <w:rPr>
                <w:color w:val="auto"/>
                <w:szCs w:val="21"/>
              </w:rPr>
            </w:pPr>
            <w:r>
              <w:rPr>
                <w:color w:val="auto"/>
                <w:szCs w:val="21"/>
              </w:rPr>
              <w:t xml:space="preserve">18 绿头鸭 </w:t>
            </w:r>
            <w:r>
              <w:rPr>
                <w:i/>
                <w:iCs/>
                <w:color w:val="auto"/>
                <w:szCs w:val="21"/>
              </w:rPr>
              <w:t>Anas platyrhynchos</w:t>
            </w:r>
          </w:p>
        </w:tc>
        <w:tc>
          <w:tcPr>
            <w:tcW w:w="0" w:type="auto"/>
            <w:tcBorders>
              <w:tl2br w:val="nil"/>
              <w:tr2bl w:val="nil"/>
            </w:tcBorders>
            <w:vAlign w:val="center"/>
          </w:tcPr>
          <w:p w14:paraId="04EDC1E5">
            <w:pPr>
              <w:adjustRightInd w:val="0"/>
              <w:jc w:val="center"/>
              <w:rPr>
                <w:color w:val="auto"/>
                <w:szCs w:val="21"/>
              </w:rPr>
            </w:pPr>
            <w:r>
              <w:rPr>
                <w:color w:val="auto"/>
                <w:szCs w:val="21"/>
              </w:rPr>
              <w:t>W</w:t>
            </w:r>
          </w:p>
        </w:tc>
        <w:tc>
          <w:tcPr>
            <w:tcW w:w="0" w:type="auto"/>
            <w:tcBorders>
              <w:tl2br w:val="nil"/>
              <w:tr2bl w:val="nil"/>
            </w:tcBorders>
            <w:vAlign w:val="center"/>
          </w:tcPr>
          <w:p w14:paraId="30342ABC">
            <w:pPr>
              <w:adjustRightInd w:val="0"/>
              <w:jc w:val="center"/>
              <w:rPr>
                <w:color w:val="auto"/>
                <w:szCs w:val="21"/>
              </w:rPr>
            </w:pPr>
            <w:r>
              <w:rPr>
                <w:color w:val="auto"/>
                <w:szCs w:val="21"/>
              </w:rPr>
              <w:t>P</w:t>
            </w:r>
          </w:p>
        </w:tc>
        <w:tc>
          <w:tcPr>
            <w:tcW w:w="0" w:type="auto"/>
            <w:tcBorders>
              <w:tl2br w:val="nil"/>
              <w:tr2bl w:val="nil"/>
            </w:tcBorders>
            <w:vAlign w:val="center"/>
          </w:tcPr>
          <w:p w14:paraId="5C583F25">
            <w:pPr>
              <w:adjustRightInd w:val="0"/>
              <w:jc w:val="center"/>
              <w:rPr>
                <w:color w:val="auto"/>
                <w:szCs w:val="21"/>
              </w:rPr>
            </w:pPr>
          </w:p>
        </w:tc>
        <w:tc>
          <w:tcPr>
            <w:tcW w:w="0" w:type="auto"/>
            <w:tcBorders>
              <w:tl2br w:val="nil"/>
              <w:tr2bl w:val="nil"/>
            </w:tcBorders>
            <w:vAlign w:val="center"/>
          </w:tcPr>
          <w:p w14:paraId="407B47E8">
            <w:pPr>
              <w:adjustRightInd w:val="0"/>
              <w:jc w:val="center"/>
              <w:rPr>
                <w:color w:val="auto"/>
                <w:szCs w:val="21"/>
              </w:rPr>
            </w:pPr>
            <w:r>
              <w:rPr>
                <w:color w:val="auto"/>
                <w:szCs w:val="21"/>
              </w:rPr>
              <w:t>三有；湘</w:t>
            </w:r>
          </w:p>
        </w:tc>
        <w:tc>
          <w:tcPr>
            <w:tcW w:w="0" w:type="auto"/>
            <w:tcBorders>
              <w:tl2br w:val="nil"/>
              <w:tr2bl w:val="nil"/>
            </w:tcBorders>
            <w:vAlign w:val="center"/>
          </w:tcPr>
          <w:p w14:paraId="54826479">
            <w:pPr>
              <w:adjustRightInd w:val="0"/>
              <w:jc w:val="center"/>
              <w:rPr>
                <w:color w:val="auto"/>
                <w:szCs w:val="21"/>
              </w:rPr>
            </w:pPr>
            <w:r>
              <w:rPr>
                <w:color w:val="auto"/>
                <w:szCs w:val="21"/>
              </w:rPr>
              <w:t>LC</w:t>
            </w:r>
          </w:p>
        </w:tc>
        <w:tc>
          <w:tcPr>
            <w:tcW w:w="0" w:type="auto"/>
            <w:tcBorders>
              <w:tl2br w:val="nil"/>
              <w:tr2bl w:val="nil"/>
            </w:tcBorders>
            <w:vAlign w:val="center"/>
          </w:tcPr>
          <w:p w14:paraId="295563F4">
            <w:pPr>
              <w:adjustRightInd w:val="0"/>
              <w:jc w:val="center"/>
              <w:rPr>
                <w:color w:val="auto"/>
                <w:szCs w:val="21"/>
              </w:rPr>
            </w:pPr>
            <w:r>
              <w:rPr>
                <w:color w:val="auto"/>
                <w:szCs w:val="21"/>
              </w:rPr>
              <w:t>K</w:t>
            </w:r>
          </w:p>
        </w:tc>
      </w:tr>
      <w:tr w14:paraId="64E14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AEB14A3">
            <w:pPr>
              <w:adjustRightInd w:val="0"/>
              <w:jc w:val="left"/>
              <w:rPr>
                <w:color w:val="auto"/>
                <w:szCs w:val="21"/>
              </w:rPr>
            </w:pPr>
            <w:r>
              <w:rPr>
                <w:color w:val="auto"/>
                <w:szCs w:val="21"/>
              </w:rPr>
              <w:t xml:space="preserve">19 白额雁 </w:t>
            </w:r>
            <w:r>
              <w:rPr>
                <w:i/>
                <w:iCs/>
                <w:color w:val="auto"/>
                <w:szCs w:val="21"/>
              </w:rPr>
              <w:t>Anser albifrons</w:t>
            </w:r>
          </w:p>
        </w:tc>
        <w:tc>
          <w:tcPr>
            <w:tcW w:w="0" w:type="auto"/>
            <w:tcBorders>
              <w:tl2br w:val="nil"/>
              <w:tr2bl w:val="nil"/>
            </w:tcBorders>
            <w:vAlign w:val="center"/>
          </w:tcPr>
          <w:p w14:paraId="17837122">
            <w:pPr>
              <w:adjustRightInd w:val="0"/>
              <w:jc w:val="center"/>
              <w:rPr>
                <w:color w:val="auto"/>
                <w:szCs w:val="21"/>
              </w:rPr>
            </w:pPr>
            <w:r>
              <w:rPr>
                <w:color w:val="auto"/>
                <w:szCs w:val="21"/>
              </w:rPr>
              <w:t>W</w:t>
            </w:r>
          </w:p>
        </w:tc>
        <w:tc>
          <w:tcPr>
            <w:tcW w:w="0" w:type="auto"/>
            <w:tcBorders>
              <w:tl2br w:val="nil"/>
              <w:tr2bl w:val="nil"/>
            </w:tcBorders>
            <w:vAlign w:val="center"/>
          </w:tcPr>
          <w:p w14:paraId="2897D682">
            <w:pPr>
              <w:adjustRightInd w:val="0"/>
              <w:jc w:val="center"/>
              <w:rPr>
                <w:color w:val="auto"/>
                <w:szCs w:val="21"/>
              </w:rPr>
            </w:pPr>
            <w:r>
              <w:rPr>
                <w:color w:val="auto"/>
                <w:szCs w:val="21"/>
              </w:rPr>
              <w:t>P</w:t>
            </w:r>
          </w:p>
        </w:tc>
        <w:tc>
          <w:tcPr>
            <w:tcW w:w="0" w:type="auto"/>
            <w:tcBorders>
              <w:tl2br w:val="nil"/>
              <w:tr2bl w:val="nil"/>
            </w:tcBorders>
            <w:vAlign w:val="center"/>
          </w:tcPr>
          <w:p w14:paraId="640CF2B2">
            <w:pPr>
              <w:adjustRightInd w:val="0"/>
              <w:jc w:val="center"/>
              <w:rPr>
                <w:color w:val="auto"/>
                <w:szCs w:val="21"/>
              </w:rPr>
            </w:pPr>
          </w:p>
        </w:tc>
        <w:tc>
          <w:tcPr>
            <w:tcW w:w="0" w:type="auto"/>
            <w:tcBorders>
              <w:tl2br w:val="nil"/>
              <w:tr2bl w:val="nil"/>
            </w:tcBorders>
            <w:vAlign w:val="center"/>
          </w:tcPr>
          <w:p w14:paraId="5FC77CB7">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03086176">
            <w:pPr>
              <w:adjustRightInd w:val="0"/>
              <w:jc w:val="center"/>
              <w:rPr>
                <w:color w:val="auto"/>
                <w:szCs w:val="21"/>
              </w:rPr>
            </w:pPr>
            <w:r>
              <w:rPr>
                <w:color w:val="auto"/>
                <w:szCs w:val="21"/>
              </w:rPr>
              <w:t>LC</w:t>
            </w:r>
          </w:p>
        </w:tc>
        <w:tc>
          <w:tcPr>
            <w:tcW w:w="0" w:type="auto"/>
            <w:tcBorders>
              <w:tl2br w:val="nil"/>
              <w:tr2bl w:val="nil"/>
            </w:tcBorders>
            <w:vAlign w:val="center"/>
          </w:tcPr>
          <w:p w14:paraId="738F8B56">
            <w:pPr>
              <w:adjustRightInd w:val="0"/>
              <w:jc w:val="center"/>
              <w:rPr>
                <w:color w:val="auto"/>
                <w:szCs w:val="21"/>
              </w:rPr>
            </w:pPr>
            <w:r>
              <w:rPr>
                <w:color w:val="auto"/>
                <w:szCs w:val="21"/>
              </w:rPr>
              <w:t>K</w:t>
            </w:r>
          </w:p>
        </w:tc>
      </w:tr>
      <w:tr w14:paraId="78CA1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174472A">
            <w:pPr>
              <w:adjustRightInd w:val="0"/>
              <w:jc w:val="left"/>
              <w:rPr>
                <w:color w:val="auto"/>
                <w:szCs w:val="21"/>
              </w:rPr>
            </w:pPr>
            <w:r>
              <w:rPr>
                <w:color w:val="auto"/>
                <w:szCs w:val="21"/>
              </w:rPr>
              <w:t xml:space="preserve">20 小白额雁 </w:t>
            </w:r>
            <w:r>
              <w:rPr>
                <w:i/>
                <w:iCs/>
                <w:color w:val="auto"/>
                <w:szCs w:val="21"/>
              </w:rPr>
              <w:t>Anser erythropus</w:t>
            </w:r>
          </w:p>
        </w:tc>
        <w:tc>
          <w:tcPr>
            <w:tcW w:w="0" w:type="auto"/>
            <w:tcBorders>
              <w:tl2br w:val="nil"/>
              <w:tr2bl w:val="nil"/>
            </w:tcBorders>
            <w:vAlign w:val="center"/>
          </w:tcPr>
          <w:p w14:paraId="54DAEA7A">
            <w:pPr>
              <w:adjustRightInd w:val="0"/>
              <w:jc w:val="center"/>
              <w:rPr>
                <w:color w:val="auto"/>
                <w:szCs w:val="21"/>
              </w:rPr>
            </w:pPr>
            <w:r>
              <w:rPr>
                <w:color w:val="auto"/>
                <w:szCs w:val="21"/>
              </w:rPr>
              <w:t>W</w:t>
            </w:r>
          </w:p>
        </w:tc>
        <w:tc>
          <w:tcPr>
            <w:tcW w:w="0" w:type="auto"/>
            <w:tcBorders>
              <w:tl2br w:val="nil"/>
              <w:tr2bl w:val="nil"/>
            </w:tcBorders>
            <w:vAlign w:val="center"/>
          </w:tcPr>
          <w:p w14:paraId="6D622A73">
            <w:pPr>
              <w:adjustRightInd w:val="0"/>
              <w:jc w:val="center"/>
              <w:rPr>
                <w:color w:val="auto"/>
                <w:szCs w:val="21"/>
              </w:rPr>
            </w:pPr>
            <w:r>
              <w:rPr>
                <w:color w:val="auto"/>
                <w:szCs w:val="21"/>
              </w:rPr>
              <w:t>P</w:t>
            </w:r>
          </w:p>
        </w:tc>
        <w:tc>
          <w:tcPr>
            <w:tcW w:w="0" w:type="auto"/>
            <w:tcBorders>
              <w:tl2br w:val="nil"/>
              <w:tr2bl w:val="nil"/>
            </w:tcBorders>
            <w:vAlign w:val="center"/>
          </w:tcPr>
          <w:p w14:paraId="6A037FB3">
            <w:pPr>
              <w:adjustRightInd w:val="0"/>
              <w:jc w:val="center"/>
              <w:rPr>
                <w:color w:val="auto"/>
                <w:szCs w:val="21"/>
              </w:rPr>
            </w:pPr>
          </w:p>
        </w:tc>
        <w:tc>
          <w:tcPr>
            <w:tcW w:w="0" w:type="auto"/>
            <w:tcBorders>
              <w:tl2br w:val="nil"/>
              <w:tr2bl w:val="nil"/>
            </w:tcBorders>
            <w:vAlign w:val="center"/>
          </w:tcPr>
          <w:p w14:paraId="2346F508">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7433092C">
            <w:pPr>
              <w:adjustRightInd w:val="0"/>
              <w:jc w:val="center"/>
              <w:rPr>
                <w:color w:val="auto"/>
                <w:szCs w:val="21"/>
              </w:rPr>
            </w:pPr>
            <w:r>
              <w:rPr>
                <w:color w:val="auto"/>
                <w:szCs w:val="21"/>
              </w:rPr>
              <w:t>VU</w:t>
            </w:r>
          </w:p>
        </w:tc>
        <w:tc>
          <w:tcPr>
            <w:tcW w:w="0" w:type="auto"/>
            <w:tcBorders>
              <w:tl2br w:val="nil"/>
              <w:tr2bl w:val="nil"/>
            </w:tcBorders>
            <w:vAlign w:val="center"/>
          </w:tcPr>
          <w:p w14:paraId="64F3D1F2">
            <w:pPr>
              <w:adjustRightInd w:val="0"/>
              <w:jc w:val="center"/>
              <w:rPr>
                <w:color w:val="auto"/>
                <w:szCs w:val="21"/>
              </w:rPr>
            </w:pPr>
            <w:r>
              <w:rPr>
                <w:color w:val="auto"/>
                <w:szCs w:val="21"/>
              </w:rPr>
              <w:t>K</w:t>
            </w:r>
          </w:p>
        </w:tc>
      </w:tr>
      <w:tr w14:paraId="378F2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D2A7BD4">
            <w:pPr>
              <w:adjustRightInd w:val="0"/>
              <w:jc w:val="left"/>
              <w:rPr>
                <w:color w:val="auto"/>
                <w:szCs w:val="21"/>
              </w:rPr>
            </w:pPr>
            <w:r>
              <w:rPr>
                <w:color w:val="auto"/>
                <w:szCs w:val="21"/>
              </w:rPr>
              <w:t xml:space="preserve">21 小天鹅 </w:t>
            </w:r>
            <w:r>
              <w:rPr>
                <w:i/>
                <w:iCs/>
                <w:color w:val="auto"/>
                <w:szCs w:val="21"/>
              </w:rPr>
              <w:t>Cygnus columbianus</w:t>
            </w:r>
          </w:p>
        </w:tc>
        <w:tc>
          <w:tcPr>
            <w:tcW w:w="0" w:type="auto"/>
            <w:tcBorders>
              <w:tl2br w:val="nil"/>
              <w:tr2bl w:val="nil"/>
            </w:tcBorders>
            <w:vAlign w:val="center"/>
          </w:tcPr>
          <w:p w14:paraId="61DD7903">
            <w:pPr>
              <w:adjustRightInd w:val="0"/>
              <w:jc w:val="center"/>
              <w:rPr>
                <w:color w:val="auto"/>
                <w:szCs w:val="21"/>
              </w:rPr>
            </w:pPr>
            <w:r>
              <w:rPr>
                <w:color w:val="auto"/>
                <w:szCs w:val="21"/>
              </w:rPr>
              <w:t>W</w:t>
            </w:r>
          </w:p>
        </w:tc>
        <w:tc>
          <w:tcPr>
            <w:tcW w:w="0" w:type="auto"/>
            <w:tcBorders>
              <w:tl2br w:val="nil"/>
              <w:tr2bl w:val="nil"/>
            </w:tcBorders>
            <w:vAlign w:val="center"/>
          </w:tcPr>
          <w:p w14:paraId="087851D1">
            <w:pPr>
              <w:adjustRightInd w:val="0"/>
              <w:jc w:val="center"/>
              <w:rPr>
                <w:color w:val="auto"/>
                <w:szCs w:val="21"/>
              </w:rPr>
            </w:pPr>
            <w:r>
              <w:rPr>
                <w:color w:val="auto"/>
                <w:szCs w:val="21"/>
              </w:rPr>
              <w:t>C</w:t>
            </w:r>
          </w:p>
        </w:tc>
        <w:tc>
          <w:tcPr>
            <w:tcW w:w="0" w:type="auto"/>
            <w:tcBorders>
              <w:tl2br w:val="nil"/>
              <w:tr2bl w:val="nil"/>
            </w:tcBorders>
            <w:vAlign w:val="center"/>
          </w:tcPr>
          <w:p w14:paraId="0AE77DB8">
            <w:pPr>
              <w:adjustRightInd w:val="0"/>
              <w:jc w:val="center"/>
              <w:rPr>
                <w:color w:val="auto"/>
                <w:szCs w:val="21"/>
              </w:rPr>
            </w:pPr>
          </w:p>
        </w:tc>
        <w:tc>
          <w:tcPr>
            <w:tcW w:w="0" w:type="auto"/>
            <w:tcBorders>
              <w:tl2br w:val="nil"/>
              <w:tr2bl w:val="nil"/>
            </w:tcBorders>
            <w:vAlign w:val="center"/>
          </w:tcPr>
          <w:p w14:paraId="6DCEB78F">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2E64E03D">
            <w:pPr>
              <w:adjustRightInd w:val="0"/>
              <w:jc w:val="center"/>
              <w:rPr>
                <w:color w:val="auto"/>
                <w:szCs w:val="21"/>
              </w:rPr>
            </w:pPr>
            <w:r>
              <w:rPr>
                <w:color w:val="auto"/>
                <w:szCs w:val="21"/>
              </w:rPr>
              <w:t>NT</w:t>
            </w:r>
          </w:p>
        </w:tc>
        <w:tc>
          <w:tcPr>
            <w:tcW w:w="0" w:type="auto"/>
            <w:tcBorders>
              <w:tl2br w:val="nil"/>
              <w:tr2bl w:val="nil"/>
            </w:tcBorders>
            <w:vAlign w:val="center"/>
          </w:tcPr>
          <w:p w14:paraId="6EFB3E3A">
            <w:pPr>
              <w:adjustRightInd w:val="0"/>
              <w:jc w:val="center"/>
              <w:rPr>
                <w:color w:val="auto"/>
                <w:szCs w:val="21"/>
              </w:rPr>
            </w:pPr>
            <w:r>
              <w:rPr>
                <w:color w:val="auto"/>
                <w:szCs w:val="21"/>
              </w:rPr>
              <w:t>Z</w:t>
            </w:r>
          </w:p>
        </w:tc>
      </w:tr>
      <w:tr w14:paraId="42D53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AF7F963">
            <w:pPr>
              <w:adjustRightInd w:val="0"/>
              <w:jc w:val="left"/>
              <w:rPr>
                <w:color w:val="auto"/>
                <w:szCs w:val="21"/>
              </w:rPr>
            </w:pPr>
            <w:r>
              <w:rPr>
                <w:color w:val="auto"/>
                <w:szCs w:val="21"/>
              </w:rPr>
              <w:t xml:space="preserve">22 鸳鸯 </w:t>
            </w:r>
            <w:r>
              <w:rPr>
                <w:i/>
                <w:iCs/>
                <w:color w:val="auto"/>
                <w:szCs w:val="21"/>
              </w:rPr>
              <w:t>Aix galericulata</w:t>
            </w:r>
          </w:p>
        </w:tc>
        <w:tc>
          <w:tcPr>
            <w:tcW w:w="0" w:type="auto"/>
            <w:tcBorders>
              <w:tl2br w:val="nil"/>
              <w:tr2bl w:val="nil"/>
            </w:tcBorders>
            <w:vAlign w:val="center"/>
          </w:tcPr>
          <w:p w14:paraId="6626FB5E">
            <w:pPr>
              <w:adjustRightInd w:val="0"/>
              <w:jc w:val="center"/>
              <w:rPr>
                <w:color w:val="auto"/>
                <w:szCs w:val="21"/>
              </w:rPr>
            </w:pPr>
            <w:r>
              <w:rPr>
                <w:color w:val="auto"/>
                <w:szCs w:val="21"/>
              </w:rPr>
              <w:t>W</w:t>
            </w:r>
          </w:p>
        </w:tc>
        <w:tc>
          <w:tcPr>
            <w:tcW w:w="0" w:type="auto"/>
            <w:tcBorders>
              <w:tl2br w:val="nil"/>
              <w:tr2bl w:val="nil"/>
            </w:tcBorders>
            <w:vAlign w:val="center"/>
          </w:tcPr>
          <w:p w14:paraId="00862C07">
            <w:pPr>
              <w:adjustRightInd w:val="0"/>
              <w:jc w:val="center"/>
              <w:rPr>
                <w:color w:val="auto"/>
                <w:szCs w:val="21"/>
              </w:rPr>
            </w:pPr>
            <w:r>
              <w:rPr>
                <w:color w:val="auto"/>
                <w:szCs w:val="21"/>
              </w:rPr>
              <w:t>C</w:t>
            </w:r>
          </w:p>
        </w:tc>
        <w:tc>
          <w:tcPr>
            <w:tcW w:w="0" w:type="auto"/>
            <w:tcBorders>
              <w:tl2br w:val="nil"/>
              <w:tr2bl w:val="nil"/>
            </w:tcBorders>
            <w:vAlign w:val="center"/>
          </w:tcPr>
          <w:p w14:paraId="3653CB15">
            <w:pPr>
              <w:adjustRightInd w:val="0"/>
              <w:jc w:val="center"/>
              <w:rPr>
                <w:color w:val="auto"/>
                <w:szCs w:val="21"/>
              </w:rPr>
            </w:pPr>
          </w:p>
        </w:tc>
        <w:tc>
          <w:tcPr>
            <w:tcW w:w="0" w:type="auto"/>
            <w:tcBorders>
              <w:tl2br w:val="nil"/>
              <w:tr2bl w:val="nil"/>
            </w:tcBorders>
            <w:vAlign w:val="center"/>
          </w:tcPr>
          <w:p w14:paraId="47A2A37F">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45670D49">
            <w:pPr>
              <w:adjustRightInd w:val="0"/>
              <w:jc w:val="center"/>
              <w:rPr>
                <w:color w:val="auto"/>
                <w:szCs w:val="21"/>
              </w:rPr>
            </w:pPr>
          </w:p>
        </w:tc>
        <w:tc>
          <w:tcPr>
            <w:tcW w:w="0" w:type="auto"/>
            <w:tcBorders>
              <w:tl2br w:val="nil"/>
              <w:tr2bl w:val="nil"/>
            </w:tcBorders>
            <w:vAlign w:val="center"/>
          </w:tcPr>
          <w:p w14:paraId="1D7594AB">
            <w:pPr>
              <w:adjustRightInd w:val="0"/>
              <w:jc w:val="center"/>
              <w:rPr>
                <w:color w:val="auto"/>
                <w:szCs w:val="21"/>
              </w:rPr>
            </w:pPr>
            <w:r>
              <w:rPr>
                <w:color w:val="auto"/>
                <w:szCs w:val="21"/>
              </w:rPr>
              <w:t>Z</w:t>
            </w:r>
          </w:p>
        </w:tc>
      </w:tr>
      <w:tr w14:paraId="57C79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84128DB">
            <w:pPr>
              <w:adjustRightInd w:val="0"/>
              <w:jc w:val="left"/>
              <w:rPr>
                <w:color w:val="auto"/>
                <w:szCs w:val="21"/>
              </w:rPr>
            </w:pPr>
            <w:r>
              <w:rPr>
                <w:color w:val="auto"/>
                <w:szCs w:val="21"/>
              </w:rPr>
              <w:t xml:space="preserve">23 鸿雁 </w:t>
            </w:r>
            <w:r>
              <w:rPr>
                <w:i/>
                <w:iCs/>
                <w:color w:val="auto"/>
                <w:szCs w:val="21"/>
              </w:rPr>
              <w:t>Anser cygnoid</w:t>
            </w:r>
          </w:p>
        </w:tc>
        <w:tc>
          <w:tcPr>
            <w:tcW w:w="0" w:type="auto"/>
            <w:tcBorders>
              <w:tl2br w:val="nil"/>
              <w:tr2bl w:val="nil"/>
            </w:tcBorders>
            <w:vAlign w:val="center"/>
          </w:tcPr>
          <w:p w14:paraId="46C90B3C">
            <w:pPr>
              <w:adjustRightInd w:val="0"/>
              <w:jc w:val="center"/>
              <w:rPr>
                <w:color w:val="auto"/>
                <w:szCs w:val="21"/>
              </w:rPr>
            </w:pPr>
            <w:r>
              <w:rPr>
                <w:color w:val="auto"/>
                <w:szCs w:val="21"/>
              </w:rPr>
              <w:t>W</w:t>
            </w:r>
          </w:p>
        </w:tc>
        <w:tc>
          <w:tcPr>
            <w:tcW w:w="0" w:type="auto"/>
            <w:tcBorders>
              <w:tl2br w:val="nil"/>
              <w:tr2bl w:val="nil"/>
            </w:tcBorders>
            <w:vAlign w:val="center"/>
          </w:tcPr>
          <w:p w14:paraId="29C0E70C">
            <w:pPr>
              <w:adjustRightInd w:val="0"/>
              <w:jc w:val="center"/>
              <w:rPr>
                <w:color w:val="auto"/>
                <w:szCs w:val="21"/>
              </w:rPr>
            </w:pPr>
            <w:r>
              <w:rPr>
                <w:color w:val="auto"/>
                <w:szCs w:val="21"/>
              </w:rPr>
              <w:t>P</w:t>
            </w:r>
          </w:p>
        </w:tc>
        <w:tc>
          <w:tcPr>
            <w:tcW w:w="0" w:type="auto"/>
            <w:tcBorders>
              <w:tl2br w:val="nil"/>
              <w:tr2bl w:val="nil"/>
            </w:tcBorders>
            <w:vAlign w:val="center"/>
          </w:tcPr>
          <w:p w14:paraId="686C8090">
            <w:pPr>
              <w:adjustRightInd w:val="0"/>
              <w:jc w:val="center"/>
              <w:rPr>
                <w:color w:val="auto"/>
                <w:szCs w:val="21"/>
              </w:rPr>
            </w:pPr>
          </w:p>
        </w:tc>
        <w:tc>
          <w:tcPr>
            <w:tcW w:w="0" w:type="auto"/>
            <w:tcBorders>
              <w:tl2br w:val="nil"/>
              <w:tr2bl w:val="nil"/>
            </w:tcBorders>
            <w:vAlign w:val="center"/>
          </w:tcPr>
          <w:p w14:paraId="258CFFE9">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2D426131">
            <w:pPr>
              <w:adjustRightInd w:val="0"/>
              <w:jc w:val="center"/>
              <w:rPr>
                <w:color w:val="auto"/>
                <w:szCs w:val="21"/>
              </w:rPr>
            </w:pPr>
            <w:r>
              <w:rPr>
                <w:color w:val="auto"/>
                <w:szCs w:val="21"/>
              </w:rPr>
              <w:t>VU</w:t>
            </w:r>
          </w:p>
        </w:tc>
        <w:tc>
          <w:tcPr>
            <w:tcW w:w="0" w:type="auto"/>
            <w:tcBorders>
              <w:tl2br w:val="nil"/>
              <w:tr2bl w:val="nil"/>
            </w:tcBorders>
            <w:vAlign w:val="center"/>
          </w:tcPr>
          <w:p w14:paraId="66975C94">
            <w:pPr>
              <w:adjustRightInd w:val="0"/>
              <w:jc w:val="center"/>
              <w:rPr>
                <w:color w:val="auto"/>
                <w:szCs w:val="21"/>
              </w:rPr>
            </w:pPr>
          </w:p>
        </w:tc>
      </w:tr>
      <w:tr w14:paraId="3B22E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F7BCFFE">
            <w:pPr>
              <w:adjustRightInd w:val="0"/>
              <w:jc w:val="left"/>
              <w:rPr>
                <w:color w:val="auto"/>
                <w:szCs w:val="21"/>
              </w:rPr>
            </w:pPr>
            <w:r>
              <w:rPr>
                <w:color w:val="auto"/>
                <w:szCs w:val="21"/>
              </w:rPr>
              <w:t xml:space="preserve">24 豆雁 </w:t>
            </w:r>
            <w:r>
              <w:rPr>
                <w:i/>
                <w:iCs/>
                <w:color w:val="auto"/>
                <w:szCs w:val="21"/>
              </w:rPr>
              <w:t>Anser fabalis</w:t>
            </w:r>
          </w:p>
        </w:tc>
        <w:tc>
          <w:tcPr>
            <w:tcW w:w="0" w:type="auto"/>
            <w:tcBorders>
              <w:tl2br w:val="nil"/>
              <w:tr2bl w:val="nil"/>
            </w:tcBorders>
            <w:vAlign w:val="center"/>
          </w:tcPr>
          <w:p w14:paraId="6BE703EF">
            <w:pPr>
              <w:adjustRightInd w:val="0"/>
              <w:jc w:val="center"/>
              <w:rPr>
                <w:color w:val="auto"/>
                <w:szCs w:val="21"/>
              </w:rPr>
            </w:pPr>
            <w:r>
              <w:rPr>
                <w:color w:val="auto"/>
                <w:szCs w:val="21"/>
              </w:rPr>
              <w:t>W</w:t>
            </w:r>
          </w:p>
        </w:tc>
        <w:tc>
          <w:tcPr>
            <w:tcW w:w="0" w:type="auto"/>
            <w:tcBorders>
              <w:tl2br w:val="nil"/>
              <w:tr2bl w:val="nil"/>
            </w:tcBorders>
            <w:vAlign w:val="center"/>
          </w:tcPr>
          <w:p w14:paraId="188EDEAA">
            <w:pPr>
              <w:adjustRightInd w:val="0"/>
              <w:jc w:val="center"/>
              <w:rPr>
                <w:color w:val="auto"/>
                <w:szCs w:val="21"/>
              </w:rPr>
            </w:pPr>
            <w:r>
              <w:rPr>
                <w:color w:val="auto"/>
                <w:szCs w:val="21"/>
              </w:rPr>
              <w:t>P</w:t>
            </w:r>
          </w:p>
        </w:tc>
        <w:tc>
          <w:tcPr>
            <w:tcW w:w="0" w:type="auto"/>
            <w:tcBorders>
              <w:tl2br w:val="nil"/>
              <w:tr2bl w:val="nil"/>
            </w:tcBorders>
            <w:vAlign w:val="center"/>
          </w:tcPr>
          <w:p w14:paraId="3C00D688">
            <w:pPr>
              <w:adjustRightInd w:val="0"/>
              <w:jc w:val="center"/>
              <w:rPr>
                <w:color w:val="auto"/>
                <w:szCs w:val="21"/>
              </w:rPr>
            </w:pPr>
          </w:p>
        </w:tc>
        <w:tc>
          <w:tcPr>
            <w:tcW w:w="0" w:type="auto"/>
            <w:tcBorders>
              <w:tl2br w:val="nil"/>
              <w:tr2bl w:val="nil"/>
            </w:tcBorders>
            <w:vAlign w:val="center"/>
          </w:tcPr>
          <w:p w14:paraId="0732F0C8">
            <w:pPr>
              <w:adjustRightInd w:val="0"/>
              <w:jc w:val="center"/>
              <w:rPr>
                <w:color w:val="auto"/>
                <w:szCs w:val="21"/>
              </w:rPr>
            </w:pPr>
            <w:r>
              <w:rPr>
                <w:color w:val="auto"/>
                <w:szCs w:val="21"/>
              </w:rPr>
              <w:t>三有；湘</w:t>
            </w:r>
          </w:p>
        </w:tc>
        <w:tc>
          <w:tcPr>
            <w:tcW w:w="0" w:type="auto"/>
            <w:tcBorders>
              <w:tl2br w:val="nil"/>
              <w:tr2bl w:val="nil"/>
            </w:tcBorders>
            <w:vAlign w:val="center"/>
          </w:tcPr>
          <w:p w14:paraId="484BE62C">
            <w:pPr>
              <w:adjustRightInd w:val="0"/>
              <w:jc w:val="center"/>
              <w:rPr>
                <w:color w:val="auto"/>
                <w:szCs w:val="21"/>
              </w:rPr>
            </w:pPr>
            <w:r>
              <w:rPr>
                <w:color w:val="auto"/>
                <w:szCs w:val="21"/>
              </w:rPr>
              <w:t>LC</w:t>
            </w:r>
          </w:p>
        </w:tc>
        <w:tc>
          <w:tcPr>
            <w:tcW w:w="0" w:type="auto"/>
            <w:tcBorders>
              <w:tl2br w:val="nil"/>
              <w:tr2bl w:val="nil"/>
            </w:tcBorders>
            <w:vAlign w:val="center"/>
          </w:tcPr>
          <w:p w14:paraId="22CA04B2">
            <w:pPr>
              <w:adjustRightInd w:val="0"/>
              <w:jc w:val="center"/>
              <w:rPr>
                <w:color w:val="auto"/>
                <w:szCs w:val="21"/>
              </w:rPr>
            </w:pPr>
          </w:p>
        </w:tc>
      </w:tr>
      <w:tr w14:paraId="0CC85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59B136F">
            <w:pPr>
              <w:adjustRightInd w:val="0"/>
              <w:jc w:val="left"/>
              <w:rPr>
                <w:color w:val="auto"/>
                <w:szCs w:val="21"/>
              </w:rPr>
            </w:pPr>
            <w:r>
              <w:rPr>
                <w:color w:val="auto"/>
                <w:szCs w:val="21"/>
              </w:rPr>
              <w:t>25 灰雁</w:t>
            </w:r>
            <w:r>
              <w:rPr>
                <w:i/>
                <w:iCs/>
                <w:color w:val="auto"/>
                <w:szCs w:val="21"/>
              </w:rPr>
              <w:t xml:space="preserve"> Anser anser</w:t>
            </w:r>
          </w:p>
        </w:tc>
        <w:tc>
          <w:tcPr>
            <w:tcW w:w="0" w:type="auto"/>
            <w:tcBorders>
              <w:tl2br w:val="nil"/>
              <w:tr2bl w:val="nil"/>
            </w:tcBorders>
            <w:vAlign w:val="center"/>
          </w:tcPr>
          <w:p w14:paraId="69456FE6">
            <w:pPr>
              <w:adjustRightInd w:val="0"/>
              <w:jc w:val="center"/>
              <w:rPr>
                <w:color w:val="auto"/>
                <w:szCs w:val="21"/>
              </w:rPr>
            </w:pPr>
            <w:r>
              <w:rPr>
                <w:color w:val="auto"/>
                <w:szCs w:val="21"/>
              </w:rPr>
              <w:t>W</w:t>
            </w:r>
          </w:p>
        </w:tc>
        <w:tc>
          <w:tcPr>
            <w:tcW w:w="0" w:type="auto"/>
            <w:tcBorders>
              <w:tl2br w:val="nil"/>
              <w:tr2bl w:val="nil"/>
            </w:tcBorders>
            <w:vAlign w:val="center"/>
          </w:tcPr>
          <w:p w14:paraId="27E2BDF2">
            <w:pPr>
              <w:adjustRightInd w:val="0"/>
              <w:jc w:val="center"/>
              <w:rPr>
                <w:color w:val="auto"/>
                <w:szCs w:val="21"/>
              </w:rPr>
            </w:pPr>
            <w:r>
              <w:rPr>
                <w:color w:val="auto"/>
                <w:szCs w:val="21"/>
              </w:rPr>
              <w:t>P</w:t>
            </w:r>
          </w:p>
        </w:tc>
        <w:tc>
          <w:tcPr>
            <w:tcW w:w="0" w:type="auto"/>
            <w:tcBorders>
              <w:tl2br w:val="nil"/>
              <w:tr2bl w:val="nil"/>
            </w:tcBorders>
            <w:vAlign w:val="center"/>
          </w:tcPr>
          <w:p w14:paraId="409DBC43">
            <w:pPr>
              <w:adjustRightInd w:val="0"/>
              <w:jc w:val="center"/>
              <w:rPr>
                <w:color w:val="auto"/>
                <w:szCs w:val="21"/>
              </w:rPr>
            </w:pPr>
          </w:p>
        </w:tc>
        <w:tc>
          <w:tcPr>
            <w:tcW w:w="0" w:type="auto"/>
            <w:tcBorders>
              <w:tl2br w:val="nil"/>
              <w:tr2bl w:val="nil"/>
            </w:tcBorders>
            <w:vAlign w:val="center"/>
          </w:tcPr>
          <w:p w14:paraId="7E4C3DE3">
            <w:pPr>
              <w:adjustRightInd w:val="0"/>
              <w:jc w:val="center"/>
              <w:rPr>
                <w:color w:val="auto"/>
                <w:szCs w:val="21"/>
              </w:rPr>
            </w:pPr>
            <w:r>
              <w:rPr>
                <w:color w:val="auto"/>
                <w:szCs w:val="21"/>
              </w:rPr>
              <w:t>三有；湘</w:t>
            </w:r>
          </w:p>
        </w:tc>
        <w:tc>
          <w:tcPr>
            <w:tcW w:w="0" w:type="auto"/>
            <w:tcBorders>
              <w:tl2br w:val="nil"/>
              <w:tr2bl w:val="nil"/>
            </w:tcBorders>
            <w:vAlign w:val="center"/>
          </w:tcPr>
          <w:p w14:paraId="4DEF2EB7">
            <w:pPr>
              <w:adjustRightInd w:val="0"/>
              <w:jc w:val="center"/>
              <w:rPr>
                <w:color w:val="auto"/>
                <w:szCs w:val="21"/>
              </w:rPr>
            </w:pPr>
            <w:r>
              <w:rPr>
                <w:color w:val="auto"/>
                <w:szCs w:val="21"/>
              </w:rPr>
              <w:t>LC</w:t>
            </w:r>
          </w:p>
        </w:tc>
        <w:tc>
          <w:tcPr>
            <w:tcW w:w="0" w:type="auto"/>
            <w:tcBorders>
              <w:tl2br w:val="nil"/>
              <w:tr2bl w:val="nil"/>
            </w:tcBorders>
            <w:vAlign w:val="center"/>
          </w:tcPr>
          <w:p w14:paraId="6BE0090E">
            <w:pPr>
              <w:adjustRightInd w:val="0"/>
              <w:jc w:val="center"/>
              <w:rPr>
                <w:color w:val="auto"/>
                <w:szCs w:val="21"/>
              </w:rPr>
            </w:pPr>
          </w:p>
        </w:tc>
      </w:tr>
      <w:tr w14:paraId="16B65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BEA84AB">
            <w:pPr>
              <w:adjustRightInd w:val="0"/>
              <w:jc w:val="left"/>
              <w:rPr>
                <w:color w:val="auto"/>
                <w:szCs w:val="21"/>
              </w:rPr>
            </w:pPr>
            <w:r>
              <w:rPr>
                <w:color w:val="auto"/>
                <w:szCs w:val="21"/>
              </w:rPr>
              <w:t xml:space="preserve">26 斑头雁 </w:t>
            </w:r>
            <w:r>
              <w:rPr>
                <w:i/>
                <w:iCs/>
                <w:color w:val="auto"/>
                <w:szCs w:val="21"/>
              </w:rPr>
              <w:t>Anser indicus</w:t>
            </w:r>
          </w:p>
        </w:tc>
        <w:tc>
          <w:tcPr>
            <w:tcW w:w="0" w:type="auto"/>
            <w:tcBorders>
              <w:tl2br w:val="nil"/>
              <w:tr2bl w:val="nil"/>
            </w:tcBorders>
            <w:vAlign w:val="center"/>
          </w:tcPr>
          <w:p w14:paraId="6EF07BAB">
            <w:pPr>
              <w:adjustRightInd w:val="0"/>
              <w:jc w:val="center"/>
              <w:rPr>
                <w:color w:val="auto"/>
                <w:szCs w:val="21"/>
              </w:rPr>
            </w:pPr>
            <w:r>
              <w:rPr>
                <w:color w:val="auto"/>
                <w:szCs w:val="21"/>
              </w:rPr>
              <w:t>W</w:t>
            </w:r>
          </w:p>
        </w:tc>
        <w:tc>
          <w:tcPr>
            <w:tcW w:w="0" w:type="auto"/>
            <w:tcBorders>
              <w:tl2br w:val="nil"/>
              <w:tr2bl w:val="nil"/>
            </w:tcBorders>
            <w:vAlign w:val="center"/>
          </w:tcPr>
          <w:p w14:paraId="1AC55086">
            <w:pPr>
              <w:adjustRightInd w:val="0"/>
              <w:jc w:val="center"/>
              <w:rPr>
                <w:color w:val="auto"/>
                <w:szCs w:val="21"/>
              </w:rPr>
            </w:pPr>
            <w:r>
              <w:rPr>
                <w:color w:val="auto"/>
                <w:szCs w:val="21"/>
              </w:rPr>
              <w:t>P</w:t>
            </w:r>
          </w:p>
        </w:tc>
        <w:tc>
          <w:tcPr>
            <w:tcW w:w="0" w:type="auto"/>
            <w:tcBorders>
              <w:tl2br w:val="nil"/>
              <w:tr2bl w:val="nil"/>
            </w:tcBorders>
            <w:vAlign w:val="center"/>
          </w:tcPr>
          <w:p w14:paraId="1EAEF2D5">
            <w:pPr>
              <w:adjustRightInd w:val="0"/>
              <w:jc w:val="center"/>
              <w:rPr>
                <w:color w:val="auto"/>
                <w:szCs w:val="21"/>
              </w:rPr>
            </w:pPr>
          </w:p>
        </w:tc>
        <w:tc>
          <w:tcPr>
            <w:tcW w:w="0" w:type="auto"/>
            <w:tcBorders>
              <w:tl2br w:val="nil"/>
              <w:tr2bl w:val="nil"/>
            </w:tcBorders>
            <w:vAlign w:val="center"/>
          </w:tcPr>
          <w:p w14:paraId="38A69A2A">
            <w:pPr>
              <w:adjustRightInd w:val="0"/>
              <w:jc w:val="center"/>
              <w:rPr>
                <w:color w:val="auto"/>
                <w:szCs w:val="21"/>
              </w:rPr>
            </w:pPr>
            <w:r>
              <w:rPr>
                <w:color w:val="auto"/>
                <w:szCs w:val="21"/>
              </w:rPr>
              <w:t>三有</w:t>
            </w:r>
          </w:p>
        </w:tc>
        <w:tc>
          <w:tcPr>
            <w:tcW w:w="0" w:type="auto"/>
            <w:tcBorders>
              <w:tl2br w:val="nil"/>
              <w:tr2bl w:val="nil"/>
            </w:tcBorders>
            <w:vAlign w:val="center"/>
          </w:tcPr>
          <w:p w14:paraId="6A750D5B">
            <w:pPr>
              <w:adjustRightInd w:val="0"/>
              <w:jc w:val="center"/>
              <w:rPr>
                <w:color w:val="auto"/>
                <w:szCs w:val="21"/>
              </w:rPr>
            </w:pPr>
            <w:r>
              <w:rPr>
                <w:color w:val="auto"/>
                <w:szCs w:val="21"/>
              </w:rPr>
              <w:t>LC</w:t>
            </w:r>
          </w:p>
        </w:tc>
        <w:tc>
          <w:tcPr>
            <w:tcW w:w="0" w:type="auto"/>
            <w:tcBorders>
              <w:tl2br w:val="nil"/>
              <w:tr2bl w:val="nil"/>
            </w:tcBorders>
            <w:vAlign w:val="center"/>
          </w:tcPr>
          <w:p w14:paraId="278E3C91">
            <w:pPr>
              <w:adjustRightInd w:val="0"/>
              <w:jc w:val="center"/>
              <w:rPr>
                <w:color w:val="auto"/>
                <w:szCs w:val="21"/>
              </w:rPr>
            </w:pPr>
          </w:p>
        </w:tc>
      </w:tr>
      <w:tr w14:paraId="21C18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D5C7CBA">
            <w:pPr>
              <w:adjustRightInd w:val="0"/>
              <w:jc w:val="left"/>
              <w:rPr>
                <w:color w:val="auto"/>
                <w:szCs w:val="21"/>
              </w:rPr>
            </w:pPr>
            <w:r>
              <w:rPr>
                <w:color w:val="auto"/>
                <w:szCs w:val="21"/>
              </w:rPr>
              <w:t xml:space="preserve">27 翘鼻麻鸭 </w:t>
            </w:r>
            <w:r>
              <w:rPr>
                <w:i/>
                <w:iCs/>
                <w:color w:val="auto"/>
                <w:szCs w:val="21"/>
              </w:rPr>
              <w:t>Tadorna tadorna</w:t>
            </w:r>
          </w:p>
        </w:tc>
        <w:tc>
          <w:tcPr>
            <w:tcW w:w="0" w:type="auto"/>
            <w:tcBorders>
              <w:tl2br w:val="nil"/>
              <w:tr2bl w:val="nil"/>
            </w:tcBorders>
            <w:vAlign w:val="center"/>
          </w:tcPr>
          <w:p w14:paraId="1029DB24">
            <w:pPr>
              <w:adjustRightInd w:val="0"/>
              <w:jc w:val="center"/>
              <w:rPr>
                <w:color w:val="auto"/>
                <w:szCs w:val="21"/>
              </w:rPr>
            </w:pPr>
            <w:r>
              <w:rPr>
                <w:color w:val="auto"/>
                <w:szCs w:val="21"/>
              </w:rPr>
              <w:t>W</w:t>
            </w:r>
          </w:p>
        </w:tc>
        <w:tc>
          <w:tcPr>
            <w:tcW w:w="0" w:type="auto"/>
            <w:tcBorders>
              <w:tl2br w:val="nil"/>
              <w:tr2bl w:val="nil"/>
            </w:tcBorders>
            <w:vAlign w:val="center"/>
          </w:tcPr>
          <w:p w14:paraId="30C8B963">
            <w:pPr>
              <w:adjustRightInd w:val="0"/>
              <w:jc w:val="center"/>
              <w:rPr>
                <w:color w:val="auto"/>
                <w:szCs w:val="21"/>
              </w:rPr>
            </w:pPr>
            <w:r>
              <w:rPr>
                <w:color w:val="auto"/>
                <w:szCs w:val="21"/>
              </w:rPr>
              <w:t>P</w:t>
            </w:r>
          </w:p>
        </w:tc>
        <w:tc>
          <w:tcPr>
            <w:tcW w:w="0" w:type="auto"/>
            <w:tcBorders>
              <w:tl2br w:val="nil"/>
              <w:tr2bl w:val="nil"/>
            </w:tcBorders>
            <w:vAlign w:val="center"/>
          </w:tcPr>
          <w:p w14:paraId="1F7CE57B">
            <w:pPr>
              <w:adjustRightInd w:val="0"/>
              <w:jc w:val="center"/>
              <w:rPr>
                <w:color w:val="auto"/>
                <w:szCs w:val="21"/>
              </w:rPr>
            </w:pPr>
          </w:p>
        </w:tc>
        <w:tc>
          <w:tcPr>
            <w:tcW w:w="0" w:type="auto"/>
            <w:tcBorders>
              <w:tl2br w:val="nil"/>
              <w:tr2bl w:val="nil"/>
            </w:tcBorders>
            <w:vAlign w:val="center"/>
          </w:tcPr>
          <w:p w14:paraId="157C6359">
            <w:pPr>
              <w:adjustRightInd w:val="0"/>
              <w:jc w:val="center"/>
              <w:rPr>
                <w:color w:val="auto"/>
                <w:szCs w:val="21"/>
              </w:rPr>
            </w:pPr>
            <w:r>
              <w:rPr>
                <w:color w:val="auto"/>
                <w:szCs w:val="21"/>
              </w:rPr>
              <w:t>三有；湘</w:t>
            </w:r>
          </w:p>
        </w:tc>
        <w:tc>
          <w:tcPr>
            <w:tcW w:w="0" w:type="auto"/>
            <w:tcBorders>
              <w:tl2br w:val="nil"/>
              <w:tr2bl w:val="nil"/>
            </w:tcBorders>
            <w:vAlign w:val="center"/>
          </w:tcPr>
          <w:p w14:paraId="5FFC01A1">
            <w:pPr>
              <w:adjustRightInd w:val="0"/>
              <w:jc w:val="center"/>
              <w:rPr>
                <w:color w:val="auto"/>
                <w:szCs w:val="21"/>
              </w:rPr>
            </w:pPr>
            <w:r>
              <w:rPr>
                <w:color w:val="auto"/>
                <w:szCs w:val="21"/>
              </w:rPr>
              <w:t>LC</w:t>
            </w:r>
          </w:p>
        </w:tc>
        <w:tc>
          <w:tcPr>
            <w:tcW w:w="0" w:type="auto"/>
            <w:tcBorders>
              <w:tl2br w:val="nil"/>
              <w:tr2bl w:val="nil"/>
            </w:tcBorders>
            <w:vAlign w:val="center"/>
          </w:tcPr>
          <w:p w14:paraId="61D77572">
            <w:pPr>
              <w:adjustRightInd w:val="0"/>
              <w:jc w:val="center"/>
              <w:rPr>
                <w:color w:val="auto"/>
                <w:szCs w:val="21"/>
              </w:rPr>
            </w:pPr>
          </w:p>
        </w:tc>
      </w:tr>
      <w:tr w14:paraId="5151E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99F69E0">
            <w:pPr>
              <w:adjustRightInd w:val="0"/>
              <w:jc w:val="left"/>
              <w:rPr>
                <w:color w:val="auto"/>
                <w:szCs w:val="21"/>
              </w:rPr>
            </w:pPr>
            <w:r>
              <w:rPr>
                <w:color w:val="auto"/>
                <w:szCs w:val="21"/>
              </w:rPr>
              <w:t xml:space="preserve">28 赤麻鸭 </w:t>
            </w:r>
            <w:r>
              <w:rPr>
                <w:i/>
                <w:iCs/>
                <w:color w:val="auto"/>
                <w:szCs w:val="21"/>
              </w:rPr>
              <w:t>Tadorna ferruginea</w:t>
            </w:r>
          </w:p>
        </w:tc>
        <w:tc>
          <w:tcPr>
            <w:tcW w:w="0" w:type="auto"/>
            <w:tcBorders>
              <w:tl2br w:val="nil"/>
              <w:tr2bl w:val="nil"/>
            </w:tcBorders>
            <w:vAlign w:val="center"/>
          </w:tcPr>
          <w:p w14:paraId="13AD81C2">
            <w:pPr>
              <w:adjustRightInd w:val="0"/>
              <w:jc w:val="center"/>
              <w:rPr>
                <w:color w:val="auto"/>
                <w:szCs w:val="21"/>
              </w:rPr>
            </w:pPr>
            <w:r>
              <w:rPr>
                <w:color w:val="auto"/>
                <w:szCs w:val="21"/>
              </w:rPr>
              <w:t>W</w:t>
            </w:r>
          </w:p>
        </w:tc>
        <w:tc>
          <w:tcPr>
            <w:tcW w:w="0" w:type="auto"/>
            <w:tcBorders>
              <w:tl2br w:val="nil"/>
              <w:tr2bl w:val="nil"/>
            </w:tcBorders>
            <w:vAlign w:val="center"/>
          </w:tcPr>
          <w:p w14:paraId="0257989E">
            <w:pPr>
              <w:adjustRightInd w:val="0"/>
              <w:jc w:val="center"/>
              <w:rPr>
                <w:color w:val="auto"/>
                <w:szCs w:val="21"/>
              </w:rPr>
            </w:pPr>
            <w:r>
              <w:rPr>
                <w:color w:val="auto"/>
                <w:szCs w:val="21"/>
              </w:rPr>
              <w:t>P</w:t>
            </w:r>
          </w:p>
        </w:tc>
        <w:tc>
          <w:tcPr>
            <w:tcW w:w="0" w:type="auto"/>
            <w:tcBorders>
              <w:tl2br w:val="nil"/>
              <w:tr2bl w:val="nil"/>
            </w:tcBorders>
            <w:vAlign w:val="center"/>
          </w:tcPr>
          <w:p w14:paraId="75868E28">
            <w:pPr>
              <w:adjustRightInd w:val="0"/>
              <w:jc w:val="center"/>
              <w:rPr>
                <w:color w:val="auto"/>
                <w:szCs w:val="21"/>
              </w:rPr>
            </w:pPr>
          </w:p>
        </w:tc>
        <w:tc>
          <w:tcPr>
            <w:tcW w:w="0" w:type="auto"/>
            <w:tcBorders>
              <w:tl2br w:val="nil"/>
              <w:tr2bl w:val="nil"/>
            </w:tcBorders>
            <w:vAlign w:val="center"/>
          </w:tcPr>
          <w:p w14:paraId="46088D8B">
            <w:pPr>
              <w:adjustRightInd w:val="0"/>
              <w:jc w:val="center"/>
              <w:rPr>
                <w:color w:val="auto"/>
                <w:szCs w:val="21"/>
              </w:rPr>
            </w:pPr>
            <w:r>
              <w:rPr>
                <w:color w:val="auto"/>
                <w:szCs w:val="21"/>
              </w:rPr>
              <w:t>三有；湘</w:t>
            </w:r>
          </w:p>
        </w:tc>
        <w:tc>
          <w:tcPr>
            <w:tcW w:w="0" w:type="auto"/>
            <w:tcBorders>
              <w:tl2br w:val="nil"/>
              <w:tr2bl w:val="nil"/>
            </w:tcBorders>
            <w:vAlign w:val="center"/>
          </w:tcPr>
          <w:p w14:paraId="512AE563">
            <w:pPr>
              <w:adjustRightInd w:val="0"/>
              <w:jc w:val="center"/>
              <w:rPr>
                <w:color w:val="auto"/>
                <w:szCs w:val="21"/>
              </w:rPr>
            </w:pPr>
            <w:r>
              <w:rPr>
                <w:color w:val="auto"/>
                <w:szCs w:val="21"/>
              </w:rPr>
              <w:t>LC</w:t>
            </w:r>
          </w:p>
        </w:tc>
        <w:tc>
          <w:tcPr>
            <w:tcW w:w="0" w:type="auto"/>
            <w:tcBorders>
              <w:tl2br w:val="nil"/>
              <w:tr2bl w:val="nil"/>
            </w:tcBorders>
            <w:vAlign w:val="center"/>
          </w:tcPr>
          <w:p w14:paraId="75AEE346">
            <w:pPr>
              <w:adjustRightInd w:val="0"/>
              <w:jc w:val="center"/>
              <w:rPr>
                <w:color w:val="auto"/>
                <w:szCs w:val="21"/>
              </w:rPr>
            </w:pPr>
          </w:p>
        </w:tc>
      </w:tr>
      <w:tr w14:paraId="05BB7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EE0CB15">
            <w:pPr>
              <w:adjustRightInd w:val="0"/>
              <w:jc w:val="left"/>
              <w:rPr>
                <w:color w:val="auto"/>
                <w:szCs w:val="21"/>
              </w:rPr>
            </w:pPr>
            <w:r>
              <w:rPr>
                <w:color w:val="auto"/>
                <w:szCs w:val="21"/>
              </w:rPr>
              <w:t xml:space="preserve">29 绿翅鸭 </w:t>
            </w:r>
            <w:r>
              <w:rPr>
                <w:i/>
                <w:iCs/>
                <w:color w:val="auto"/>
                <w:szCs w:val="21"/>
              </w:rPr>
              <w:t>Anas crecca</w:t>
            </w:r>
          </w:p>
        </w:tc>
        <w:tc>
          <w:tcPr>
            <w:tcW w:w="0" w:type="auto"/>
            <w:tcBorders>
              <w:tl2br w:val="nil"/>
              <w:tr2bl w:val="nil"/>
            </w:tcBorders>
            <w:vAlign w:val="center"/>
          </w:tcPr>
          <w:p w14:paraId="20DBC630">
            <w:pPr>
              <w:adjustRightInd w:val="0"/>
              <w:jc w:val="center"/>
              <w:rPr>
                <w:color w:val="auto"/>
                <w:szCs w:val="21"/>
              </w:rPr>
            </w:pPr>
            <w:r>
              <w:rPr>
                <w:color w:val="auto"/>
                <w:szCs w:val="21"/>
              </w:rPr>
              <w:t>W</w:t>
            </w:r>
          </w:p>
        </w:tc>
        <w:tc>
          <w:tcPr>
            <w:tcW w:w="0" w:type="auto"/>
            <w:tcBorders>
              <w:tl2br w:val="nil"/>
              <w:tr2bl w:val="nil"/>
            </w:tcBorders>
            <w:vAlign w:val="center"/>
          </w:tcPr>
          <w:p w14:paraId="2A4EE5F2">
            <w:pPr>
              <w:adjustRightInd w:val="0"/>
              <w:jc w:val="center"/>
              <w:rPr>
                <w:color w:val="auto"/>
                <w:szCs w:val="21"/>
              </w:rPr>
            </w:pPr>
            <w:r>
              <w:rPr>
                <w:color w:val="auto"/>
                <w:szCs w:val="21"/>
              </w:rPr>
              <w:t>P</w:t>
            </w:r>
          </w:p>
        </w:tc>
        <w:tc>
          <w:tcPr>
            <w:tcW w:w="0" w:type="auto"/>
            <w:tcBorders>
              <w:tl2br w:val="nil"/>
              <w:tr2bl w:val="nil"/>
            </w:tcBorders>
            <w:vAlign w:val="center"/>
          </w:tcPr>
          <w:p w14:paraId="2FD84BD5">
            <w:pPr>
              <w:adjustRightInd w:val="0"/>
              <w:jc w:val="center"/>
              <w:rPr>
                <w:color w:val="auto"/>
                <w:szCs w:val="21"/>
              </w:rPr>
            </w:pPr>
          </w:p>
        </w:tc>
        <w:tc>
          <w:tcPr>
            <w:tcW w:w="0" w:type="auto"/>
            <w:tcBorders>
              <w:tl2br w:val="nil"/>
              <w:tr2bl w:val="nil"/>
            </w:tcBorders>
            <w:vAlign w:val="center"/>
          </w:tcPr>
          <w:p w14:paraId="17E1F8D5">
            <w:pPr>
              <w:adjustRightInd w:val="0"/>
              <w:jc w:val="center"/>
              <w:rPr>
                <w:color w:val="auto"/>
                <w:szCs w:val="21"/>
              </w:rPr>
            </w:pPr>
            <w:r>
              <w:rPr>
                <w:color w:val="auto"/>
                <w:szCs w:val="21"/>
              </w:rPr>
              <w:t>三有；湘</w:t>
            </w:r>
          </w:p>
        </w:tc>
        <w:tc>
          <w:tcPr>
            <w:tcW w:w="0" w:type="auto"/>
            <w:tcBorders>
              <w:tl2br w:val="nil"/>
              <w:tr2bl w:val="nil"/>
            </w:tcBorders>
            <w:vAlign w:val="center"/>
          </w:tcPr>
          <w:p w14:paraId="5313BDAC">
            <w:pPr>
              <w:adjustRightInd w:val="0"/>
              <w:jc w:val="center"/>
              <w:rPr>
                <w:color w:val="auto"/>
                <w:szCs w:val="21"/>
              </w:rPr>
            </w:pPr>
            <w:r>
              <w:rPr>
                <w:color w:val="auto"/>
                <w:szCs w:val="21"/>
              </w:rPr>
              <w:t>LC</w:t>
            </w:r>
          </w:p>
        </w:tc>
        <w:tc>
          <w:tcPr>
            <w:tcW w:w="0" w:type="auto"/>
            <w:tcBorders>
              <w:tl2br w:val="nil"/>
              <w:tr2bl w:val="nil"/>
            </w:tcBorders>
            <w:vAlign w:val="center"/>
          </w:tcPr>
          <w:p w14:paraId="37605576">
            <w:pPr>
              <w:adjustRightInd w:val="0"/>
              <w:jc w:val="center"/>
              <w:rPr>
                <w:color w:val="auto"/>
                <w:szCs w:val="21"/>
              </w:rPr>
            </w:pPr>
          </w:p>
        </w:tc>
      </w:tr>
      <w:tr w14:paraId="2778F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30C6855">
            <w:pPr>
              <w:adjustRightInd w:val="0"/>
              <w:jc w:val="left"/>
              <w:rPr>
                <w:color w:val="auto"/>
                <w:szCs w:val="21"/>
              </w:rPr>
            </w:pPr>
            <w:r>
              <w:rPr>
                <w:color w:val="auto"/>
                <w:szCs w:val="21"/>
              </w:rPr>
              <w:t xml:space="preserve">30 琵嘴鸭 </w:t>
            </w:r>
            <w:r>
              <w:rPr>
                <w:i/>
                <w:iCs/>
                <w:color w:val="auto"/>
                <w:szCs w:val="21"/>
              </w:rPr>
              <w:t>Spatula clypeata</w:t>
            </w:r>
          </w:p>
        </w:tc>
        <w:tc>
          <w:tcPr>
            <w:tcW w:w="0" w:type="auto"/>
            <w:tcBorders>
              <w:tl2br w:val="nil"/>
              <w:tr2bl w:val="nil"/>
            </w:tcBorders>
            <w:vAlign w:val="center"/>
          </w:tcPr>
          <w:p w14:paraId="0E0B4313">
            <w:pPr>
              <w:adjustRightInd w:val="0"/>
              <w:jc w:val="center"/>
              <w:rPr>
                <w:color w:val="auto"/>
                <w:szCs w:val="21"/>
              </w:rPr>
            </w:pPr>
            <w:r>
              <w:rPr>
                <w:color w:val="auto"/>
                <w:szCs w:val="21"/>
              </w:rPr>
              <w:t>W</w:t>
            </w:r>
          </w:p>
        </w:tc>
        <w:tc>
          <w:tcPr>
            <w:tcW w:w="0" w:type="auto"/>
            <w:tcBorders>
              <w:tl2br w:val="nil"/>
              <w:tr2bl w:val="nil"/>
            </w:tcBorders>
            <w:vAlign w:val="center"/>
          </w:tcPr>
          <w:p w14:paraId="6118DA3D">
            <w:pPr>
              <w:adjustRightInd w:val="0"/>
              <w:jc w:val="center"/>
              <w:rPr>
                <w:color w:val="auto"/>
                <w:szCs w:val="21"/>
              </w:rPr>
            </w:pPr>
            <w:r>
              <w:rPr>
                <w:color w:val="auto"/>
                <w:szCs w:val="21"/>
              </w:rPr>
              <w:t>P</w:t>
            </w:r>
          </w:p>
        </w:tc>
        <w:tc>
          <w:tcPr>
            <w:tcW w:w="0" w:type="auto"/>
            <w:tcBorders>
              <w:tl2br w:val="nil"/>
              <w:tr2bl w:val="nil"/>
            </w:tcBorders>
            <w:vAlign w:val="center"/>
          </w:tcPr>
          <w:p w14:paraId="117938B2">
            <w:pPr>
              <w:adjustRightInd w:val="0"/>
              <w:jc w:val="center"/>
              <w:rPr>
                <w:color w:val="auto"/>
                <w:szCs w:val="21"/>
              </w:rPr>
            </w:pPr>
          </w:p>
        </w:tc>
        <w:tc>
          <w:tcPr>
            <w:tcW w:w="0" w:type="auto"/>
            <w:tcBorders>
              <w:tl2br w:val="nil"/>
              <w:tr2bl w:val="nil"/>
            </w:tcBorders>
            <w:vAlign w:val="center"/>
          </w:tcPr>
          <w:p w14:paraId="7280B2AB">
            <w:pPr>
              <w:adjustRightInd w:val="0"/>
              <w:jc w:val="center"/>
              <w:rPr>
                <w:color w:val="auto"/>
                <w:szCs w:val="21"/>
              </w:rPr>
            </w:pPr>
            <w:r>
              <w:rPr>
                <w:color w:val="auto"/>
                <w:szCs w:val="21"/>
              </w:rPr>
              <w:t>三有；湘</w:t>
            </w:r>
          </w:p>
        </w:tc>
        <w:tc>
          <w:tcPr>
            <w:tcW w:w="0" w:type="auto"/>
            <w:tcBorders>
              <w:tl2br w:val="nil"/>
              <w:tr2bl w:val="nil"/>
            </w:tcBorders>
            <w:vAlign w:val="center"/>
          </w:tcPr>
          <w:p w14:paraId="4E533831">
            <w:pPr>
              <w:adjustRightInd w:val="0"/>
              <w:jc w:val="center"/>
              <w:rPr>
                <w:color w:val="auto"/>
                <w:szCs w:val="21"/>
              </w:rPr>
            </w:pPr>
            <w:r>
              <w:rPr>
                <w:color w:val="auto"/>
                <w:szCs w:val="21"/>
              </w:rPr>
              <w:t>LC</w:t>
            </w:r>
          </w:p>
        </w:tc>
        <w:tc>
          <w:tcPr>
            <w:tcW w:w="0" w:type="auto"/>
            <w:tcBorders>
              <w:tl2br w:val="nil"/>
              <w:tr2bl w:val="nil"/>
            </w:tcBorders>
            <w:vAlign w:val="center"/>
          </w:tcPr>
          <w:p w14:paraId="699F8332">
            <w:pPr>
              <w:adjustRightInd w:val="0"/>
              <w:jc w:val="center"/>
              <w:rPr>
                <w:color w:val="auto"/>
                <w:szCs w:val="21"/>
              </w:rPr>
            </w:pPr>
          </w:p>
        </w:tc>
      </w:tr>
      <w:tr w14:paraId="17F8F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66A200A">
            <w:pPr>
              <w:adjustRightInd w:val="0"/>
              <w:jc w:val="left"/>
              <w:rPr>
                <w:color w:val="auto"/>
                <w:szCs w:val="21"/>
              </w:rPr>
            </w:pPr>
            <w:r>
              <w:rPr>
                <w:color w:val="auto"/>
                <w:szCs w:val="21"/>
              </w:rPr>
              <w:t>31 针尾鸭</w:t>
            </w:r>
            <w:r>
              <w:rPr>
                <w:i/>
                <w:iCs/>
                <w:color w:val="auto"/>
                <w:szCs w:val="21"/>
              </w:rPr>
              <w:t xml:space="preserve"> Anas acuta</w:t>
            </w:r>
          </w:p>
        </w:tc>
        <w:tc>
          <w:tcPr>
            <w:tcW w:w="0" w:type="auto"/>
            <w:tcBorders>
              <w:tl2br w:val="nil"/>
              <w:tr2bl w:val="nil"/>
            </w:tcBorders>
            <w:vAlign w:val="center"/>
          </w:tcPr>
          <w:p w14:paraId="105C1A5E">
            <w:pPr>
              <w:adjustRightInd w:val="0"/>
              <w:jc w:val="center"/>
              <w:rPr>
                <w:color w:val="auto"/>
                <w:szCs w:val="21"/>
              </w:rPr>
            </w:pPr>
            <w:r>
              <w:rPr>
                <w:color w:val="auto"/>
                <w:szCs w:val="21"/>
              </w:rPr>
              <w:t>W</w:t>
            </w:r>
          </w:p>
        </w:tc>
        <w:tc>
          <w:tcPr>
            <w:tcW w:w="0" w:type="auto"/>
            <w:tcBorders>
              <w:tl2br w:val="nil"/>
              <w:tr2bl w:val="nil"/>
            </w:tcBorders>
            <w:vAlign w:val="center"/>
          </w:tcPr>
          <w:p w14:paraId="386C4FDB">
            <w:pPr>
              <w:adjustRightInd w:val="0"/>
              <w:jc w:val="center"/>
              <w:rPr>
                <w:color w:val="auto"/>
                <w:szCs w:val="21"/>
              </w:rPr>
            </w:pPr>
            <w:r>
              <w:rPr>
                <w:color w:val="auto"/>
                <w:szCs w:val="21"/>
              </w:rPr>
              <w:t>P</w:t>
            </w:r>
          </w:p>
        </w:tc>
        <w:tc>
          <w:tcPr>
            <w:tcW w:w="0" w:type="auto"/>
            <w:tcBorders>
              <w:tl2br w:val="nil"/>
              <w:tr2bl w:val="nil"/>
            </w:tcBorders>
            <w:vAlign w:val="center"/>
          </w:tcPr>
          <w:p w14:paraId="2E4057E1">
            <w:pPr>
              <w:adjustRightInd w:val="0"/>
              <w:jc w:val="center"/>
              <w:rPr>
                <w:color w:val="auto"/>
                <w:szCs w:val="21"/>
              </w:rPr>
            </w:pPr>
          </w:p>
        </w:tc>
        <w:tc>
          <w:tcPr>
            <w:tcW w:w="0" w:type="auto"/>
            <w:tcBorders>
              <w:tl2br w:val="nil"/>
              <w:tr2bl w:val="nil"/>
            </w:tcBorders>
            <w:vAlign w:val="center"/>
          </w:tcPr>
          <w:p w14:paraId="75782BFA">
            <w:pPr>
              <w:adjustRightInd w:val="0"/>
              <w:jc w:val="center"/>
              <w:rPr>
                <w:color w:val="auto"/>
                <w:szCs w:val="21"/>
              </w:rPr>
            </w:pPr>
            <w:r>
              <w:rPr>
                <w:color w:val="auto"/>
                <w:szCs w:val="21"/>
              </w:rPr>
              <w:t>三有；湘</w:t>
            </w:r>
          </w:p>
        </w:tc>
        <w:tc>
          <w:tcPr>
            <w:tcW w:w="0" w:type="auto"/>
            <w:tcBorders>
              <w:tl2br w:val="nil"/>
              <w:tr2bl w:val="nil"/>
            </w:tcBorders>
            <w:vAlign w:val="center"/>
          </w:tcPr>
          <w:p w14:paraId="1E3BFC79">
            <w:pPr>
              <w:adjustRightInd w:val="0"/>
              <w:jc w:val="center"/>
              <w:rPr>
                <w:color w:val="auto"/>
                <w:szCs w:val="21"/>
              </w:rPr>
            </w:pPr>
            <w:r>
              <w:rPr>
                <w:color w:val="auto"/>
                <w:szCs w:val="21"/>
              </w:rPr>
              <w:t>LC</w:t>
            </w:r>
          </w:p>
        </w:tc>
        <w:tc>
          <w:tcPr>
            <w:tcW w:w="0" w:type="auto"/>
            <w:tcBorders>
              <w:tl2br w:val="nil"/>
              <w:tr2bl w:val="nil"/>
            </w:tcBorders>
            <w:vAlign w:val="center"/>
          </w:tcPr>
          <w:p w14:paraId="7E518219">
            <w:pPr>
              <w:adjustRightInd w:val="0"/>
              <w:jc w:val="center"/>
              <w:rPr>
                <w:color w:val="auto"/>
                <w:szCs w:val="21"/>
              </w:rPr>
            </w:pPr>
          </w:p>
        </w:tc>
      </w:tr>
      <w:tr w14:paraId="4801E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5665881">
            <w:pPr>
              <w:adjustRightInd w:val="0"/>
              <w:jc w:val="left"/>
              <w:rPr>
                <w:color w:val="auto"/>
                <w:szCs w:val="21"/>
              </w:rPr>
            </w:pPr>
            <w:r>
              <w:rPr>
                <w:color w:val="auto"/>
                <w:szCs w:val="21"/>
              </w:rPr>
              <w:t xml:space="preserve">32 红头潜鸭 </w:t>
            </w:r>
            <w:r>
              <w:rPr>
                <w:i/>
                <w:iCs/>
                <w:color w:val="auto"/>
                <w:szCs w:val="21"/>
              </w:rPr>
              <w:t>Aythya ferina</w:t>
            </w:r>
          </w:p>
        </w:tc>
        <w:tc>
          <w:tcPr>
            <w:tcW w:w="0" w:type="auto"/>
            <w:tcBorders>
              <w:tl2br w:val="nil"/>
              <w:tr2bl w:val="nil"/>
            </w:tcBorders>
            <w:vAlign w:val="center"/>
          </w:tcPr>
          <w:p w14:paraId="025E32EB">
            <w:pPr>
              <w:adjustRightInd w:val="0"/>
              <w:jc w:val="center"/>
              <w:rPr>
                <w:color w:val="auto"/>
                <w:szCs w:val="21"/>
              </w:rPr>
            </w:pPr>
            <w:r>
              <w:rPr>
                <w:color w:val="auto"/>
                <w:szCs w:val="21"/>
              </w:rPr>
              <w:t>W</w:t>
            </w:r>
          </w:p>
        </w:tc>
        <w:tc>
          <w:tcPr>
            <w:tcW w:w="0" w:type="auto"/>
            <w:tcBorders>
              <w:tl2br w:val="nil"/>
              <w:tr2bl w:val="nil"/>
            </w:tcBorders>
            <w:vAlign w:val="center"/>
          </w:tcPr>
          <w:p w14:paraId="72D423FB">
            <w:pPr>
              <w:adjustRightInd w:val="0"/>
              <w:jc w:val="center"/>
              <w:rPr>
                <w:color w:val="auto"/>
                <w:szCs w:val="21"/>
              </w:rPr>
            </w:pPr>
            <w:r>
              <w:rPr>
                <w:color w:val="auto"/>
                <w:szCs w:val="21"/>
              </w:rPr>
              <w:t>P</w:t>
            </w:r>
          </w:p>
        </w:tc>
        <w:tc>
          <w:tcPr>
            <w:tcW w:w="0" w:type="auto"/>
            <w:tcBorders>
              <w:tl2br w:val="nil"/>
              <w:tr2bl w:val="nil"/>
            </w:tcBorders>
            <w:vAlign w:val="center"/>
          </w:tcPr>
          <w:p w14:paraId="4F754062">
            <w:pPr>
              <w:adjustRightInd w:val="0"/>
              <w:jc w:val="center"/>
              <w:rPr>
                <w:color w:val="auto"/>
                <w:szCs w:val="21"/>
              </w:rPr>
            </w:pPr>
          </w:p>
        </w:tc>
        <w:tc>
          <w:tcPr>
            <w:tcW w:w="0" w:type="auto"/>
            <w:tcBorders>
              <w:tl2br w:val="nil"/>
              <w:tr2bl w:val="nil"/>
            </w:tcBorders>
            <w:vAlign w:val="center"/>
          </w:tcPr>
          <w:p w14:paraId="6033C53E">
            <w:pPr>
              <w:adjustRightInd w:val="0"/>
              <w:jc w:val="center"/>
              <w:rPr>
                <w:color w:val="auto"/>
                <w:szCs w:val="21"/>
              </w:rPr>
            </w:pPr>
            <w:r>
              <w:rPr>
                <w:color w:val="auto"/>
                <w:szCs w:val="21"/>
              </w:rPr>
              <w:t>三有</w:t>
            </w:r>
          </w:p>
        </w:tc>
        <w:tc>
          <w:tcPr>
            <w:tcW w:w="0" w:type="auto"/>
            <w:tcBorders>
              <w:tl2br w:val="nil"/>
              <w:tr2bl w:val="nil"/>
            </w:tcBorders>
            <w:vAlign w:val="center"/>
          </w:tcPr>
          <w:p w14:paraId="3D22CCF7">
            <w:pPr>
              <w:adjustRightInd w:val="0"/>
              <w:jc w:val="center"/>
              <w:rPr>
                <w:color w:val="auto"/>
                <w:szCs w:val="21"/>
              </w:rPr>
            </w:pPr>
            <w:r>
              <w:rPr>
                <w:color w:val="auto"/>
                <w:szCs w:val="21"/>
              </w:rPr>
              <w:t>LC</w:t>
            </w:r>
          </w:p>
        </w:tc>
        <w:tc>
          <w:tcPr>
            <w:tcW w:w="0" w:type="auto"/>
            <w:tcBorders>
              <w:tl2br w:val="nil"/>
              <w:tr2bl w:val="nil"/>
            </w:tcBorders>
            <w:vAlign w:val="center"/>
          </w:tcPr>
          <w:p w14:paraId="7B1DF9B7">
            <w:pPr>
              <w:adjustRightInd w:val="0"/>
              <w:jc w:val="center"/>
              <w:rPr>
                <w:color w:val="auto"/>
                <w:szCs w:val="21"/>
              </w:rPr>
            </w:pPr>
          </w:p>
        </w:tc>
      </w:tr>
      <w:tr w14:paraId="486D7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0C191E4B">
            <w:pPr>
              <w:adjustRightInd w:val="0"/>
              <w:jc w:val="left"/>
              <w:rPr>
                <w:color w:val="auto"/>
                <w:szCs w:val="21"/>
              </w:rPr>
            </w:pPr>
            <w:r>
              <w:rPr>
                <w:color w:val="auto"/>
                <w:szCs w:val="21"/>
              </w:rPr>
              <w:t xml:space="preserve">33 凤头潜鸭 </w:t>
            </w:r>
            <w:r>
              <w:rPr>
                <w:i/>
                <w:iCs/>
                <w:color w:val="auto"/>
                <w:szCs w:val="21"/>
              </w:rPr>
              <w:t>Aythya fuligula</w:t>
            </w:r>
          </w:p>
        </w:tc>
        <w:tc>
          <w:tcPr>
            <w:tcW w:w="0" w:type="auto"/>
            <w:tcBorders>
              <w:tl2br w:val="nil"/>
              <w:tr2bl w:val="nil"/>
            </w:tcBorders>
            <w:vAlign w:val="center"/>
          </w:tcPr>
          <w:p w14:paraId="3AABCBDC">
            <w:pPr>
              <w:adjustRightInd w:val="0"/>
              <w:jc w:val="center"/>
              <w:rPr>
                <w:color w:val="auto"/>
                <w:szCs w:val="21"/>
              </w:rPr>
            </w:pPr>
            <w:r>
              <w:rPr>
                <w:color w:val="auto"/>
                <w:szCs w:val="21"/>
              </w:rPr>
              <w:t>W</w:t>
            </w:r>
          </w:p>
        </w:tc>
        <w:tc>
          <w:tcPr>
            <w:tcW w:w="0" w:type="auto"/>
            <w:tcBorders>
              <w:tl2br w:val="nil"/>
              <w:tr2bl w:val="nil"/>
            </w:tcBorders>
            <w:vAlign w:val="center"/>
          </w:tcPr>
          <w:p w14:paraId="6BB87BA1">
            <w:pPr>
              <w:adjustRightInd w:val="0"/>
              <w:jc w:val="center"/>
              <w:rPr>
                <w:color w:val="auto"/>
                <w:szCs w:val="21"/>
              </w:rPr>
            </w:pPr>
            <w:r>
              <w:rPr>
                <w:color w:val="auto"/>
                <w:szCs w:val="21"/>
              </w:rPr>
              <w:t>P</w:t>
            </w:r>
          </w:p>
        </w:tc>
        <w:tc>
          <w:tcPr>
            <w:tcW w:w="0" w:type="auto"/>
            <w:tcBorders>
              <w:tl2br w:val="nil"/>
              <w:tr2bl w:val="nil"/>
            </w:tcBorders>
            <w:vAlign w:val="center"/>
          </w:tcPr>
          <w:p w14:paraId="1F6BBEFC">
            <w:pPr>
              <w:adjustRightInd w:val="0"/>
              <w:jc w:val="center"/>
              <w:rPr>
                <w:color w:val="auto"/>
                <w:szCs w:val="21"/>
              </w:rPr>
            </w:pPr>
          </w:p>
        </w:tc>
        <w:tc>
          <w:tcPr>
            <w:tcW w:w="0" w:type="auto"/>
            <w:tcBorders>
              <w:tl2br w:val="nil"/>
              <w:tr2bl w:val="nil"/>
            </w:tcBorders>
            <w:vAlign w:val="center"/>
          </w:tcPr>
          <w:p w14:paraId="038A87D1">
            <w:pPr>
              <w:adjustRightInd w:val="0"/>
              <w:jc w:val="center"/>
              <w:rPr>
                <w:color w:val="auto"/>
                <w:szCs w:val="21"/>
              </w:rPr>
            </w:pPr>
            <w:r>
              <w:rPr>
                <w:color w:val="auto"/>
                <w:szCs w:val="21"/>
              </w:rPr>
              <w:t>三有；湘</w:t>
            </w:r>
          </w:p>
        </w:tc>
        <w:tc>
          <w:tcPr>
            <w:tcW w:w="0" w:type="auto"/>
            <w:tcBorders>
              <w:tl2br w:val="nil"/>
              <w:tr2bl w:val="nil"/>
            </w:tcBorders>
            <w:vAlign w:val="center"/>
          </w:tcPr>
          <w:p w14:paraId="74890E3A">
            <w:pPr>
              <w:adjustRightInd w:val="0"/>
              <w:jc w:val="center"/>
              <w:rPr>
                <w:color w:val="auto"/>
                <w:szCs w:val="21"/>
              </w:rPr>
            </w:pPr>
            <w:r>
              <w:rPr>
                <w:color w:val="auto"/>
                <w:szCs w:val="21"/>
              </w:rPr>
              <w:t>LC</w:t>
            </w:r>
          </w:p>
        </w:tc>
        <w:tc>
          <w:tcPr>
            <w:tcW w:w="0" w:type="auto"/>
            <w:tcBorders>
              <w:tl2br w:val="nil"/>
              <w:tr2bl w:val="nil"/>
            </w:tcBorders>
            <w:vAlign w:val="center"/>
          </w:tcPr>
          <w:p w14:paraId="48F3B4D7">
            <w:pPr>
              <w:adjustRightInd w:val="0"/>
              <w:jc w:val="center"/>
              <w:rPr>
                <w:color w:val="auto"/>
                <w:szCs w:val="21"/>
              </w:rPr>
            </w:pPr>
          </w:p>
        </w:tc>
      </w:tr>
      <w:tr w14:paraId="02DA0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AEDCF9B">
            <w:pPr>
              <w:adjustRightInd w:val="0"/>
              <w:jc w:val="left"/>
              <w:rPr>
                <w:b/>
                <w:bCs/>
                <w:color w:val="auto"/>
                <w:szCs w:val="21"/>
              </w:rPr>
            </w:pPr>
            <w:r>
              <w:rPr>
                <w:b/>
                <w:bCs/>
                <w:color w:val="auto"/>
                <w:szCs w:val="21"/>
              </w:rPr>
              <w:t>Ⅴ 鸻形目 CHARADRIIFORMES</w:t>
            </w:r>
          </w:p>
        </w:tc>
        <w:tc>
          <w:tcPr>
            <w:tcW w:w="0" w:type="auto"/>
            <w:tcBorders>
              <w:tl2br w:val="nil"/>
              <w:tr2bl w:val="nil"/>
            </w:tcBorders>
            <w:vAlign w:val="center"/>
          </w:tcPr>
          <w:p w14:paraId="004227FB">
            <w:pPr>
              <w:adjustRightInd w:val="0"/>
              <w:jc w:val="center"/>
              <w:rPr>
                <w:color w:val="auto"/>
                <w:szCs w:val="21"/>
              </w:rPr>
            </w:pPr>
          </w:p>
        </w:tc>
        <w:tc>
          <w:tcPr>
            <w:tcW w:w="0" w:type="auto"/>
            <w:tcBorders>
              <w:tl2br w:val="nil"/>
              <w:tr2bl w:val="nil"/>
            </w:tcBorders>
            <w:vAlign w:val="center"/>
          </w:tcPr>
          <w:p w14:paraId="05048448">
            <w:pPr>
              <w:adjustRightInd w:val="0"/>
              <w:jc w:val="center"/>
              <w:rPr>
                <w:color w:val="auto"/>
                <w:szCs w:val="21"/>
              </w:rPr>
            </w:pPr>
          </w:p>
        </w:tc>
        <w:tc>
          <w:tcPr>
            <w:tcW w:w="0" w:type="auto"/>
            <w:tcBorders>
              <w:tl2br w:val="nil"/>
              <w:tr2bl w:val="nil"/>
            </w:tcBorders>
            <w:vAlign w:val="center"/>
          </w:tcPr>
          <w:p w14:paraId="19536533">
            <w:pPr>
              <w:adjustRightInd w:val="0"/>
              <w:jc w:val="center"/>
              <w:rPr>
                <w:color w:val="auto"/>
                <w:szCs w:val="21"/>
              </w:rPr>
            </w:pPr>
          </w:p>
        </w:tc>
        <w:tc>
          <w:tcPr>
            <w:tcW w:w="0" w:type="auto"/>
            <w:tcBorders>
              <w:tl2br w:val="nil"/>
              <w:tr2bl w:val="nil"/>
            </w:tcBorders>
            <w:vAlign w:val="center"/>
          </w:tcPr>
          <w:p w14:paraId="2F5E095D">
            <w:pPr>
              <w:adjustRightInd w:val="0"/>
              <w:jc w:val="center"/>
              <w:rPr>
                <w:color w:val="auto"/>
                <w:szCs w:val="21"/>
              </w:rPr>
            </w:pPr>
          </w:p>
        </w:tc>
        <w:tc>
          <w:tcPr>
            <w:tcW w:w="0" w:type="auto"/>
            <w:tcBorders>
              <w:tl2br w:val="nil"/>
              <w:tr2bl w:val="nil"/>
            </w:tcBorders>
            <w:vAlign w:val="center"/>
          </w:tcPr>
          <w:p w14:paraId="459A1268">
            <w:pPr>
              <w:adjustRightInd w:val="0"/>
              <w:jc w:val="center"/>
              <w:rPr>
                <w:color w:val="auto"/>
                <w:szCs w:val="21"/>
              </w:rPr>
            </w:pPr>
          </w:p>
        </w:tc>
        <w:tc>
          <w:tcPr>
            <w:tcW w:w="0" w:type="auto"/>
            <w:tcBorders>
              <w:tl2br w:val="nil"/>
              <w:tr2bl w:val="nil"/>
            </w:tcBorders>
            <w:vAlign w:val="center"/>
          </w:tcPr>
          <w:p w14:paraId="42C10B44">
            <w:pPr>
              <w:adjustRightInd w:val="0"/>
              <w:jc w:val="center"/>
              <w:rPr>
                <w:color w:val="auto"/>
                <w:szCs w:val="21"/>
              </w:rPr>
            </w:pPr>
          </w:p>
        </w:tc>
      </w:tr>
      <w:tr w14:paraId="2A0F9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20BC6E7">
            <w:pPr>
              <w:adjustRightInd w:val="0"/>
              <w:jc w:val="left"/>
              <w:rPr>
                <w:b/>
                <w:bCs/>
                <w:color w:val="auto"/>
                <w:szCs w:val="21"/>
              </w:rPr>
            </w:pPr>
            <w:r>
              <w:rPr>
                <w:b/>
                <w:bCs/>
                <w:color w:val="auto"/>
                <w:szCs w:val="21"/>
              </w:rPr>
              <w:t>（七）鸻科 Charadriidae</w:t>
            </w:r>
          </w:p>
        </w:tc>
        <w:tc>
          <w:tcPr>
            <w:tcW w:w="0" w:type="auto"/>
            <w:tcBorders>
              <w:tl2br w:val="nil"/>
              <w:tr2bl w:val="nil"/>
            </w:tcBorders>
            <w:vAlign w:val="center"/>
          </w:tcPr>
          <w:p w14:paraId="18DA5068">
            <w:pPr>
              <w:adjustRightInd w:val="0"/>
              <w:jc w:val="center"/>
              <w:rPr>
                <w:color w:val="auto"/>
                <w:szCs w:val="21"/>
              </w:rPr>
            </w:pPr>
          </w:p>
        </w:tc>
        <w:tc>
          <w:tcPr>
            <w:tcW w:w="0" w:type="auto"/>
            <w:tcBorders>
              <w:tl2br w:val="nil"/>
              <w:tr2bl w:val="nil"/>
            </w:tcBorders>
            <w:vAlign w:val="center"/>
          </w:tcPr>
          <w:p w14:paraId="0A4B7102">
            <w:pPr>
              <w:adjustRightInd w:val="0"/>
              <w:jc w:val="center"/>
              <w:rPr>
                <w:color w:val="auto"/>
                <w:szCs w:val="21"/>
              </w:rPr>
            </w:pPr>
          </w:p>
        </w:tc>
        <w:tc>
          <w:tcPr>
            <w:tcW w:w="0" w:type="auto"/>
            <w:tcBorders>
              <w:tl2br w:val="nil"/>
              <w:tr2bl w:val="nil"/>
            </w:tcBorders>
            <w:vAlign w:val="center"/>
          </w:tcPr>
          <w:p w14:paraId="0B3B13AB">
            <w:pPr>
              <w:adjustRightInd w:val="0"/>
              <w:jc w:val="center"/>
              <w:rPr>
                <w:color w:val="auto"/>
                <w:szCs w:val="21"/>
              </w:rPr>
            </w:pPr>
          </w:p>
        </w:tc>
        <w:tc>
          <w:tcPr>
            <w:tcW w:w="0" w:type="auto"/>
            <w:tcBorders>
              <w:tl2br w:val="nil"/>
              <w:tr2bl w:val="nil"/>
            </w:tcBorders>
            <w:vAlign w:val="center"/>
          </w:tcPr>
          <w:p w14:paraId="746E4268">
            <w:pPr>
              <w:adjustRightInd w:val="0"/>
              <w:jc w:val="center"/>
              <w:rPr>
                <w:color w:val="auto"/>
                <w:szCs w:val="21"/>
              </w:rPr>
            </w:pPr>
          </w:p>
        </w:tc>
        <w:tc>
          <w:tcPr>
            <w:tcW w:w="0" w:type="auto"/>
            <w:tcBorders>
              <w:tl2br w:val="nil"/>
              <w:tr2bl w:val="nil"/>
            </w:tcBorders>
            <w:vAlign w:val="center"/>
          </w:tcPr>
          <w:p w14:paraId="44F67BC6">
            <w:pPr>
              <w:adjustRightInd w:val="0"/>
              <w:jc w:val="center"/>
              <w:rPr>
                <w:color w:val="auto"/>
                <w:szCs w:val="21"/>
              </w:rPr>
            </w:pPr>
          </w:p>
        </w:tc>
        <w:tc>
          <w:tcPr>
            <w:tcW w:w="0" w:type="auto"/>
            <w:tcBorders>
              <w:tl2br w:val="nil"/>
              <w:tr2bl w:val="nil"/>
            </w:tcBorders>
            <w:vAlign w:val="center"/>
          </w:tcPr>
          <w:p w14:paraId="3EF7233C">
            <w:pPr>
              <w:adjustRightInd w:val="0"/>
              <w:jc w:val="center"/>
              <w:rPr>
                <w:color w:val="auto"/>
                <w:szCs w:val="21"/>
              </w:rPr>
            </w:pPr>
          </w:p>
        </w:tc>
      </w:tr>
      <w:tr w14:paraId="227629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380A223">
            <w:pPr>
              <w:adjustRightInd w:val="0"/>
              <w:jc w:val="left"/>
              <w:rPr>
                <w:color w:val="auto"/>
                <w:szCs w:val="21"/>
              </w:rPr>
            </w:pPr>
            <w:r>
              <w:rPr>
                <w:color w:val="auto"/>
                <w:szCs w:val="21"/>
              </w:rPr>
              <w:t xml:space="preserve">34 凤头麦鸡 </w:t>
            </w:r>
            <w:r>
              <w:rPr>
                <w:i/>
                <w:iCs/>
                <w:color w:val="auto"/>
                <w:szCs w:val="21"/>
              </w:rPr>
              <w:t>Vanellus vanellus</w:t>
            </w:r>
          </w:p>
        </w:tc>
        <w:tc>
          <w:tcPr>
            <w:tcW w:w="0" w:type="auto"/>
            <w:tcBorders>
              <w:tl2br w:val="nil"/>
              <w:tr2bl w:val="nil"/>
            </w:tcBorders>
            <w:vAlign w:val="center"/>
          </w:tcPr>
          <w:p w14:paraId="68D8DC00">
            <w:pPr>
              <w:adjustRightInd w:val="0"/>
              <w:jc w:val="center"/>
              <w:rPr>
                <w:color w:val="auto"/>
                <w:szCs w:val="21"/>
              </w:rPr>
            </w:pPr>
            <w:r>
              <w:rPr>
                <w:color w:val="auto"/>
                <w:szCs w:val="21"/>
              </w:rPr>
              <w:t>S</w:t>
            </w:r>
          </w:p>
        </w:tc>
        <w:tc>
          <w:tcPr>
            <w:tcW w:w="0" w:type="auto"/>
            <w:tcBorders>
              <w:tl2br w:val="nil"/>
              <w:tr2bl w:val="nil"/>
            </w:tcBorders>
            <w:vAlign w:val="center"/>
          </w:tcPr>
          <w:p w14:paraId="627CCA2F">
            <w:pPr>
              <w:adjustRightInd w:val="0"/>
              <w:jc w:val="center"/>
              <w:rPr>
                <w:color w:val="auto"/>
                <w:szCs w:val="21"/>
              </w:rPr>
            </w:pPr>
            <w:r>
              <w:rPr>
                <w:color w:val="auto"/>
                <w:szCs w:val="21"/>
              </w:rPr>
              <w:t>P</w:t>
            </w:r>
          </w:p>
        </w:tc>
        <w:tc>
          <w:tcPr>
            <w:tcW w:w="0" w:type="auto"/>
            <w:tcBorders>
              <w:tl2br w:val="nil"/>
              <w:tr2bl w:val="nil"/>
            </w:tcBorders>
            <w:vAlign w:val="center"/>
          </w:tcPr>
          <w:p w14:paraId="68655346">
            <w:pPr>
              <w:adjustRightInd w:val="0"/>
              <w:jc w:val="center"/>
              <w:rPr>
                <w:color w:val="auto"/>
                <w:szCs w:val="21"/>
              </w:rPr>
            </w:pPr>
          </w:p>
        </w:tc>
        <w:tc>
          <w:tcPr>
            <w:tcW w:w="0" w:type="auto"/>
            <w:tcBorders>
              <w:tl2br w:val="nil"/>
              <w:tr2bl w:val="nil"/>
            </w:tcBorders>
            <w:vAlign w:val="center"/>
          </w:tcPr>
          <w:p w14:paraId="12389B58">
            <w:pPr>
              <w:adjustRightInd w:val="0"/>
              <w:jc w:val="center"/>
              <w:rPr>
                <w:color w:val="auto"/>
                <w:szCs w:val="21"/>
              </w:rPr>
            </w:pPr>
            <w:r>
              <w:rPr>
                <w:color w:val="auto"/>
                <w:szCs w:val="21"/>
              </w:rPr>
              <w:t>三有；湘</w:t>
            </w:r>
          </w:p>
        </w:tc>
        <w:tc>
          <w:tcPr>
            <w:tcW w:w="0" w:type="auto"/>
            <w:tcBorders>
              <w:tl2br w:val="nil"/>
              <w:tr2bl w:val="nil"/>
            </w:tcBorders>
            <w:vAlign w:val="center"/>
          </w:tcPr>
          <w:p w14:paraId="20AC3C90">
            <w:pPr>
              <w:adjustRightInd w:val="0"/>
              <w:jc w:val="center"/>
              <w:rPr>
                <w:color w:val="auto"/>
                <w:szCs w:val="21"/>
              </w:rPr>
            </w:pPr>
            <w:r>
              <w:rPr>
                <w:color w:val="auto"/>
                <w:szCs w:val="21"/>
              </w:rPr>
              <w:t>NT</w:t>
            </w:r>
          </w:p>
        </w:tc>
        <w:tc>
          <w:tcPr>
            <w:tcW w:w="0" w:type="auto"/>
            <w:tcBorders>
              <w:tl2br w:val="nil"/>
              <w:tr2bl w:val="nil"/>
            </w:tcBorders>
            <w:vAlign w:val="center"/>
          </w:tcPr>
          <w:p w14:paraId="0A9C1FA1">
            <w:pPr>
              <w:adjustRightInd w:val="0"/>
              <w:jc w:val="center"/>
              <w:rPr>
                <w:color w:val="auto"/>
                <w:szCs w:val="21"/>
              </w:rPr>
            </w:pPr>
            <w:r>
              <w:rPr>
                <w:color w:val="auto"/>
                <w:szCs w:val="21"/>
              </w:rPr>
              <w:t>F</w:t>
            </w:r>
          </w:p>
        </w:tc>
      </w:tr>
      <w:tr w14:paraId="54EA2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A279334">
            <w:pPr>
              <w:adjustRightInd w:val="0"/>
              <w:jc w:val="left"/>
              <w:rPr>
                <w:color w:val="auto"/>
                <w:szCs w:val="21"/>
              </w:rPr>
            </w:pPr>
            <w:r>
              <w:rPr>
                <w:color w:val="auto"/>
                <w:szCs w:val="21"/>
              </w:rPr>
              <w:t>35 金眶鸻</w:t>
            </w:r>
            <w:r>
              <w:rPr>
                <w:i/>
                <w:iCs/>
                <w:color w:val="auto"/>
                <w:szCs w:val="21"/>
              </w:rPr>
              <w:t xml:space="preserve"> Charadrius dubius</w:t>
            </w:r>
          </w:p>
        </w:tc>
        <w:tc>
          <w:tcPr>
            <w:tcW w:w="0" w:type="auto"/>
            <w:tcBorders>
              <w:tl2br w:val="nil"/>
              <w:tr2bl w:val="nil"/>
            </w:tcBorders>
            <w:vAlign w:val="center"/>
          </w:tcPr>
          <w:p w14:paraId="4B46EE95">
            <w:pPr>
              <w:adjustRightInd w:val="0"/>
              <w:jc w:val="center"/>
              <w:rPr>
                <w:color w:val="auto"/>
                <w:szCs w:val="21"/>
              </w:rPr>
            </w:pPr>
            <w:r>
              <w:rPr>
                <w:color w:val="auto"/>
                <w:szCs w:val="21"/>
              </w:rPr>
              <w:t>W</w:t>
            </w:r>
          </w:p>
        </w:tc>
        <w:tc>
          <w:tcPr>
            <w:tcW w:w="0" w:type="auto"/>
            <w:tcBorders>
              <w:tl2br w:val="nil"/>
              <w:tr2bl w:val="nil"/>
            </w:tcBorders>
            <w:vAlign w:val="center"/>
          </w:tcPr>
          <w:p w14:paraId="7B3BA8E9">
            <w:pPr>
              <w:adjustRightInd w:val="0"/>
              <w:jc w:val="center"/>
              <w:rPr>
                <w:color w:val="auto"/>
                <w:szCs w:val="21"/>
              </w:rPr>
            </w:pPr>
            <w:r>
              <w:rPr>
                <w:color w:val="auto"/>
                <w:szCs w:val="21"/>
              </w:rPr>
              <w:t>P</w:t>
            </w:r>
          </w:p>
        </w:tc>
        <w:tc>
          <w:tcPr>
            <w:tcW w:w="0" w:type="auto"/>
            <w:tcBorders>
              <w:tl2br w:val="nil"/>
              <w:tr2bl w:val="nil"/>
            </w:tcBorders>
            <w:vAlign w:val="center"/>
          </w:tcPr>
          <w:p w14:paraId="3ACBEA3B">
            <w:pPr>
              <w:adjustRightInd w:val="0"/>
              <w:jc w:val="center"/>
              <w:rPr>
                <w:color w:val="auto"/>
                <w:szCs w:val="21"/>
              </w:rPr>
            </w:pPr>
          </w:p>
        </w:tc>
        <w:tc>
          <w:tcPr>
            <w:tcW w:w="0" w:type="auto"/>
            <w:tcBorders>
              <w:tl2br w:val="nil"/>
              <w:tr2bl w:val="nil"/>
            </w:tcBorders>
            <w:vAlign w:val="center"/>
          </w:tcPr>
          <w:p w14:paraId="3BE5AF60">
            <w:pPr>
              <w:adjustRightInd w:val="0"/>
              <w:jc w:val="center"/>
              <w:rPr>
                <w:color w:val="auto"/>
                <w:szCs w:val="21"/>
              </w:rPr>
            </w:pPr>
            <w:r>
              <w:rPr>
                <w:color w:val="auto"/>
                <w:szCs w:val="21"/>
              </w:rPr>
              <w:t>三有</w:t>
            </w:r>
          </w:p>
        </w:tc>
        <w:tc>
          <w:tcPr>
            <w:tcW w:w="0" w:type="auto"/>
            <w:tcBorders>
              <w:tl2br w:val="nil"/>
              <w:tr2bl w:val="nil"/>
            </w:tcBorders>
            <w:vAlign w:val="center"/>
          </w:tcPr>
          <w:p w14:paraId="7585DCD3">
            <w:pPr>
              <w:adjustRightInd w:val="0"/>
              <w:jc w:val="center"/>
              <w:rPr>
                <w:color w:val="auto"/>
                <w:szCs w:val="21"/>
              </w:rPr>
            </w:pPr>
            <w:r>
              <w:rPr>
                <w:color w:val="auto"/>
                <w:szCs w:val="21"/>
              </w:rPr>
              <w:t>LC</w:t>
            </w:r>
          </w:p>
        </w:tc>
        <w:tc>
          <w:tcPr>
            <w:tcW w:w="0" w:type="auto"/>
            <w:tcBorders>
              <w:tl2br w:val="nil"/>
              <w:tr2bl w:val="nil"/>
            </w:tcBorders>
            <w:vAlign w:val="center"/>
          </w:tcPr>
          <w:p w14:paraId="2B757A86">
            <w:pPr>
              <w:adjustRightInd w:val="0"/>
              <w:jc w:val="center"/>
              <w:rPr>
                <w:color w:val="auto"/>
                <w:szCs w:val="21"/>
              </w:rPr>
            </w:pPr>
            <w:r>
              <w:rPr>
                <w:color w:val="auto"/>
                <w:szCs w:val="21"/>
              </w:rPr>
              <w:t>K</w:t>
            </w:r>
          </w:p>
        </w:tc>
      </w:tr>
      <w:tr w14:paraId="1ECE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513F588">
            <w:pPr>
              <w:adjustRightInd w:val="0"/>
              <w:jc w:val="left"/>
              <w:rPr>
                <w:color w:val="auto"/>
                <w:szCs w:val="21"/>
              </w:rPr>
            </w:pPr>
            <w:r>
              <w:rPr>
                <w:color w:val="auto"/>
                <w:szCs w:val="21"/>
              </w:rPr>
              <w:t>36 环颈鸻</w:t>
            </w:r>
            <w:r>
              <w:rPr>
                <w:i/>
                <w:iCs/>
                <w:color w:val="auto"/>
                <w:szCs w:val="21"/>
              </w:rPr>
              <w:t xml:space="preserve"> Charadrius alexandrinus</w:t>
            </w:r>
          </w:p>
        </w:tc>
        <w:tc>
          <w:tcPr>
            <w:tcW w:w="0" w:type="auto"/>
            <w:tcBorders>
              <w:tl2br w:val="nil"/>
              <w:tr2bl w:val="nil"/>
            </w:tcBorders>
            <w:vAlign w:val="center"/>
          </w:tcPr>
          <w:p w14:paraId="59BF2790">
            <w:pPr>
              <w:adjustRightInd w:val="0"/>
              <w:jc w:val="center"/>
              <w:rPr>
                <w:color w:val="auto"/>
                <w:szCs w:val="21"/>
              </w:rPr>
            </w:pPr>
            <w:r>
              <w:rPr>
                <w:color w:val="auto"/>
                <w:szCs w:val="21"/>
              </w:rPr>
              <w:t>W</w:t>
            </w:r>
          </w:p>
        </w:tc>
        <w:tc>
          <w:tcPr>
            <w:tcW w:w="0" w:type="auto"/>
            <w:tcBorders>
              <w:tl2br w:val="nil"/>
              <w:tr2bl w:val="nil"/>
            </w:tcBorders>
            <w:vAlign w:val="center"/>
          </w:tcPr>
          <w:p w14:paraId="155DB241">
            <w:pPr>
              <w:adjustRightInd w:val="0"/>
              <w:jc w:val="center"/>
              <w:rPr>
                <w:color w:val="auto"/>
                <w:szCs w:val="21"/>
              </w:rPr>
            </w:pPr>
            <w:r>
              <w:rPr>
                <w:color w:val="auto"/>
                <w:szCs w:val="21"/>
              </w:rPr>
              <w:t>P</w:t>
            </w:r>
          </w:p>
        </w:tc>
        <w:tc>
          <w:tcPr>
            <w:tcW w:w="0" w:type="auto"/>
            <w:tcBorders>
              <w:tl2br w:val="nil"/>
              <w:tr2bl w:val="nil"/>
            </w:tcBorders>
            <w:vAlign w:val="center"/>
          </w:tcPr>
          <w:p w14:paraId="468C3384">
            <w:pPr>
              <w:adjustRightInd w:val="0"/>
              <w:jc w:val="center"/>
              <w:rPr>
                <w:color w:val="auto"/>
                <w:szCs w:val="21"/>
              </w:rPr>
            </w:pPr>
          </w:p>
        </w:tc>
        <w:tc>
          <w:tcPr>
            <w:tcW w:w="0" w:type="auto"/>
            <w:tcBorders>
              <w:tl2br w:val="nil"/>
              <w:tr2bl w:val="nil"/>
            </w:tcBorders>
            <w:vAlign w:val="center"/>
          </w:tcPr>
          <w:p w14:paraId="0BA128DF">
            <w:pPr>
              <w:adjustRightInd w:val="0"/>
              <w:jc w:val="center"/>
              <w:rPr>
                <w:color w:val="auto"/>
                <w:szCs w:val="21"/>
              </w:rPr>
            </w:pPr>
            <w:r>
              <w:rPr>
                <w:color w:val="auto"/>
                <w:szCs w:val="21"/>
              </w:rPr>
              <w:t>三有；湘</w:t>
            </w:r>
          </w:p>
        </w:tc>
        <w:tc>
          <w:tcPr>
            <w:tcW w:w="0" w:type="auto"/>
            <w:tcBorders>
              <w:tl2br w:val="nil"/>
              <w:tr2bl w:val="nil"/>
            </w:tcBorders>
            <w:vAlign w:val="center"/>
          </w:tcPr>
          <w:p w14:paraId="40A9A54A">
            <w:pPr>
              <w:adjustRightInd w:val="0"/>
              <w:jc w:val="center"/>
              <w:rPr>
                <w:color w:val="auto"/>
                <w:szCs w:val="21"/>
              </w:rPr>
            </w:pPr>
            <w:r>
              <w:rPr>
                <w:color w:val="auto"/>
                <w:szCs w:val="21"/>
              </w:rPr>
              <w:t>LC</w:t>
            </w:r>
          </w:p>
        </w:tc>
        <w:tc>
          <w:tcPr>
            <w:tcW w:w="0" w:type="auto"/>
            <w:tcBorders>
              <w:tl2br w:val="nil"/>
              <w:tr2bl w:val="nil"/>
            </w:tcBorders>
            <w:vAlign w:val="center"/>
          </w:tcPr>
          <w:p w14:paraId="4736DD27">
            <w:pPr>
              <w:adjustRightInd w:val="0"/>
              <w:jc w:val="center"/>
              <w:rPr>
                <w:color w:val="auto"/>
                <w:szCs w:val="21"/>
              </w:rPr>
            </w:pPr>
            <w:r>
              <w:rPr>
                <w:color w:val="auto"/>
                <w:szCs w:val="21"/>
              </w:rPr>
              <w:t>K</w:t>
            </w:r>
          </w:p>
        </w:tc>
      </w:tr>
      <w:tr w14:paraId="2D43A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3D120CD">
            <w:pPr>
              <w:adjustRightInd w:val="0"/>
              <w:jc w:val="left"/>
              <w:rPr>
                <w:color w:val="auto"/>
                <w:szCs w:val="21"/>
              </w:rPr>
            </w:pPr>
            <w:r>
              <w:rPr>
                <w:color w:val="auto"/>
                <w:szCs w:val="21"/>
              </w:rPr>
              <w:t xml:space="preserve">37 灰头麦鸡 </w:t>
            </w:r>
            <w:r>
              <w:rPr>
                <w:i/>
                <w:iCs/>
                <w:color w:val="auto"/>
                <w:szCs w:val="21"/>
              </w:rPr>
              <w:t>Vanellus cinereus</w:t>
            </w:r>
          </w:p>
        </w:tc>
        <w:tc>
          <w:tcPr>
            <w:tcW w:w="0" w:type="auto"/>
            <w:tcBorders>
              <w:tl2br w:val="nil"/>
              <w:tr2bl w:val="nil"/>
            </w:tcBorders>
            <w:vAlign w:val="center"/>
          </w:tcPr>
          <w:p w14:paraId="08E40FD9">
            <w:pPr>
              <w:adjustRightInd w:val="0"/>
              <w:jc w:val="center"/>
              <w:rPr>
                <w:color w:val="auto"/>
                <w:szCs w:val="21"/>
              </w:rPr>
            </w:pPr>
          </w:p>
        </w:tc>
        <w:tc>
          <w:tcPr>
            <w:tcW w:w="0" w:type="auto"/>
            <w:tcBorders>
              <w:tl2br w:val="nil"/>
              <w:tr2bl w:val="nil"/>
            </w:tcBorders>
            <w:vAlign w:val="center"/>
          </w:tcPr>
          <w:p w14:paraId="3040B43A">
            <w:pPr>
              <w:adjustRightInd w:val="0"/>
              <w:jc w:val="center"/>
              <w:rPr>
                <w:color w:val="auto"/>
                <w:szCs w:val="21"/>
              </w:rPr>
            </w:pPr>
            <w:r>
              <w:rPr>
                <w:color w:val="auto"/>
                <w:szCs w:val="21"/>
              </w:rPr>
              <w:t>P</w:t>
            </w:r>
          </w:p>
        </w:tc>
        <w:tc>
          <w:tcPr>
            <w:tcW w:w="0" w:type="auto"/>
            <w:tcBorders>
              <w:tl2br w:val="nil"/>
              <w:tr2bl w:val="nil"/>
            </w:tcBorders>
            <w:vAlign w:val="center"/>
          </w:tcPr>
          <w:p w14:paraId="3D4ED7FB">
            <w:pPr>
              <w:adjustRightInd w:val="0"/>
              <w:jc w:val="center"/>
              <w:rPr>
                <w:color w:val="auto"/>
                <w:szCs w:val="21"/>
              </w:rPr>
            </w:pPr>
          </w:p>
        </w:tc>
        <w:tc>
          <w:tcPr>
            <w:tcW w:w="0" w:type="auto"/>
            <w:tcBorders>
              <w:tl2br w:val="nil"/>
              <w:tr2bl w:val="nil"/>
            </w:tcBorders>
            <w:vAlign w:val="center"/>
          </w:tcPr>
          <w:p w14:paraId="14C099E5">
            <w:pPr>
              <w:adjustRightInd w:val="0"/>
              <w:jc w:val="center"/>
              <w:rPr>
                <w:color w:val="auto"/>
                <w:szCs w:val="21"/>
              </w:rPr>
            </w:pPr>
          </w:p>
        </w:tc>
        <w:tc>
          <w:tcPr>
            <w:tcW w:w="0" w:type="auto"/>
            <w:tcBorders>
              <w:tl2br w:val="nil"/>
              <w:tr2bl w:val="nil"/>
            </w:tcBorders>
            <w:vAlign w:val="center"/>
          </w:tcPr>
          <w:p w14:paraId="3BDC9446">
            <w:pPr>
              <w:adjustRightInd w:val="0"/>
              <w:jc w:val="center"/>
              <w:rPr>
                <w:color w:val="auto"/>
                <w:szCs w:val="21"/>
              </w:rPr>
            </w:pPr>
          </w:p>
        </w:tc>
        <w:tc>
          <w:tcPr>
            <w:tcW w:w="0" w:type="auto"/>
            <w:tcBorders>
              <w:tl2br w:val="nil"/>
              <w:tr2bl w:val="nil"/>
            </w:tcBorders>
            <w:vAlign w:val="center"/>
          </w:tcPr>
          <w:p w14:paraId="1831101B">
            <w:pPr>
              <w:adjustRightInd w:val="0"/>
              <w:jc w:val="center"/>
              <w:rPr>
                <w:color w:val="auto"/>
                <w:szCs w:val="21"/>
              </w:rPr>
            </w:pPr>
          </w:p>
        </w:tc>
      </w:tr>
      <w:tr w14:paraId="51572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8044558">
            <w:pPr>
              <w:adjustRightInd w:val="0"/>
              <w:jc w:val="left"/>
              <w:rPr>
                <w:color w:val="auto"/>
                <w:szCs w:val="21"/>
              </w:rPr>
            </w:pPr>
            <w:r>
              <w:rPr>
                <w:b/>
                <w:bCs/>
                <w:color w:val="auto"/>
                <w:szCs w:val="21"/>
              </w:rPr>
              <w:t>（八）鹬科 Scolopacidae</w:t>
            </w:r>
          </w:p>
        </w:tc>
        <w:tc>
          <w:tcPr>
            <w:tcW w:w="0" w:type="auto"/>
            <w:tcBorders>
              <w:tl2br w:val="nil"/>
              <w:tr2bl w:val="nil"/>
            </w:tcBorders>
            <w:vAlign w:val="center"/>
          </w:tcPr>
          <w:p w14:paraId="76E4FDBC">
            <w:pPr>
              <w:adjustRightInd w:val="0"/>
              <w:jc w:val="center"/>
              <w:rPr>
                <w:color w:val="auto"/>
                <w:szCs w:val="21"/>
              </w:rPr>
            </w:pPr>
          </w:p>
        </w:tc>
        <w:tc>
          <w:tcPr>
            <w:tcW w:w="0" w:type="auto"/>
            <w:tcBorders>
              <w:tl2br w:val="nil"/>
              <w:tr2bl w:val="nil"/>
            </w:tcBorders>
            <w:vAlign w:val="center"/>
          </w:tcPr>
          <w:p w14:paraId="49E6FB0D">
            <w:pPr>
              <w:adjustRightInd w:val="0"/>
              <w:jc w:val="center"/>
              <w:rPr>
                <w:color w:val="auto"/>
                <w:szCs w:val="21"/>
              </w:rPr>
            </w:pPr>
          </w:p>
        </w:tc>
        <w:tc>
          <w:tcPr>
            <w:tcW w:w="0" w:type="auto"/>
            <w:tcBorders>
              <w:tl2br w:val="nil"/>
              <w:tr2bl w:val="nil"/>
            </w:tcBorders>
            <w:vAlign w:val="center"/>
          </w:tcPr>
          <w:p w14:paraId="3D39EEF9">
            <w:pPr>
              <w:adjustRightInd w:val="0"/>
              <w:jc w:val="center"/>
              <w:rPr>
                <w:color w:val="auto"/>
                <w:szCs w:val="21"/>
              </w:rPr>
            </w:pPr>
          </w:p>
        </w:tc>
        <w:tc>
          <w:tcPr>
            <w:tcW w:w="0" w:type="auto"/>
            <w:tcBorders>
              <w:tl2br w:val="nil"/>
              <w:tr2bl w:val="nil"/>
            </w:tcBorders>
            <w:vAlign w:val="center"/>
          </w:tcPr>
          <w:p w14:paraId="7291AAB5">
            <w:pPr>
              <w:adjustRightInd w:val="0"/>
              <w:jc w:val="center"/>
              <w:rPr>
                <w:color w:val="auto"/>
                <w:szCs w:val="21"/>
              </w:rPr>
            </w:pPr>
          </w:p>
        </w:tc>
        <w:tc>
          <w:tcPr>
            <w:tcW w:w="0" w:type="auto"/>
            <w:tcBorders>
              <w:tl2br w:val="nil"/>
              <w:tr2bl w:val="nil"/>
            </w:tcBorders>
            <w:vAlign w:val="center"/>
          </w:tcPr>
          <w:p w14:paraId="594EE34E">
            <w:pPr>
              <w:adjustRightInd w:val="0"/>
              <w:jc w:val="center"/>
              <w:rPr>
                <w:color w:val="auto"/>
                <w:szCs w:val="21"/>
              </w:rPr>
            </w:pPr>
          </w:p>
        </w:tc>
        <w:tc>
          <w:tcPr>
            <w:tcW w:w="0" w:type="auto"/>
            <w:tcBorders>
              <w:tl2br w:val="nil"/>
              <w:tr2bl w:val="nil"/>
            </w:tcBorders>
            <w:vAlign w:val="center"/>
          </w:tcPr>
          <w:p w14:paraId="4273036C">
            <w:pPr>
              <w:adjustRightInd w:val="0"/>
              <w:jc w:val="center"/>
              <w:rPr>
                <w:color w:val="auto"/>
                <w:szCs w:val="21"/>
              </w:rPr>
            </w:pPr>
          </w:p>
        </w:tc>
      </w:tr>
      <w:tr w14:paraId="170D4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7D21AEE">
            <w:pPr>
              <w:adjustRightInd w:val="0"/>
              <w:jc w:val="left"/>
              <w:rPr>
                <w:color w:val="auto"/>
                <w:szCs w:val="21"/>
              </w:rPr>
            </w:pPr>
            <w:r>
              <w:rPr>
                <w:color w:val="auto"/>
                <w:szCs w:val="21"/>
              </w:rPr>
              <w:t xml:space="preserve">38 鹤鹬 </w:t>
            </w:r>
            <w:r>
              <w:rPr>
                <w:i/>
                <w:iCs/>
                <w:color w:val="auto"/>
                <w:szCs w:val="21"/>
              </w:rPr>
              <w:t>Gallinago stenura</w:t>
            </w:r>
          </w:p>
        </w:tc>
        <w:tc>
          <w:tcPr>
            <w:tcW w:w="0" w:type="auto"/>
            <w:tcBorders>
              <w:tl2br w:val="nil"/>
              <w:tr2bl w:val="nil"/>
            </w:tcBorders>
            <w:vAlign w:val="center"/>
          </w:tcPr>
          <w:p w14:paraId="725FCF8F">
            <w:pPr>
              <w:adjustRightInd w:val="0"/>
              <w:jc w:val="center"/>
              <w:rPr>
                <w:color w:val="auto"/>
                <w:szCs w:val="21"/>
              </w:rPr>
            </w:pPr>
            <w:r>
              <w:rPr>
                <w:color w:val="auto"/>
                <w:szCs w:val="21"/>
              </w:rPr>
              <w:t>W</w:t>
            </w:r>
          </w:p>
        </w:tc>
        <w:tc>
          <w:tcPr>
            <w:tcW w:w="0" w:type="auto"/>
            <w:tcBorders>
              <w:tl2br w:val="nil"/>
              <w:tr2bl w:val="nil"/>
            </w:tcBorders>
            <w:vAlign w:val="center"/>
          </w:tcPr>
          <w:p w14:paraId="60AA9C81">
            <w:pPr>
              <w:adjustRightInd w:val="0"/>
              <w:jc w:val="center"/>
              <w:rPr>
                <w:color w:val="auto"/>
                <w:szCs w:val="21"/>
              </w:rPr>
            </w:pPr>
            <w:r>
              <w:rPr>
                <w:color w:val="auto"/>
                <w:szCs w:val="21"/>
              </w:rPr>
              <w:t>P</w:t>
            </w:r>
          </w:p>
        </w:tc>
        <w:tc>
          <w:tcPr>
            <w:tcW w:w="0" w:type="auto"/>
            <w:tcBorders>
              <w:tl2br w:val="nil"/>
              <w:tr2bl w:val="nil"/>
            </w:tcBorders>
            <w:vAlign w:val="center"/>
          </w:tcPr>
          <w:p w14:paraId="0C42EEF0">
            <w:pPr>
              <w:adjustRightInd w:val="0"/>
              <w:jc w:val="center"/>
              <w:rPr>
                <w:color w:val="auto"/>
                <w:szCs w:val="21"/>
              </w:rPr>
            </w:pPr>
          </w:p>
        </w:tc>
        <w:tc>
          <w:tcPr>
            <w:tcW w:w="0" w:type="auto"/>
            <w:tcBorders>
              <w:tl2br w:val="nil"/>
              <w:tr2bl w:val="nil"/>
            </w:tcBorders>
            <w:vAlign w:val="center"/>
          </w:tcPr>
          <w:p w14:paraId="7ED51A24">
            <w:pPr>
              <w:adjustRightInd w:val="0"/>
              <w:jc w:val="center"/>
              <w:rPr>
                <w:color w:val="auto"/>
                <w:szCs w:val="21"/>
              </w:rPr>
            </w:pPr>
            <w:r>
              <w:rPr>
                <w:color w:val="auto"/>
                <w:szCs w:val="21"/>
              </w:rPr>
              <w:t>三有</w:t>
            </w:r>
          </w:p>
        </w:tc>
        <w:tc>
          <w:tcPr>
            <w:tcW w:w="0" w:type="auto"/>
            <w:tcBorders>
              <w:tl2br w:val="nil"/>
              <w:tr2bl w:val="nil"/>
            </w:tcBorders>
            <w:vAlign w:val="center"/>
          </w:tcPr>
          <w:p w14:paraId="5058D6AE">
            <w:pPr>
              <w:adjustRightInd w:val="0"/>
              <w:jc w:val="center"/>
              <w:rPr>
                <w:color w:val="auto"/>
                <w:szCs w:val="21"/>
              </w:rPr>
            </w:pPr>
            <w:r>
              <w:rPr>
                <w:color w:val="auto"/>
                <w:szCs w:val="21"/>
              </w:rPr>
              <w:t>LC</w:t>
            </w:r>
          </w:p>
        </w:tc>
        <w:tc>
          <w:tcPr>
            <w:tcW w:w="0" w:type="auto"/>
            <w:tcBorders>
              <w:tl2br w:val="nil"/>
              <w:tr2bl w:val="nil"/>
            </w:tcBorders>
            <w:vAlign w:val="center"/>
          </w:tcPr>
          <w:p w14:paraId="7B30B7EF">
            <w:pPr>
              <w:adjustRightInd w:val="0"/>
              <w:jc w:val="center"/>
              <w:rPr>
                <w:color w:val="auto"/>
                <w:szCs w:val="21"/>
              </w:rPr>
            </w:pPr>
            <w:r>
              <w:rPr>
                <w:color w:val="auto"/>
                <w:szCs w:val="21"/>
              </w:rPr>
              <w:t>K</w:t>
            </w:r>
          </w:p>
        </w:tc>
      </w:tr>
      <w:tr w14:paraId="0159D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455986C">
            <w:pPr>
              <w:adjustRightInd w:val="0"/>
              <w:jc w:val="left"/>
              <w:rPr>
                <w:color w:val="auto"/>
                <w:szCs w:val="21"/>
              </w:rPr>
            </w:pPr>
            <w:r>
              <w:rPr>
                <w:color w:val="auto"/>
                <w:szCs w:val="21"/>
              </w:rPr>
              <w:t xml:space="preserve">39 白腰草鹬 </w:t>
            </w:r>
            <w:r>
              <w:rPr>
                <w:i/>
                <w:iCs/>
                <w:color w:val="auto"/>
                <w:szCs w:val="21"/>
              </w:rPr>
              <w:t>Tringa ochropus</w:t>
            </w:r>
          </w:p>
        </w:tc>
        <w:tc>
          <w:tcPr>
            <w:tcW w:w="0" w:type="auto"/>
            <w:tcBorders>
              <w:tl2br w:val="nil"/>
              <w:tr2bl w:val="nil"/>
            </w:tcBorders>
            <w:vAlign w:val="center"/>
          </w:tcPr>
          <w:p w14:paraId="12C55D79">
            <w:pPr>
              <w:adjustRightInd w:val="0"/>
              <w:jc w:val="center"/>
              <w:rPr>
                <w:color w:val="auto"/>
                <w:szCs w:val="21"/>
              </w:rPr>
            </w:pPr>
            <w:r>
              <w:rPr>
                <w:color w:val="auto"/>
                <w:szCs w:val="21"/>
              </w:rPr>
              <w:t>W</w:t>
            </w:r>
          </w:p>
        </w:tc>
        <w:tc>
          <w:tcPr>
            <w:tcW w:w="0" w:type="auto"/>
            <w:tcBorders>
              <w:tl2br w:val="nil"/>
              <w:tr2bl w:val="nil"/>
            </w:tcBorders>
            <w:vAlign w:val="center"/>
          </w:tcPr>
          <w:p w14:paraId="389FB6B6">
            <w:pPr>
              <w:adjustRightInd w:val="0"/>
              <w:jc w:val="center"/>
              <w:rPr>
                <w:color w:val="auto"/>
                <w:szCs w:val="21"/>
              </w:rPr>
            </w:pPr>
            <w:r>
              <w:rPr>
                <w:color w:val="auto"/>
                <w:szCs w:val="21"/>
              </w:rPr>
              <w:t>P</w:t>
            </w:r>
          </w:p>
        </w:tc>
        <w:tc>
          <w:tcPr>
            <w:tcW w:w="0" w:type="auto"/>
            <w:tcBorders>
              <w:tl2br w:val="nil"/>
              <w:tr2bl w:val="nil"/>
            </w:tcBorders>
            <w:vAlign w:val="center"/>
          </w:tcPr>
          <w:p w14:paraId="62313018">
            <w:pPr>
              <w:adjustRightInd w:val="0"/>
              <w:jc w:val="center"/>
              <w:rPr>
                <w:color w:val="auto"/>
                <w:szCs w:val="21"/>
              </w:rPr>
            </w:pPr>
          </w:p>
        </w:tc>
        <w:tc>
          <w:tcPr>
            <w:tcW w:w="0" w:type="auto"/>
            <w:tcBorders>
              <w:tl2br w:val="nil"/>
              <w:tr2bl w:val="nil"/>
            </w:tcBorders>
            <w:vAlign w:val="center"/>
          </w:tcPr>
          <w:p w14:paraId="140EE99B">
            <w:pPr>
              <w:adjustRightInd w:val="0"/>
              <w:jc w:val="center"/>
              <w:rPr>
                <w:color w:val="auto"/>
                <w:szCs w:val="21"/>
              </w:rPr>
            </w:pPr>
            <w:r>
              <w:rPr>
                <w:color w:val="auto"/>
                <w:szCs w:val="21"/>
              </w:rPr>
              <w:t>三有；湘</w:t>
            </w:r>
          </w:p>
        </w:tc>
        <w:tc>
          <w:tcPr>
            <w:tcW w:w="0" w:type="auto"/>
            <w:tcBorders>
              <w:tl2br w:val="nil"/>
              <w:tr2bl w:val="nil"/>
            </w:tcBorders>
            <w:vAlign w:val="center"/>
          </w:tcPr>
          <w:p w14:paraId="1B248D78">
            <w:pPr>
              <w:adjustRightInd w:val="0"/>
              <w:jc w:val="center"/>
              <w:rPr>
                <w:color w:val="auto"/>
                <w:szCs w:val="21"/>
              </w:rPr>
            </w:pPr>
            <w:r>
              <w:rPr>
                <w:color w:val="auto"/>
                <w:szCs w:val="21"/>
              </w:rPr>
              <w:t>LC</w:t>
            </w:r>
          </w:p>
        </w:tc>
        <w:tc>
          <w:tcPr>
            <w:tcW w:w="0" w:type="auto"/>
            <w:tcBorders>
              <w:tl2br w:val="nil"/>
              <w:tr2bl w:val="nil"/>
            </w:tcBorders>
            <w:vAlign w:val="center"/>
          </w:tcPr>
          <w:p w14:paraId="6453E3DF">
            <w:pPr>
              <w:adjustRightInd w:val="0"/>
              <w:jc w:val="center"/>
              <w:rPr>
                <w:color w:val="auto"/>
                <w:szCs w:val="21"/>
              </w:rPr>
            </w:pPr>
            <w:r>
              <w:rPr>
                <w:color w:val="auto"/>
                <w:szCs w:val="21"/>
              </w:rPr>
              <w:t>K</w:t>
            </w:r>
          </w:p>
        </w:tc>
      </w:tr>
      <w:tr w14:paraId="3A9C9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E11E321">
            <w:pPr>
              <w:adjustRightInd w:val="0"/>
              <w:jc w:val="left"/>
              <w:rPr>
                <w:color w:val="auto"/>
                <w:szCs w:val="21"/>
              </w:rPr>
            </w:pPr>
            <w:r>
              <w:rPr>
                <w:color w:val="auto"/>
                <w:szCs w:val="21"/>
              </w:rPr>
              <w:t xml:space="preserve">40 青脚鹬 </w:t>
            </w:r>
            <w:r>
              <w:rPr>
                <w:i/>
                <w:iCs/>
                <w:color w:val="auto"/>
                <w:szCs w:val="21"/>
              </w:rPr>
              <w:t>Tringa nebularia</w:t>
            </w:r>
          </w:p>
        </w:tc>
        <w:tc>
          <w:tcPr>
            <w:tcW w:w="0" w:type="auto"/>
            <w:tcBorders>
              <w:tl2br w:val="nil"/>
              <w:tr2bl w:val="nil"/>
            </w:tcBorders>
            <w:vAlign w:val="center"/>
          </w:tcPr>
          <w:p w14:paraId="3F434899">
            <w:pPr>
              <w:adjustRightInd w:val="0"/>
              <w:jc w:val="center"/>
              <w:rPr>
                <w:color w:val="auto"/>
                <w:szCs w:val="21"/>
              </w:rPr>
            </w:pPr>
            <w:r>
              <w:rPr>
                <w:color w:val="auto"/>
                <w:szCs w:val="21"/>
              </w:rPr>
              <w:t>W</w:t>
            </w:r>
          </w:p>
        </w:tc>
        <w:tc>
          <w:tcPr>
            <w:tcW w:w="0" w:type="auto"/>
            <w:tcBorders>
              <w:tl2br w:val="nil"/>
              <w:tr2bl w:val="nil"/>
            </w:tcBorders>
            <w:vAlign w:val="center"/>
          </w:tcPr>
          <w:p w14:paraId="1344F245">
            <w:pPr>
              <w:adjustRightInd w:val="0"/>
              <w:jc w:val="center"/>
              <w:rPr>
                <w:color w:val="auto"/>
                <w:szCs w:val="21"/>
              </w:rPr>
            </w:pPr>
            <w:r>
              <w:rPr>
                <w:color w:val="auto"/>
                <w:szCs w:val="21"/>
              </w:rPr>
              <w:t>P</w:t>
            </w:r>
          </w:p>
        </w:tc>
        <w:tc>
          <w:tcPr>
            <w:tcW w:w="0" w:type="auto"/>
            <w:tcBorders>
              <w:tl2br w:val="nil"/>
              <w:tr2bl w:val="nil"/>
            </w:tcBorders>
            <w:vAlign w:val="center"/>
          </w:tcPr>
          <w:p w14:paraId="570F0EFE">
            <w:pPr>
              <w:adjustRightInd w:val="0"/>
              <w:jc w:val="center"/>
              <w:rPr>
                <w:color w:val="auto"/>
                <w:szCs w:val="21"/>
              </w:rPr>
            </w:pPr>
          </w:p>
        </w:tc>
        <w:tc>
          <w:tcPr>
            <w:tcW w:w="0" w:type="auto"/>
            <w:tcBorders>
              <w:tl2br w:val="nil"/>
              <w:tr2bl w:val="nil"/>
            </w:tcBorders>
            <w:vAlign w:val="center"/>
          </w:tcPr>
          <w:p w14:paraId="77BEFC83">
            <w:pPr>
              <w:adjustRightInd w:val="0"/>
              <w:jc w:val="center"/>
              <w:rPr>
                <w:color w:val="auto"/>
                <w:szCs w:val="21"/>
              </w:rPr>
            </w:pPr>
            <w:r>
              <w:rPr>
                <w:color w:val="auto"/>
                <w:szCs w:val="21"/>
              </w:rPr>
              <w:t>三有；湘</w:t>
            </w:r>
          </w:p>
        </w:tc>
        <w:tc>
          <w:tcPr>
            <w:tcW w:w="0" w:type="auto"/>
            <w:tcBorders>
              <w:tl2br w:val="nil"/>
              <w:tr2bl w:val="nil"/>
            </w:tcBorders>
            <w:vAlign w:val="center"/>
          </w:tcPr>
          <w:p w14:paraId="74EA3069">
            <w:pPr>
              <w:adjustRightInd w:val="0"/>
              <w:jc w:val="center"/>
              <w:rPr>
                <w:color w:val="auto"/>
                <w:szCs w:val="21"/>
              </w:rPr>
            </w:pPr>
            <w:r>
              <w:rPr>
                <w:color w:val="auto"/>
                <w:szCs w:val="21"/>
              </w:rPr>
              <w:t>LC</w:t>
            </w:r>
          </w:p>
        </w:tc>
        <w:tc>
          <w:tcPr>
            <w:tcW w:w="0" w:type="auto"/>
            <w:tcBorders>
              <w:tl2br w:val="nil"/>
              <w:tr2bl w:val="nil"/>
            </w:tcBorders>
            <w:vAlign w:val="center"/>
          </w:tcPr>
          <w:p w14:paraId="5750320A">
            <w:pPr>
              <w:adjustRightInd w:val="0"/>
              <w:jc w:val="center"/>
              <w:rPr>
                <w:color w:val="auto"/>
                <w:szCs w:val="21"/>
              </w:rPr>
            </w:pPr>
            <w:r>
              <w:rPr>
                <w:color w:val="auto"/>
                <w:szCs w:val="21"/>
              </w:rPr>
              <w:t>K</w:t>
            </w:r>
          </w:p>
        </w:tc>
      </w:tr>
      <w:tr w14:paraId="23C96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4D66351">
            <w:pPr>
              <w:adjustRightInd w:val="0"/>
              <w:jc w:val="left"/>
              <w:rPr>
                <w:color w:val="auto"/>
                <w:szCs w:val="21"/>
              </w:rPr>
            </w:pPr>
            <w:r>
              <w:rPr>
                <w:color w:val="auto"/>
                <w:szCs w:val="21"/>
              </w:rPr>
              <w:t xml:space="preserve">41 大沙锥 </w:t>
            </w:r>
            <w:r>
              <w:rPr>
                <w:i/>
                <w:iCs/>
                <w:color w:val="auto"/>
                <w:szCs w:val="21"/>
              </w:rPr>
              <w:t>Gallinago megala</w:t>
            </w:r>
          </w:p>
        </w:tc>
        <w:tc>
          <w:tcPr>
            <w:tcW w:w="0" w:type="auto"/>
            <w:tcBorders>
              <w:tl2br w:val="nil"/>
              <w:tr2bl w:val="nil"/>
            </w:tcBorders>
            <w:vAlign w:val="center"/>
          </w:tcPr>
          <w:p w14:paraId="4FACDAA4">
            <w:pPr>
              <w:adjustRightInd w:val="0"/>
              <w:jc w:val="center"/>
              <w:rPr>
                <w:color w:val="auto"/>
                <w:szCs w:val="21"/>
              </w:rPr>
            </w:pPr>
            <w:r>
              <w:rPr>
                <w:color w:val="auto"/>
                <w:szCs w:val="21"/>
              </w:rPr>
              <w:t>W</w:t>
            </w:r>
          </w:p>
        </w:tc>
        <w:tc>
          <w:tcPr>
            <w:tcW w:w="0" w:type="auto"/>
            <w:tcBorders>
              <w:tl2br w:val="nil"/>
              <w:tr2bl w:val="nil"/>
            </w:tcBorders>
            <w:vAlign w:val="center"/>
          </w:tcPr>
          <w:p w14:paraId="354C929B">
            <w:pPr>
              <w:adjustRightInd w:val="0"/>
              <w:jc w:val="center"/>
              <w:rPr>
                <w:color w:val="auto"/>
                <w:szCs w:val="21"/>
              </w:rPr>
            </w:pPr>
            <w:r>
              <w:rPr>
                <w:color w:val="auto"/>
                <w:szCs w:val="21"/>
              </w:rPr>
              <w:t>C</w:t>
            </w:r>
          </w:p>
        </w:tc>
        <w:tc>
          <w:tcPr>
            <w:tcW w:w="0" w:type="auto"/>
            <w:tcBorders>
              <w:tl2br w:val="nil"/>
              <w:tr2bl w:val="nil"/>
            </w:tcBorders>
            <w:vAlign w:val="center"/>
          </w:tcPr>
          <w:p w14:paraId="55A113A8">
            <w:pPr>
              <w:adjustRightInd w:val="0"/>
              <w:jc w:val="center"/>
              <w:rPr>
                <w:color w:val="auto"/>
                <w:szCs w:val="21"/>
              </w:rPr>
            </w:pPr>
          </w:p>
        </w:tc>
        <w:tc>
          <w:tcPr>
            <w:tcW w:w="0" w:type="auto"/>
            <w:tcBorders>
              <w:tl2br w:val="nil"/>
              <w:tr2bl w:val="nil"/>
            </w:tcBorders>
            <w:vAlign w:val="center"/>
          </w:tcPr>
          <w:p w14:paraId="1F7BFB96">
            <w:pPr>
              <w:adjustRightInd w:val="0"/>
              <w:jc w:val="center"/>
              <w:rPr>
                <w:color w:val="auto"/>
                <w:szCs w:val="21"/>
              </w:rPr>
            </w:pPr>
            <w:r>
              <w:rPr>
                <w:color w:val="auto"/>
                <w:szCs w:val="21"/>
              </w:rPr>
              <w:t>三有</w:t>
            </w:r>
          </w:p>
        </w:tc>
        <w:tc>
          <w:tcPr>
            <w:tcW w:w="0" w:type="auto"/>
            <w:tcBorders>
              <w:tl2br w:val="nil"/>
              <w:tr2bl w:val="nil"/>
            </w:tcBorders>
            <w:vAlign w:val="center"/>
          </w:tcPr>
          <w:p w14:paraId="726F5E04">
            <w:pPr>
              <w:adjustRightInd w:val="0"/>
              <w:jc w:val="center"/>
              <w:rPr>
                <w:color w:val="auto"/>
                <w:szCs w:val="21"/>
              </w:rPr>
            </w:pPr>
            <w:r>
              <w:rPr>
                <w:color w:val="auto"/>
                <w:szCs w:val="21"/>
              </w:rPr>
              <w:t>LC</w:t>
            </w:r>
          </w:p>
        </w:tc>
        <w:tc>
          <w:tcPr>
            <w:tcW w:w="0" w:type="auto"/>
            <w:tcBorders>
              <w:tl2br w:val="nil"/>
              <w:tr2bl w:val="nil"/>
            </w:tcBorders>
            <w:vAlign w:val="center"/>
          </w:tcPr>
          <w:p w14:paraId="3576A5F5">
            <w:pPr>
              <w:adjustRightInd w:val="0"/>
              <w:jc w:val="center"/>
              <w:rPr>
                <w:color w:val="auto"/>
                <w:szCs w:val="21"/>
              </w:rPr>
            </w:pPr>
            <w:r>
              <w:rPr>
                <w:color w:val="auto"/>
                <w:szCs w:val="21"/>
              </w:rPr>
              <w:t>K</w:t>
            </w:r>
          </w:p>
        </w:tc>
      </w:tr>
      <w:tr w14:paraId="5235E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1902F49">
            <w:pPr>
              <w:adjustRightInd w:val="0"/>
              <w:jc w:val="left"/>
              <w:rPr>
                <w:color w:val="auto"/>
                <w:szCs w:val="21"/>
              </w:rPr>
            </w:pPr>
            <w:r>
              <w:rPr>
                <w:color w:val="auto"/>
                <w:szCs w:val="21"/>
              </w:rPr>
              <w:t>42 红脚鹬</w:t>
            </w:r>
            <w:r>
              <w:rPr>
                <w:i/>
                <w:iCs/>
                <w:color w:val="auto"/>
                <w:szCs w:val="21"/>
              </w:rPr>
              <w:t xml:space="preserve"> Tringa totanus</w:t>
            </w:r>
          </w:p>
        </w:tc>
        <w:tc>
          <w:tcPr>
            <w:tcW w:w="0" w:type="auto"/>
            <w:tcBorders>
              <w:tl2br w:val="nil"/>
              <w:tr2bl w:val="nil"/>
            </w:tcBorders>
            <w:vAlign w:val="center"/>
          </w:tcPr>
          <w:p w14:paraId="1372C456">
            <w:pPr>
              <w:adjustRightInd w:val="0"/>
              <w:jc w:val="center"/>
              <w:rPr>
                <w:color w:val="auto"/>
                <w:szCs w:val="21"/>
              </w:rPr>
            </w:pPr>
            <w:r>
              <w:rPr>
                <w:color w:val="auto"/>
                <w:szCs w:val="21"/>
              </w:rPr>
              <w:t>P</w:t>
            </w:r>
          </w:p>
        </w:tc>
        <w:tc>
          <w:tcPr>
            <w:tcW w:w="0" w:type="auto"/>
            <w:tcBorders>
              <w:tl2br w:val="nil"/>
              <w:tr2bl w:val="nil"/>
            </w:tcBorders>
            <w:vAlign w:val="center"/>
          </w:tcPr>
          <w:p w14:paraId="34E2CF4A">
            <w:pPr>
              <w:adjustRightInd w:val="0"/>
              <w:jc w:val="center"/>
              <w:rPr>
                <w:color w:val="auto"/>
                <w:szCs w:val="21"/>
              </w:rPr>
            </w:pPr>
            <w:r>
              <w:rPr>
                <w:color w:val="auto"/>
                <w:szCs w:val="21"/>
              </w:rPr>
              <w:t>P</w:t>
            </w:r>
          </w:p>
        </w:tc>
        <w:tc>
          <w:tcPr>
            <w:tcW w:w="0" w:type="auto"/>
            <w:tcBorders>
              <w:tl2br w:val="nil"/>
              <w:tr2bl w:val="nil"/>
            </w:tcBorders>
            <w:vAlign w:val="center"/>
          </w:tcPr>
          <w:p w14:paraId="7C372A20">
            <w:pPr>
              <w:adjustRightInd w:val="0"/>
              <w:jc w:val="center"/>
              <w:rPr>
                <w:color w:val="auto"/>
                <w:szCs w:val="21"/>
              </w:rPr>
            </w:pPr>
          </w:p>
        </w:tc>
        <w:tc>
          <w:tcPr>
            <w:tcW w:w="0" w:type="auto"/>
            <w:tcBorders>
              <w:tl2br w:val="nil"/>
              <w:tr2bl w:val="nil"/>
            </w:tcBorders>
            <w:vAlign w:val="center"/>
          </w:tcPr>
          <w:p w14:paraId="6B5806D2">
            <w:pPr>
              <w:adjustRightInd w:val="0"/>
              <w:jc w:val="center"/>
              <w:rPr>
                <w:color w:val="auto"/>
                <w:szCs w:val="21"/>
              </w:rPr>
            </w:pPr>
            <w:r>
              <w:rPr>
                <w:color w:val="auto"/>
                <w:szCs w:val="21"/>
              </w:rPr>
              <w:t>三有；湘</w:t>
            </w:r>
          </w:p>
        </w:tc>
        <w:tc>
          <w:tcPr>
            <w:tcW w:w="0" w:type="auto"/>
            <w:tcBorders>
              <w:tl2br w:val="nil"/>
              <w:tr2bl w:val="nil"/>
            </w:tcBorders>
            <w:vAlign w:val="center"/>
          </w:tcPr>
          <w:p w14:paraId="2B0A8BD2">
            <w:pPr>
              <w:adjustRightInd w:val="0"/>
              <w:jc w:val="center"/>
              <w:rPr>
                <w:color w:val="auto"/>
                <w:szCs w:val="21"/>
              </w:rPr>
            </w:pPr>
            <w:r>
              <w:rPr>
                <w:color w:val="auto"/>
                <w:szCs w:val="21"/>
              </w:rPr>
              <w:t>LC</w:t>
            </w:r>
          </w:p>
        </w:tc>
        <w:tc>
          <w:tcPr>
            <w:tcW w:w="0" w:type="auto"/>
            <w:tcBorders>
              <w:tl2br w:val="nil"/>
              <w:tr2bl w:val="nil"/>
            </w:tcBorders>
            <w:vAlign w:val="center"/>
          </w:tcPr>
          <w:p w14:paraId="4EA2AF8F">
            <w:pPr>
              <w:adjustRightInd w:val="0"/>
              <w:jc w:val="center"/>
              <w:rPr>
                <w:color w:val="auto"/>
                <w:szCs w:val="21"/>
              </w:rPr>
            </w:pPr>
          </w:p>
        </w:tc>
      </w:tr>
      <w:tr w14:paraId="2D4F3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975CDC4">
            <w:pPr>
              <w:adjustRightInd w:val="0"/>
              <w:jc w:val="left"/>
              <w:rPr>
                <w:color w:val="auto"/>
                <w:szCs w:val="21"/>
              </w:rPr>
            </w:pPr>
            <w:r>
              <w:rPr>
                <w:color w:val="auto"/>
                <w:szCs w:val="21"/>
              </w:rPr>
              <w:t xml:space="preserve">43 泽鹬 </w:t>
            </w:r>
            <w:r>
              <w:rPr>
                <w:i/>
                <w:iCs/>
                <w:color w:val="auto"/>
                <w:szCs w:val="21"/>
              </w:rPr>
              <w:t>Tringa stagnatilis</w:t>
            </w:r>
          </w:p>
        </w:tc>
        <w:tc>
          <w:tcPr>
            <w:tcW w:w="0" w:type="auto"/>
            <w:tcBorders>
              <w:tl2br w:val="nil"/>
              <w:tr2bl w:val="nil"/>
            </w:tcBorders>
            <w:vAlign w:val="center"/>
          </w:tcPr>
          <w:p w14:paraId="3763BE68">
            <w:pPr>
              <w:adjustRightInd w:val="0"/>
              <w:jc w:val="center"/>
              <w:rPr>
                <w:color w:val="auto"/>
                <w:szCs w:val="21"/>
              </w:rPr>
            </w:pPr>
            <w:r>
              <w:rPr>
                <w:color w:val="auto"/>
                <w:szCs w:val="21"/>
              </w:rPr>
              <w:t>P</w:t>
            </w:r>
          </w:p>
        </w:tc>
        <w:tc>
          <w:tcPr>
            <w:tcW w:w="0" w:type="auto"/>
            <w:tcBorders>
              <w:tl2br w:val="nil"/>
              <w:tr2bl w:val="nil"/>
            </w:tcBorders>
            <w:vAlign w:val="center"/>
          </w:tcPr>
          <w:p w14:paraId="088C6C55">
            <w:pPr>
              <w:adjustRightInd w:val="0"/>
              <w:jc w:val="center"/>
              <w:rPr>
                <w:color w:val="auto"/>
                <w:szCs w:val="21"/>
              </w:rPr>
            </w:pPr>
            <w:r>
              <w:rPr>
                <w:color w:val="auto"/>
                <w:szCs w:val="21"/>
              </w:rPr>
              <w:t>P</w:t>
            </w:r>
          </w:p>
        </w:tc>
        <w:tc>
          <w:tcPr>
            <w:tcW w:w="0" w:type="auto"/>
            <w:tcBorders>
              <w:tl2br w:val="nil"/>
              <w:tr2bl w:val="nil"/>
            </w:tcBorders>
            <w:vAlign w:val="center"/>
          </w:tcPr>
          <w:p w14:paraId="0E24B679">
            <w:pPr>
              <w:adjustRightInd w:val="0"/>
              <w:jc w:val="center"/>
              <w:rPr>
                <w:color w:val="auto"/>
                <w:szCs w:val="21"/>
              </w:rPr>
            </w:pPr>
          </w:p>
        </w:tc>
        <w:tc>
          <w:tcPr>
            <w:tcW w:w="0" w:type="auto"/>
            <w:tcBorders>
              <w:tl2br w:val="nil"/>
              <w:tr2bl w:val="nil"/>
            </w:tcBorders>
            <w:vAlign w:val="center"/>
          </w:tcPr>
          <w:p w14:paraId="3178FF46">
            <w:pPr>
              <w:adjustRightInd w:val="0"/>
              <w:jc w:val="center"/>
              <w:rPr>
                <w:color w:val="auto"/>
                <w:szCs w:val="21"/>
              </w:rPr>
            </w:pPr>
            <w:r>
              <w:rPr>
                <w:color w:val="auto"/>
                <w:szCs w:val="21"/>
              </w:rPr>
              <w:t>三有</w:t>
            </w:r>
          </w:p>
        </w:tc>
        <w:tc>
          <w:tcPr>
            <w:tcW w:w="0" w:type="auto"/>
            <w:tcBorders>
              <w:tl2br w:val="nil"/>
              <w:tr2bl w:val="nil"/>
            </w:tcBorders>
            <w:vAlign w:val="center"/>
          </w:tcPr>
          <w:p w14:paraId="09E5E691">
            <w:pPr>
              <w:adjustRightInd w:val="0"/>
              <w:jc w:val="center"/>
              <w:rPr>
                <w:color w:val="auto"/>
                <w:szCs w:val="21"/>
              </w:rPr>
            </w:pPr>
            <w:r>
              <w:rPr>
                <w:color w:val="auto"/>
                <w:szCs w:val="21"/>
              </w:rPr>
              <w:t>LC</w:t>
            </w:r>
          </w:p>
        </w:tc>
        <w:tc>
          <w:tcPr>
            <w:tcW w:w="0" w:type="auto"/>
            <w:tcBorders>
              <w:tl2br w:val="nil"/>
              <w:tr2bl w:val="nil"/>
            </w:tcBorders>
            <w:vAlign w:val="center"/>
          </w:tcPr>
          <w:p w14:paraId="53CAFCC0">
            <w:pPr>
              <w:adjustRightInd w:val="0"/>
              <w:jc w:val="center"/>
              <w:rPr>
                <w:color w:val="auto"/>
                <w:szCs w:val="21"/>
              </w:rPr>
            </w:pPr>
          </w:p>
        </w:tc>
      </w:tr>
      <w:tr w14:paraId="5EBDF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2A9A19F">
            <w:pPr>
              <w:adjustRightInd w:val="0"/>
              <w:jc w:val="left"/>
              <w:rPr>
                <w:color w:val="auto"/>
                <w:szCs w:val="21"/>
              </w:rPr>
            </w:pPr>
            <w:r>
              <w:rPr>
                <w:color w:val="auto"/>
                <w:szCs w:val="21"/>
              </w:rPr>
              <w:t xml:space="preserve">44 林鹬 </w:t>
            </w:r>
            <w:r>
              <w:rPr>
                <w:i/>
                <w:iCs/>
                <w:color w:val="auto"/>
                <w:szCs w:val="21"/>
              </w:rPr>
              <w:t>Tringa glareola</w:t>
            </w:r>
          </w:p>
        </w:tc>
        <w:tc>
          <w:tcPr>
            <w:tcW w:w="0" w:type="auto"/>
            <w:tcBorders>
              <w:tl2br w:val="nil"/>
              <w:tr2bl w:val="nil"/>
            </w:tcBorders>
            <w:vAlign w:val="center"/>
          </w:tcPr>
          <w:p w14:paraId="50AA21FC">
            <w:pPr>
              <w:adjustRightInd w:val="0"/>
              <w:jc w:val="center"/>
              <w:rPr>
                <w:color w:val="auto"/>
                <w:szCs w:val="21"/>
              </w:rPr>
            </w:pPr>
            <w:r>
              <w:rPr>
                <w:color w:val="auto"/>
                <w:szCs w:val="21"/>
              </w:rPr>
              <w:t>P</w:t>
            </w:r>
          </w:p>
        </w:tc>
        <w:tc>
          <w:tcPr>
            <w:tcW w:w="0" w:type="auto"/>
            <w:tcBorders>
              <w:tl2br w:val="nil"/>
              <w:tr2bl w:val="nil"/>
            </w:tcBorders>
            <w:vAlign w:val="center"/>
          </w:tcPr>
          <w:p w14:paraId="29E6967E">
            <w:pPr>
              <w:adjustRightInd w:val="0"/>
              <w:jc w:val="center"/>
              <w:rPr>
                <w:color w:val="auto"/>
                <w:szCs w:val="21"/>
              </w:rPr>
            </w:pPr>
            <w:r>
              <w:rPr>
                <w:color w:val="auto"/>
                <w:szCs w:val="21"/>
              </w:rPr>
              <w:t>C</w:t>
            </w:r>
          </w:p>
        </w:tc>
        <w:tc>
          <w:tcPr>
            <w:tcW w:w="0" w:type="auto"/>
            <w:tcBorders>
              <w:tl2br w:val="nil"/>
              <w:tr2bl w:val="nil"/>
            </w:tcBorders>
            <w:vAlign w:val="center"/>
          </w:tcPr>
          <w:p w14:paraId="0E28205D">
            <w:pPr>
              <w:adjustRightInd w:val="0"/>
              <w:jc w:val="center"/>
              <w:rPr>
                <w:color w:val="auto"/>
                <w:szCs w:val="21"/>
              </w:rPr>
            </w:pPr>
          </w:p>
        </w:tc>
        <w:tc>
          <w:tcPr>
            <w:tcW w:w="0" w:type="auto"/>
            <w:tcBorders>
              <w:tl2br w:val="nil"/>
              <w:tr2bl w:val="nil"/>
            </w:tcBorders>
            <w:vAlign w:val="center"/>
          </w:tcPr>
          <w:p w14:paraId="346E594A">
            <w:pPr>
              <w:adjustRightInd w:val="0"/>
              <w:jc w:val="center"/>
              <w:rPr>
                <w:color w:val="auto"/>
                <w:szCs w:val="21"/>
              </w:rPr>
            </w:pPr>
            <w:r>
              <w:rPr>
                <w:color w:val="auto"/>
                <w:szCs w:val="21"/>
              </w:rPr>
              <w:t>三有</w:t>
            </w:r>
          </w:p>
        </w:tc>
        <w:tc>
          <w:tcPr>
            <w:tcW w:w="0" w:type="auto"/>
            <w:tcBorders>
              <w:tl2br w:val="nil"/>
              <w:tr2bl w:val="nil"/>
            </w:tcBorders>
            <w:vAlign w:val="center"/>
          </w:tcPr>
          <w:p w14:paraId="08644CFE">
            <w:pPr>
              <w:adjustRightInd w:val="0"/>
              <w:jc w:val="center"/>
              <w:rPr>
                <w:color w:val="auto"/>
                <w:szCs w:val="21"/>
              </w:rPr>
            </w:pPr>
            <w:r>
              <w:rPr>
                <w:color w:val="auto"/>
                <w:szCs w:val="21"/>
              </w:rPr>
              <w:t>LC</w:t>
            </w:r>
          </w:p>
        </w:tc>
        <w:tc>
          <w:tcPr>
            <w:tcW w:w="0" w:type="auto"/>
            <w:tcBorders>
              <w:tl2br w:val="nil"/>
              <w:tr2bl w:val="nil"/>
            </w:tcBorders>
            <w:vAlign w:val="center"/>
          </w:tcPr>
          <w:p w14:paraId="0AEA6F56">
            <w:pPr>
              <w:adjustRightInd w:val="0"/>
              <w:jc w:val="center"/>
              <w:rPr>
                <w:color w:val="auto"/>
                <w:szCs w:val="21"/>
              </w:rPr>
            </w:pPr>
          </w:p>
        </w:tc>
      </w:tr>
      <w:tr w14:paraId="7B3F3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A0083E2">
            <w:pPr>
              <w:adjustRightInd w:val="0"/>
              <w:jc w:val="left"/>
              <w:rPr>
                <w:color w:val="auto"/>
                <w:szCs w:val="21"/>
              </w:rPr>
            </w:pPr>
            <w:r>
              <w:rPr>
                <w:color w:val="auto"/>
                <w:szCs w:val="21"/>
              </w:rPr>
              <w:t>45 扇尾沙锥</w:t>
            </w:r>
            <w:r>
              <w:rPr>
                <w:i/>
                <w:iCs/>
                <w:color w:val="auto"/>
                <w:szCs w:val="21"/>
              </w:rPr>
              <w:t xml:space="preserve"> Gallinago gallinago</w:t>
            </w:r>
          </w:p>
        </w:tc>
        <w:tc>
          <w:tcPr>
            <w:tcW w:w="0" w:type="auto"/>
            <w:tcBorders>
              <w:tl2br w:val="nil"/>
              <w:tr2bl w:val="nil"/>
            </w:tcBorders>
            <w:vAlign w:val="center"/>
          </w:tcPr>
          <w:p w14:paraId="40D04487">
            <w:pPr>
              <w:adjustRightInd w:val="0"/>
              <w:jc w:val="center"/>
              <w:rPr>
                <w:color w:val="auto"/>
                <w:szCs w:val="21"/>
              </w:rPr>
            </w:pPr>
            <w:r>
              <w:rPr>
                <w:color w:val="auto"/>
                <w:szCs w:val="21"/>
              </w:rPr>
              <w:t>W</w:t>
            </w:r>
          </w:p>
        </w:tc>
        <w:tc>
          <w:tcPr>
            <w:tcW w:w="0" w:type="auto"/>
            <w:tcBorders>
              <w:tl2br w:val="nil"/>
              <w:tr2bl w:val="nil"/>
            </w:tcBorders>
            <w:vAlign w:val="center"/>
          </w:tcPr>
          <w:p w14:paraId="10E1B734">
            <w:pPr>
              <w:adjustRightInd w:val="0"/>
              <w:jc w:val="center"/>
              <w:rPr>
                <w:color w:val="auto"/>
                <w:szCs w:val="21"/>
              </w:rPr>
            </w:pPr>
            <w:r>
              <w:rPr>
                <w:color w:val="auto"/>
                <w:szCs w:val="21"/>
              </w:rPr>
              <w:t>C</w:t>
            </w:r>
          </w:p>
        </w:tc>
        <w:tc>
          <w:tcPr>
            <w:tcW w:w="0" w:type="auto"/>
            <w:tcBorders>
              <w:tl2br w:val="nil"/>
              <w:tr2bl w:val="nil"/>
            </w:tcBorders>
            <w:vAlign w:val="center"/>
          </w:tcPr>
          <w:p w14:paraId="3E3DF64B">
            <w:pPr>
              <w:adjustRightInd w:val="0"/>
              <w:jc w:val="center"/>
              <w:rPr>
                <w:color w:val="auto"/>
                <w:szCs w:val="21"/>
              </w:rPr>
            </w:pPr>
          </w:p>
        </w:tc>
        <w:tc>
          <w:tcPr>
            <w:tcW w:w="0" w:type="auto"/>
            <w:tcBorders>
              <w:tl2br w:val="nil"/>
              <w:tr2bl w:val="nil"/>
            </w:tcBorders>
            <w:vAlign w:val="center"/>
          </w:tcPr>
          <w:p w14:paraId="6A1E821F">
            <w:pPr>
              <w:adjustRightInd w:val="0"/>
              <w:jc w:val="center"/>
              <w:rPr>
                <w:color w:val="auto"/>
                <w:szCs w:val="21"/>
              </w:rPr>
            </w:pPr>
            <w:r>
              <w:rPr>
                <w:color w:val="auto"/>
                <w:szCs w:val="21"/>
              </w:rPr>
              <w:t>三有；湘</w:t>
            </w:r>
          </w:p>
        </w:tc>
        <w:tc>
          <w:tcPr>
            <w:tcW w:w="0" w:type="auto"/>
            <w:tcBorders>
              <w:tl2br w:val="nil"/>
              <w:tr2bl w:val="nil"/>
            </w:tcBorders>
            <w:vAlign w:val="center"/>
          </w:tcPr>
          <w:p w14:paraId="2F72C82A">
            <w:pPr>
              <w:adjustRightInd w:val="0"/>
              <w:jc w:val="center"/>
              <w:rPr>
                <w:color w:val="auto"/>
                <w:szCs w:val="21"/>
              </w:rPr>
            </w:pPr>
            <w:r>
              <w:rPr>
                <w:color w:val="auto"/>
                <w:szCs w:val="21"/>
              </w:rPr>
              <w:t>LC</w:t>
            </w:r>
          </w:p>
        </w:tc>
        <w:tc>
          <w:tcPr>
            <w:tcW w:w="0" w:type="auto"/>
            <w:tcBorders>
              <w:tl2br w:val="nil"/>
              <w:tr2bl w:val="nil"/>
            </w:tcBorders>
            <w:vAlign w:val="center"/>
          </w:tcPr>
          <w:p w14:paraId="6175B21F">
            <w:pPr>
              <w:adjustRightInd w:val="0"/>
              <w:jc w:val="center"/>
              <w:rPr>
                <w:color w:val="auto"/>
                <w:szCs w:val="21"/>
              </w:rPr>
            </w:pPr>
          </w:p>
        </w:tc>
      </w:tr>
      <w:tr w14:paraId="54C75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36021DD">
            <w:pPr>
              <w:adjustRightInd w:val="0"/>
              <w:jc w:val="left"/>
              <w:rPr>
                <w:color w:val="auto"/>
                <w:szCs w:val="21"/>
              </w:rPr>
            </w:pPr>
            <w:r>
              <w:rPr>
                <w:b/>
                <w:bCs/>
                <w:color w:val="auto"/>
                <w:szCs w:val="21"/>
              </w:rPr>
              <w:t>（九）反嘴鹬科 Recurvirostridae</w:t>
            </w:r>
          </w:p>
        </w:tc>
        <w:tc>
          <w:tcPr>
            <w:tcW w:w="0" w:type="auto"/>
            <w:tcBorders>
              <w:tl2br w:val="nil"/>
              <w:tr2bl w:val="nil"/>
            </w:tcBorders>
            <w:vAlign w:val="center"/>
          </w:tcPr>
          <w:p w14:paraId="59FFFC2B">
            <w:pPr>
              <w:adjustRightInd w:val="0"/>
              <w:jc w:val="center"/>
              <w:rPr>
                <w:color w:val="auto"/>
                <w:szCs w:val="21"/>
              </w:rPr>
            </w:pPr>
          </w:p>
        </w:tc>
        <w:tc>
          <w:tcPr>
            <w:tcW w:w="0" w:type="auto"/>
            <w:tcBorders>
              <w:tl2br w:val="nil"/>
              <w:tr2bl w:val="nil"/>
            </w:tcBorders>
            <w:vAlign w:val="center"/>
          </w:tcPr>
          <w:p w14:paraId="4C79D224">
            <w:pPr>
              <w:adjustRightInd w:val="0"/>
              <w:jc w:val="center"/>
              <w:rPr>
                <w:color w:val="auto"/>
                <w:szCs w:val="21"/>
              </w:rPr>
            </w:pPr>
          </w:p>
        </w:tc>
        <w:tc>
          <w:tcPr>
            <w:tcW w:w="0" w:type="auto"/>
            <w:tcBorders>
              <w:tl2br w:val="nil"/>
              <w:tr2bl w:val="nil"/>
            </w:tcBorders>
            <w:vAlign w:val="center"/>
          </w:tcPr>
          <w:p w14:paraId="787F84B8">
            <w:pPr>
              <w:adjustRightInd w:val="0"/>
              <w:jc w:val="center"/>
              <w:rPr>
                <w:color w:val="auto"/>
                <w:szCs w:val="21"/>
              </w:rPr>
            </w:pPr>
          </w:p>
        </w:tc>
        <w:tc>
          <w:tcPr>
            <w:tcW w:w="0" w:type="auto"/>
            <w:tcBorders>
              <w:tl2br w:val="nil"/>
              <w:tr2bl w:val="nil"/>
            </w:tcBorders>
            <w:vAlign w:val="center"/>
          </w:tcPr>
          <w:p w14:paraId="4F137849">
            <w:pPr>
              <w:adjustRightInd w:val="0"/>
              <w:jc w:val="center"/>
              <w:rPr>
                <w:color w:val="auto"/>
                <w:szCs w:val="21"/>
              </w:rPr>
            </w:pPr>
          </w:p>
        </w:tc>
        <w:tc>
          <w:tcPr>
            <w:tcW w:w="0" w:type="auto"/>
            <w:tcBorders>
              <w:tl2br w:val="nil"/>
              <w:tr2bl w:val="nil"/>
            </w:tcBorders>
            <w:vAlign w:val="center"/>
          </w:tcPr>
          <w:p w14:paraId="38FA62A9">
            <w:pPr>
              <w:adjustRightInd w:val="0"/>
              <w:jc w:val="center"/>
              <w:rPr>
                <w:color w:val="auto"/>
                <w:szCs w:val="21"/>
              </w:rPr>
            </w:pPr>
          </w:p>
        </w:tc>
        <w:tc>
          <w:tcPr>
            <w:tcW w:w="0" w:type="auto"/>
            <w:tcBorders>
              <w:tl2br w:val="nil"/>
              <w:tr2bl w:val="nil"/>
            </w:tcBorders>
            <w:vAlign w:val="center"/>
          </w:tcPr>
          <w:p w14:paraId="78A7B493">
            <w:pPr>
              <w:adjustRightInd w:val="0"/>
              <w:jc w:val="center"/>
              <w:rPr>
                <w:color w:val="auto"/>
                <w:szCs w:val="21"/>
              </w:rPr>
            </w:pPr>
          </w:p>
        </w:tc>
      </w:tr>
      <w:tr w14:paraId="79300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7EEE4848">
            <w:pPr>
              <w:adjustRightInd w:val="0"/>
              <w:jc w:val="left"/>
              <w:rPr>
                <w:color w:val="auto"/>
                <w:szCs w:val="21"/>
              </w:rPr>
            </w:pPr>
            <w:r>
              <w:rPr>
                <w:color w:val="auto"/>
                <w:szCs w:val="21"/>
              </w:rPr>
              <w:t xml:space="preserve">46 黑翅长脚鹬 </w:t>
            </w:r>
            <w:r>
              <w:rPr>
                <w:i/>
                <w:iCs/>
                <w:color w:val="auto"/>
                <w:szCs w:val="21"/>
              </w:rPr>
              <w:t>Himantopus himantopus</w:t>
            </w:r>
          </w:p>
        </w:tc>
        <w:tc>
          <w:tcPr>
            <w:tcW w:w="0" w:type="auto"/>
            <w:tcBorders>
              <w:tl2br w:val="nil"/>
              <w:tr2bl w:val="nil"/>
            </w:tcBorders>
            <w:vAlign w:val="center"/>
          </w:tcPr>
          <w:p w14:paraId="1657DD28">
            <w:pPr>
              <w:adjustRightInd w:val="0"/>
              <w:jc w:val="center"/>
              <w:rPr>
                <w:color w:val="auto"/>
                <w:szCs w:val="21"/>
              </w:rPr>
            </w:pPr>
            <w:r>
              <w:rPr>
                <w:color w:val="auto"/>
                <w:szCs w:val="21"/>
              </w:rPr>
              <w:t>P</w:t>
            </w:r>
          </w:p>
        </w:tc>
        <w:tc>
          <w:tcPr>
            <w:tcW w:w="0" w:type="auto"/>
            <w:tcBorders>
              <w:tl2br w:val="nil"/>
              <w:tr2bl w:val="nil"/>
            </w:tcBorders>
            <w:vAlign w:val="center"/>
          </w:tcPr>
          <w:p w14:paraId="43CC09B1">
            <w:pPr>
              <w:adjustRightInd w:val="0"/>
              <w:jc w:val="center"/>
              <w:rPr>
                <w:color w:val="auto"/>
                <w:szCs w:val="21"/>
              </w:rPr>
            </w:pPr>
            <w:r>
              <w:rPr>
                <w:color w:val="auto"/>
                <w:szCs w:val="21"/>
              </w:rPr>
              <w:t>C</w:t>
            </w:r>
          </w:p>
        </w:tc>
        <w:tc>
          <w:tcPr>
            <w:tcW w:w="0" w:type="auto"/>
            <w:tcBorders>
              <w:tl2br w:val="nil"/>
              <w:tr2bl w:val="nil"/>
            </w:tcBorders>
            <w:vAlign w:val="center"/>
          </w:tcPr>
          <w:p w14:paraId="059CB40E">
            <w:pPr>
              <w:adjustRightInd w:val="0"/>
              <w:jc w:val="center"/>
              <w:rPr>
                <w:color w:val="auto"/>
                <w:szCs w:val="21"/>
              </w:rPr>
            </w:pPr>
          </w:p>
        </w:tc>
        <w:tc>
          <w:tcPr>
            <w:tcW w:w="0" w:type="auto"/>
            <w:tcBorders>
              <w:tl2br w:val="nil"/>
              <w:tr2bl w:val="nil"/>
            </w:tcBorders>
            <w:vAlign w:val="center"/>
          </w:tcPr>
          <w:p w14:paraId="67B42E03">
            <w:pPr>
              <w:adjustRightInd w:val="0"/>
              <w:jc w:val="center"/>
              <w:rPr>
                <w:color w:val="auto"/>
                <w:szCs w:val="21"/>
              </w:rPr>
            </w:pPr>
            <w:r>
              <w:rPr>
                <w:color w:val="auto"/>
                <w:szCs w:val="21"/>
              </w:rPr>
              <w:t>三有；湘</w:t>
            </w:r>
          </w:p>
        </w:tc>
        <w:tc>
          <w:tcPr>
            <w:tcW w:w="0" w:type="auto"/>
            <w:tcBorders>
              <w:tl2br w:val="nil"/>
              <w:tr2bl w:val="nil"/>
            </w:tcBorders>
            <w:vAlign w:val="center"/>
          </w:tcPr>
          <w:p w14:paraId="06561A63">
            <w:pPr>
              <w:adjustRightInd w:val="0"/>
              <w:jc w:val="center"/>
              <w:rPr>
                <w:color w:val="auto"/>
                <w:szCs w:val="21"/>
              </w:rPr>
            </w:pPr>
            <w:r>
              <w:rPr>
                <w:color w:val="auto"/>
                <w:szCs w:val="21"/>
              </w:rPr>
              <w:t>LC</w:t>
            </w:r>
          </w:p>
        </w:tc>
        <w:tc>
          <w:tcPr>
            <w:tcW w:w="0" w:type="auto"/>
            <w:tcBorders>
              <w:tl2br w:val="nil"/>
              <w:tr2bl w:val="nil"/>
            </w:tcBorders>
            <w:vAlign w:val="center"/>
          </w:tcPr>
          <w:p w14:paraId="303EEDA8">
            <w:pPr>
              <w:adjustRightInd w:val="0"/>
              <w:jc w:val="center"/>
              <w:rPr>
                <w:color w:val="auto"/>
                <w:szCs w:val="21"/>
              </w:rPr>
            </w:pPr>
          </w:p>
        </w:tc>
      </w:tr>
      <w:tr w14:paraId="62DEF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29D49B7">
            <w:pPr>
              <w:adjustRightInd w:val="0"/>
              <w:jc w:val="left"/>
              <w:rPr>
                <w:color w:val="auto"/>
                <w:szCs w:val="21"/>
              </w:rPr>
            </w:pPr>
            <w:r>
              <w:rPr>
                <w:color w:val="auto"/>
                <w:szCs w:val="21"/>
              </w:rPr>
              <w:t xml:space="preserve">47 反嘴鹬 </w:t>
            </w:r>
            <w:r>
              <w:rPr>
                <w:i/>
                <w:iCs/>
                <w:color w:val="auto"/>
                <w:szCs w:val="21"/>
              </w:rPr>
              <w:t>Recurvirostra avosetta</w:t>
            </w:r>
          </w:p>
        </w:tc>
        <w:tc>
          <w:tcPr>
            <w:tcW w:w="0" w:type="auto"/>
            <w:tcBorders>
              <w:tl2br w:val="nil"/>
              <w:tr2bl w:val="nil"/>
            </w:tcBorders>
            <w:vAlign w:val="center"/>
          </w:tcPr>
          <w:p w14:paraId="2721C793">
            <w:pPr>
              <w:adjustRightInd w:val="0"/>
              <w:jc w:val="center"/>
              <w:rPr>
                <w:color w:val="auto"/>
                <w:szCs w:val="21"/>
              </w:rPr>
            </w:pPr>
            <w:r>
              <w:rPr>
                <w:color w:val="auto"/>
                <w:szCs w:val="21"/>
              </w:rPr>
              <w:t>P</w:t>
            </w:r>
          </w:p>
        </w:tc>
        <w:tc>
          <w:tcPr>
            <w:tcW w:w="0" w:type="auto"/>
            <w:tcBorders>
              <w:tl2br w:val="nil"/>
              <w:tr2bl w:val="nil"/>
            </w:tcBorders>
            <w:vAlign w:val="center"/>
          </w:tcPr>
          <w:p w14:paraId="55F220ED">
            <w:pPr>
              <w:adjustRightInd w:val="0"/>
              <w:jc w:val="center"/>
              <w:rPr>
                <w:color w:val="auto"/>
                <w:szCs w:val="21"/>
              </w:rPr>
            </w:pPr>
            <w:r>
              <w:rPr>
                <w:color w:val="auto"/>
                <w:szCs w:val="21"/>
              </w:rPr>
              <w:t>C</w:t>
            </w:r>
          </w:p>
        </w:tc>
        <w:tc>
          <w:tcPr>
            <w:tcW w:w="0" w:type="auto"/>
            <w:tcBorders>
              <w:tl2br w:val="nil"/>
              <w:tr2bl w:val="nil"/>
            </w:tcBorders>
            <w:vAlign w:val="center"/>
          </w:tcPr>
          <w:p w14:paraId="44E60BB9">
            <w:pPr>
              <w:adjustRightInd w:val="0"/>
              <w:jc w:val="center"/>
              <w:rPr>
                <w:color w:val="auto"/>
                <w:szCs w:val="21"/>
              </w:rPr>
            </w:pPr>
          </w:p>
        </w:tc>
        <w:tc>
          <w:tcPr>
            <w:tcW w:w="0" w:type="auto"/>
            <w:tcBorders>
              <w:tl2br w:val="nil"/>
              <w:tr2bl w:val="nil"/>
            </w:tcBorders>
            <w:vAlign w:val="center"/>
          </w:tcPr>
          <w:p w14:paraId="485C9A10">
            <w:pPr>
              <w:adjustRightInd w:val="0"/>
              <w:jc w:val="center"/>
              <w:rPr>
                <w:color w:val="auto"/>
                <w:szCs w:val="21"/>
              </w:rPr>
            </w:pPr>
            <w:r>
              <w:rPr>
                <w:color w:val="auto"/>
                <w:szCs w:val="21"/>
              </w:rPr>
              <w:t>三有</w:t>
            </w:r>
          </w:p>
        </w:tc>
        <w:tc>
          <w:tcPr>
            <w:tcW w:w="0" w:type="auto"/>
            <w:tcBorders>
              <w:tl2br w:val="nil"/>
              <w:tr2bl w:val="nil"/>
            </w:tcBorders>
            <w:vAlign w:val="center"/>
          </w:tcPr>
          <w:p w14:paraId="238F3A32">
            <w:pPr>
              <w:adjustRightInd w:val="0"/>
              <w:jc w:val="center"/>
              <w:rPr>
                <w:color w:val="auto"/>
                <w:szCs w:val="21"/>
              </w:rPr>
            </w:pPr>
            <w:r>
              <w:rPr>
                <w:color w:val="auto"/>
                <w:szCs w:val="21"/>
              </w:rPr>
              <w:t>LC</w:t>
            </w:r>
          </w:p>
        </w:tc>
        <w:tc>
          <w:tcPr>
            <w:tcW w:w="0" w:type="auto"/>
            <w:tcBorders>
              <w:tl2br w:val="nil"/>
              <w:tr2bl w:val="nil"/>
            </w:tcBorders>
            <w:vAlign w:val="center"/>
          </w:tcPr>
          <w:p w14:paraId="48B85699">
            <w:pPr>
              <w:adjustRightInd w:val="0"/>
              <w:jc w:val="center"/>
              <w:rPr>
                <w:color w:val="auto"/>
                <w:szCs w:val="21"/>
              </w:rPr>
            </w:pPr>
          </w:p>
        </w:tc>
      </w:tr>
      <w:tr w14:paraId="2F88A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F6462FB">
            <w:pPr>
              <w:adjustRightInd w:val="0"/>
              <w:jc w:val="left"/>
              <w:rPr>
                <w:color w:val="auto"/>
                <w:szCs w:val="21"/>
              </w:rPr>
            </w:pPr>
            <w:r>
              <w:rPr>
                <w:b/>
                <w:bCs/>
                <w:color w:val="auto"/>
                <w:szCs w:val="21"/>
              </w:rPr>
              <w:t>（十）鸥科 Laridae</w:t>
            </w:r>
          </w:p>
        </w:tc>
        <w:tc>
          <w:tcPr>
            <w:tcW w:w="0" w:type="auto"/>
            <w:tcBorders>
              <w:tl2br w:val="nil"/>
              <w:tr2bl w:val="nil"/>
            </w:tcBorders>
            <w:vAlign w:val="center"/>
          </w:tcPr>
          <w:p w14:paraId="6935F11A">
            <w:pPr>
              <w:adjustRightInd w:val="0"/>
              <w:jc w:val="center"/>
              <w:rPr>
                <w:color w:val="auto"/>
                <w:szCs w:val="21"/>
              </w:rPr>
            </w:pPr>
          </w:p>
        </w:tc>
        <w:tc>
          <w:tcPr>
            <w:tcW w:w="0" w:type="auto"/>
            <w:tcBorders>
              <w:tl2br w:val="nil"/>
              <w:tr2bl w:val="nil"/>
            </w:tcBorders>
            <w:vAlign w:val="center"/>
          </w:tcPr>
          <w:p w14:paraId="556F5BF2">
            <w:pPr>
              <w:adjustRightInd w:val="0"/>
              <w:jc w:val="center"/>
              <w:rPr>
                <w:color w:val="auto"/>
                <w:szCs w:val="21"/>
              </w:rPr>
            </w:pPr>
          </w:p>
        </w:tc>
        <w:tc>
          <w:tcPr>
            <w:tcW w:w="0" w:type="auto"/>
            <w:tcBorders>
              <w:tl2br w:val="nil"/>
              <w:tr2bl w:val="nil"/>
            </w:tcBorders>
            <w:vAlign w:val="center"/>
          </w:tcPr>
          <w:p w14:paraId="2C27232A">
            <w:pPr>
              <w:adjustRightInd w:val="0"/>
              <w:jc w:val="center"/>
              <w:rPr>
                <w:color w:val="auto"/>
                <w:szCs w:val="21"/>
              </w:rPr>
            </w:pPr>
          </w:p>
        </w:tc>
        <w:tc>
          <w:tcPr>
            <w:tcW w:w="0" w:type="auto"/>
            <w:tcBorders>
              <w:tl2br w:val="nil"/>
              <w:tr2bl w:val="nil"/>
            </w:tcBorders>
            <w:vAlign w:val="center"/>
          </w:tcPr>
          <w:p w14:paraId="747CCA56">
            <w:pPr>
              <w:adjustRightInd w:val="0"/>
              <w:jc w:val="center"/>
              <w:rPr>
                <w:color w:val="auto"/>
                <w:szCs w:val="21"/>
              </w:rPr>
            </w:pPr>
          </w:p>
        </w:tc>
        <w:tc>
          <w:tcPr>
            <w:tcW w:w="0" w:type="auto"/>
            <w:tcBorders>
              <w:tl2br w:val="nil"/>
              <w:tr2bl w:val="nil"/>
            </w:tcBorders>
            <w:vAlign w:val="center"/>
          </w:tcPr>
          <w:p w14:paraId="726B3B67">
            <w:pPr>
              <w:adjustRightInd w:val="0"/>
              <w:jc w:val="center"/>
              <w:rPr>
                <w:color w:val="auto"/>
                <w:szCs w:val="21"/>
              </w:rPr>
            </w:pPr>
          </w:p>
        </w:tc>
        <w:tc>
          <w:tcPr>
            <w:tcW w:w="0" w:type="auto"/>
            <w:tcBorders>
              <w:tl2br w:val="nil"/>
              <w:tr2bl w:val="nil"/>
            </w:tcBorders>
            <w:vAlign w:val="center"/>
          </w:tcPr>
          <w:p w14:paraId="16D2C97E">
            <w:pPr>
              <w:adjustRightInd w:val="0"/>
              <w:jc w:val="center"/>
              <w:rPr>
                <w:color w:val="auto"/>
                <w:szCs w:val="21"/>
              </w:rPr>
            </w:pPr>
          </w:p>
        </w:tc>
      </w:tr>
      <w:tr w14:paraId="0E961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9D3F56B">
            <w:pPr>
              <w:adjustRightInd w:val="0"/>
              <w:jc w:val="left"/>
              <w:rPr>
                <w:color w:val="auto"/>
                <w:szCs w:val="21"/>
              </w:rPr>
            </w:pPr>
            <w:r>
              <w:rPr>
                <w:color w:val="auto"/>
                <w:szCs w:val="21"/>
              </w:rPr>
              <w:t xml:space="preserve">48 红嘴鸥 </w:t>
            </w:r>
            <w:r>
              <w:rPr>
                <w:i/>
                <w:iCs/>
                <w:color w:val="auto"/>
                <w:szCs w:val="21"/>
              </w:rPr>
              <w:t>Chroicocephalus ridibundus</w:t>
            </w:r>
          </w:p>
        </w:tc>
        <w:tc>
          <w:tcPr>
            <w:tcW w:w="0" w:type="auto"/>
            <w:tcBorders>
              <w:tl2br w:val="nil"/>
              <w:tr2bl w:val="nil"/>
            </w:tcBorders>
            <w:vAlign w:val="center"/>
          </w:tcPr>
          <w:p w14:paraId="437ADD6B">
            <w:pPr>
              <w:adjustRightInd w:val="0"/>
              <w:jc w:val="center"/>
              <w:rPr>
                <w:color w:val="auto"/>
                <w:szCs w:val="21"/>
              </w:rPr>
            </w:pPr>
            <w:r>
              <w:rPr>
                <w:color w:val="auto"/>
                <w:szCs w:val="21"/>
              </w:rPr>
              <w:t>W</w:t>
            </w:r>
          </w:p>
        </w:tc>
        <w:tc>
          <w:tcPr>
            <w:tcW w:w="0" w:type="auto"/>
            <w:tcBorders>
              <w:tl2br w:val="nil"/>
              <w:tr2bl w:val="nil"/>
            </w:tcBorders>
            <w:vAlign w:val="center"/>
          </w:tcPr>
          <w:p w14:paraId="5B8D19A7">
            <w:pPr>
              <w:adjustRightInd w:val="0"/>
              <w:jc w:val="center"/>
              <w:rPr>
                <w:color w:val="auto"/>
                <w:szCs w:val="21"/>
              </w:rPr>
            </w:pPr>
            <w:r>
              <w:rPr>
                <w:color w:val="auto"/>
                <w:szCs w:val="21"/>
              </w:rPr>
              <w:t>C</w:t>
            </w:r>
          </w:p>
        </w:tc>
        <w:tc>
          <w:tcPr>
            <w:tcW w:w="0" w:type="auto"/>
            <w:tcBorders>
              <w:tl2br w:val="nil"/>
              <w:tr2bl w:val="nil"/>
            </w:tcBorders>
            <w:vAlign w:val="center"/>
          </w:tcPr>
          <w:p w14:paraId="4F1DF5F5">
            <w:pPr>
              <w:adjustRightInd w:val="0"/>
              <w:jc w:val="center"/>
              <w:rPr>
                <w:color w:val="auto"/>
                <w:szCs w:val="21"/>
              </w:rPr>
            </w:pPr>
          </w:p>
        </w:tc>
        <w:tc>
          <w:tcPr>
            <w:tcW w:w="0" w:type="auto"/>
            <w:tcBorders>
              <w:tl2br w:val="nil"/>
              <w:tr2bl w:val="nil"/>
            </w:tcBorders>
            <w:vAlign w:val="center"/>
          </w:tcPr>
          <w:p w14:paraId="4B718D1F">
            <w:pPr>
              <w:adjustRightInd w:val="0"/>
              <w:jc w:val="center"/>
              <w:rPr>
                <w:color w:val="auto"/>
                <w:szCs w:val="21"/>
              </w:rPr>
            </w:pPr>
            <w:r>
              <w:rPr>
                <w:color w:val="auto"/>
                <w:szCs w:val="21"/>
              </w:rPr>
              <w:t>三有；湘</w:t>
            </w:r>
          </w:p>
        </w:tc>
        <w:tc>
          <w:tcPr>
            <w:tcW w:w="0" w:type="auto"/>
            <w:tcBorders>
              <w:tl2br w:val="nil"/>
              <w:tr2bl w:val="nil"/>
            </w:tcBorders>
            <w:vAlign w:val="center"/>
          </w:tcPr>
          <w:p w14:paraId="5E3FC549">
            <w:pPr>
              <w:adjustRightInd w:val="0"/>
              <w:jc w:val="center"/>
              <w:rPr>
                <w:color w:val="auto"/>
                <w:szCs w:val="21"/>
              </w:rPr>
            </w:pPr>
            <w:r>
              <w:rPr>
                <w:color w:val="auto"/>
                <w:szCs w:val="21"/>
              </w:rPr>
              <w:t>LC</w:t>
            </w:r>
          </w:p>
        </w:tc>
        <w:tc>
          <w:tcPr>
            <w:tcW w:w="0" w:type="auto"/>
            <w:tcBorders>
              <w:tl2br w:val="nil"/>
              <w:tr2bl w:val="nil"/>
            </w:tcBorders>
            <w:vAlign w:val="center"/>
          </w:tcPr>
          <w:p w14:paraId="4F80785B">
            <w:pPr>
              <w:adjustRightInd w:val="0"/>
              <w:jc w:val="center"/>
              <w:rPr>
                <w:color w:val="auto"/>
                <w:szCs w:val="21"/>
              </w:rPr>
            </w:pPr>
          </w:p>
        </w:tc>
      </w:tr>
      <w:tr w14:paraId="5C8FF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F2547CC">
            <w:pPr>
              <w:adjustRightInd w:val="0"/>
              <w:jc w:val="left"/>
              <w:rPr>
                <w:color w:val="auto"/>
                <w:szCs w:val="21"/>
              </w:rPr>
            </w:pPr>
            <w:r>
              <w:rPr>
                <w:color w:val="auto"/>
                <w:szCs w:val="21"/>
              </w:rPr>
              <w:t xml:space="preserve">49 灰翅浮鸥 </w:t>
            </w:r>
            <w:r>
              <w:rPr>
                <w:i/>
                <w:iCs/>
                <w:color w:val="auto"/>
                <w:szCs w:val="21"/>
              </w:rPr>
              <w:t>Chlidonias hybrida</w:t>
            </w:r>
          </w:p>
        </w:tc>
        <w:tc>
          <w:tcPr>
            <w:tcW w:w="0" w:type="auto"/>
            <w:tcBorders>
              <w:tl2br w:val="nil"/>
              <w:tr2bl w:val="nil"/>
            </w:tcBorders>
            <w:vAlign w:val="center"/>
          </w:tcPr>
          <w:p w14:paraId="444022DE">
            <w:pPr>
              <w:adjustRightInd w:val="0"/>
              <w:jc w:val="center"/>
              <w:rPr>
                <w:color w:val="auto"/>
                <w:szCs w:val="21"/>
              </w:rPr>
            </w:pPr>
            <w:r>
              <w:rPr>
                <w:color w:val="auto"/>
                <w:szCs w:val="21"/>
              </w:rPr>
              <w:t>P</w:t>
            </w:r>
          </w:p>
        </w:tc>
        <w:tc>
          <w:tcPr>
            <w:tcW w:w="0" w:type="auto"/>
            <w:tcBorders>
              <w:tl2br w:val="nil"/>
              <w:tr2bl w:val="nil"/>
            </w:tcBorders>
            <w:vAlign w:val="center"/>
          </w:tcPr>
          <w:p w14:paraId="6B867C9B">
            <w:pPr>
              <w:adjustRightInd w:val="0"/>
              <w:jc w:val="center"/>
              <w:rPr>
                <w:color w:val="auto"/>
                <w:szCs w:val="21"/>
              </w:rPr>
            </w:pPr>
            <w:r>
              <w:rPr>
                <w:color w:val="auto"/>
                <w:szCs w:val="21"/>
              </w:rPr>
              <w:t>C</w:t>
            </w:r>
          </w:p>
        </w:tc>
        <w:tc>
          <w:tcPr>
            <w:tcW w:w="0" w:type="auto"/>
            <w:tcBorders>
              <w:tl2br w:val="nil"/>
              <w:tr2bl w:val="nil"/>
            </w:tcBorders>
            <w:vAlign w:val="center"/>
          </w:tcPr>
          <w:p w14:paraId="21673DF9">
            <w:pPr>
              <w:adjustRightInd w:val="0"/>
              <w:jc w:val="center"/>
              <w:rPr>
                <w:color w:val="auto"/>
                <w:szCs w:val="21"/>
              </w:rPr>
            </w:pPr>
          </w:p>
        </w:tc>
        <w:tc>
          <w:tcPr>
            <w:tcW w:w="0" w:type="auto"/>
            <w:tcBorders>
              <w:tl2br w:val="nil"/>
              <w:tr2bl w:val="nil"/>
            </w:tcBorders>
            <w:vAlign w:val="center"/>
          </w:tcPr>
          <w:p w14:paraId="10C13015">
            <w:pPr>
              <w:adjustRightInd w:val="0"/>
              <w:jc w:val="center"/>
              <w:rPr>
                <w:color w:val="auto"/>
                <w:szCs w:val="21"/>
              </w:rPr>
            </w:pPr>
            <w:r>
              <w:rPr>
                <w:color w:val="auto"/>
                <w:szCs w:val="21"/>
              </w:rPr>
              <w:t>三有</w:t>
            </w:r>
          </w:p>
        </w:tc>
        <w:tc>
          <w:tcPr>
            <w:tcW w:w="0" w:type="auto"/>
            <w:tcBorders>
              <w:tl2br w:val="nil"/>
              <w:tr2bl w:val="nil"/>
            </w:tcBorders>
            <w:vAlign w:val="center"/>
          </w:tcPr>
          <w:p w14:paraId="5E5E5910">
            <w:pPr>
              <w:adjustRightInd w:val="0"/>
              <w:jc w:val="center"/>
              <w:rPr>
                <w:color w:val="auto"/>
                <w:szCs w:val="21"/>
              </w:rPr>
            </w:pPr>
            <w:r>
              <w:rPr>
                <w:color w:val="auto"/>
                <w:szCs w:val="21"/>
              </w:rPr>
              <w:t>LC</w:t>
            </w:r>
          </w:p>
        </w:tc>
        <w:tc>
          <w:tcPr>
            <w:tcW w:w="0" w:type="auto"/>
            <w:tcBorders>
              <w:tl2br w:val="nil"/>
              <w:tr2bl w:val="nil"/>
            </w:tcBorders>
            <w:vAlign w:val="center"/>
          </w:tcPr>
          <w:p w14:paraId="648BA6EF">
            <w:pPr>
              <w:adjustRightInd w:val="0"/>
              <w:jc w:val="center"/>
              <w:rPr>
                <w:color w:val="auto"/>
                <w:szCs w:val="21"/>
              </w:rPr>
            </w:pPr>
          </w:p>
        </w:tc>
      </w:tr>
      <w:tr w14:paraId="6374F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AE17C52">
            <w:pPr>
              <w:adjustRightInd w:val="0"/>
              <w:jc w:val="left"/>
              <w:rPr>
                <w:color w:val="auto"/>
                <w:szCs w:val="21"/>
              </w:rPr>
            </w:pPr>
            <w:r>
              <w:rPr>
                <w:color w:val="auto"/>
                <w:szCs w:val="21"/>
              </w:rPr>
              <w:t xml:space="preserve">50 西伯利亚银鸥 </w:t>
            </w:r>
            <w:r>
              <w:rPr>
                <w:i/>
                <w:iCs/>
                <w:color w:val="auto"/>
                <w:szCs w:val="21"/>
              </w:rPr>
              <w:t>Larus smithsonianus</w:t>
            </w:r>
          </w:p>
        </w:tc>
        <w:tc>
          <w:tcPr>
            <w:tcW w:w="0" w:type="auto"/>
            <w:tcBorders>
              <w:tl2br w:val="nil"/>
              <w:tr2bl w:val="nil"/>
            </w:tcBorders>
            <w:vAlign w:val="center"/>
          </w:tcPr>
          <w:p w14:paraId="576B0C56">
            <w:pPr>
              <w:adjustRightInd w:val="0"/>
              <w:jc w:val="center"/>
              <w:rPr>
                <w:color w:val="auto"/>
                <w:szCs w:val="21"/>
              </w:rPr>
            </w:pPr>
            <w:r>
              <w:rPr>
                <w:color w:val="auto"/>
                <w:szCs w:val="21"/>
              </w:rPr>
              <w:t>W</w:t>
            </w:r>
          </w:p>
        </w:tc>
        <w:tc>
          <w:tcPr>
            <w:tcW w:w="0" w:type="auto"/>
            <w:tcBorders>
              <w:tl2br w:val="nil"/>
              <w:tr2bl w:val="nil"/>
            </w:tcBorders>
            <w:vAlign w:val="center"/>
          </w:tcPr>
          <w:p w14:paraId="40C52213">
            <w:pPr>
              <w:adjustRightInd w:val="0"/>
              <w:jc w:val="center"/>
              <w:rPr>
                <w:color w:val="auto"/>
                <w:szCs w:val="21"/>
              </w:rPr>
            </w:pPr>
            <w:r>
              <w:rPr>
                <w:color w:val="auto"/>
                <w:szCs w:val="21"/>
              </w:rPr>
              <w:t>C</w:t>
            </w:r>
          </w:p>
        </w:tc>
        <w:tc>
          <w:tcPr>
            <w:tcW w:w="0" w:type="auto"/>
            <w:tcBorders>
              <w:tl2br w:val="nil"/>
              <w:tr2bl w:val="nil"/>
            </w:tcBorders>
            <w:vAlign w:val="center"/>
          </w:tcPr>
          <w:p w14:paraId="65B8FCC8">
            <w:pPr>
              <w:adjustRightInd w:val="0"/>
              <w:jc w:val="center"/>
              <w:rPr>
                <w:color w:val="auto"/>
                <w:szCs w:val="21"/>
              </w:rPr>
            </w:pPr>
          </w:p>
        </w:tc>
        <w:tc>
          <w:tcPr>
            <w:tcW w:w="0" w:type="auto"/>
            <w:tcBorders>
              <w:tl2br w:val="nil"/>
              <w:tr2bl w:val="nil"/>
            </w:tcBorders>
            <w:vAlign w:val="center"/>
          </w:tcPr>
          <w:p w14:paraId="04C6623F">
            <w:pPr>
              <w:adjustRightInd w:val="0"/>
              <w:jc w:val="center"/>
              <w:rPr>
                <w:color w:val="auto"/>
                <w:szCs w:val="21"/>
              </w:rPr>
            </w:pPr>
            <w:r>
              <w:rPr>
                <w:color w:val="auto"/>
                <w:szCs w:val="21"/>
              </w:rPr>
              <w:t>三有；湘</w:t>
            </w:r>
          </w:p>
        </w:tc>
        <w:tc>
          <w:tcPr>
            <w:tcW w:w="0" w:type="auto"/>
            <w:tcBorders>
              <w:tl2br w:val="nil"/>
              <w:tr2bl w:val="nil"/>
            </w:tcBorders>
            <w:vAlign w:val="center"/>
          </w:tcPr>
          <w:p w14:paraId="49B3B958">
            <w:pPr>
              <w:adjustRightInd w:val="0"/>
              <w:jc w:val="center"/>
              <w:rPr>
                <w:color w:val="auto"/>
                <w:szCs w:val="21"/>
              </w:rPr>
            </w:pPr>
            <w:r>
              <w:rPr>
                <w:color w:val="auto"/>
                <w:szCs w:val="21"/>
              </w:rPr>
              <w:t>LC</w:t>
            </w:r>
          </w:p>
        </w:tc>
        <w:tc>
          <w:tcPr>
            <w:tcW w:w="0" w:type="auto"/>
            <w:tcBorders>
              <w:tl2br w:val="nil"/>
              <w:tr2bl w:val="nil"/>
            </w:tcBorders>
            <w:vAlign w:val="center"/>
          </w:tcPr>
          <w:p w14:paraId="0EDA3020">
            <w:pPr>
              <w:adjustRightInd w:val="0"/>
              <w:jc w:val="center"/>
              <w:rPr>
                <w:color w:val="auto"/>
                <w:szCs w:val="21"/>
              </w:rPr>
            </w:pPr>
          </w:p>
        </w:tc>
      </w:tr>
      <w:tr w14:paraId="74D65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9169DD5">
            <w:pPr>
              <w:adjustRightInd w:val="0"/>
              <w:jc w:val="left"/>
              <w:rPr>
                <w:b/>
                <w:bCs/>
                <w:color w:val="auto"/>
                <w:szCs w:val="21"/>
              </w:rPr>
            </w:pPr>
            <w:r>
              <w:rPr>
                <w:b/>
                <w:bCs/>
                <w:color w:val="auto"/>
                <w:szCs w:val="21"/>
              </w:rPr>
              <w:t>Ⅵ 鸡形目 GALIFORMES</w:t>
            </w:r>
          </w:p>
        </w:tc>
        <w:tc>
          <w:tcPr>
            <w:tcW w:w="0" w:type="auto"/>
            <w:tcBorders>
              <w:tl2br w:val="nil"/>
              <w:tr2bl w:val="nil"/>
            </w:tcBorders>
            <w:vAlign w:val="center"/>
          </w:tcPr>
          <w:p w14:paraId="13B1C5E7">
            <w:pPr>
              <w:adjustRightInd w:val="0"/>
              <w:jc w:val="center"/>
              <w:rPr>
                <w:color w:val="auto"/>
                <w:szCs w:val="21"/>
              </w:rPr>
            </w:pPr>
          </w:p>
        </w:tc>
        <w:tc>
          <w:tcPr>
            <w:tcW w:w="0" w:type="auto"/>
            <w:tcBorders>
              <w:tl2br w:val="nil"/>
              <w:tr2bl w:val="nil"/>
            </w:tcBorders>
            <w:vAlign w:val="center"/>
          </w:tcPr>
          <w:p w14:paraId="2601FA5F">
            <w:pPr>
              <w:adjustRightInd w:val="0"/>
              <w:jc w:val="center"/>
              <w:rPr>
                <w:color w:val="auto"/>
                <w:szCs w:val="21"/>
              </w:rPr>
            </w:pPr>
          </w:p>
        </w:tc>
        <w:tc>
          <w:tcPr>
            <w:tcW w:w="0" w:type="auto"/>
            <w:tcBorders>
              <w:tl2br w:val="nil"/>
              <w:tr2bl w:val="nil"/>
            </w:tcBorders>
            <w:vAlign w:val="center"/>
          </w:tcPr>
          <w:p w14:paraId="34EEE4FB">
            <w:pPr>
              <w:adjustRightInd w:val="0"/>
              <w:jc w:val="center"/>
              <w:rPr>
                <w:color w:val="auto"/>
                <w:szCs w:val="21"/>
              </w:rPr>
            </w:pPr>
          </w:p>
        </w:tc>
        <w:tc>
          <w:tcPr>
            <w:tcW w:w="0" w:type="auto"/>
            <w:tcBorders>
              <w:tl2br w:val="nil"/>
              <w:tr2bl w:val="nil"/>
            </w:tcBorders>
            <w:vAlign w:val="center"/>
          </w:tcPr>
          <w:p w14:paraId="4BD33C30">
            <w:pPr>
              <w:adjustRightInd w:val="0"/>
              <w:jc w:val="center"/>
              <w:rPr>
                <w:color w:val="auto"/>
                <w:szCs w:val="21"/>
              </w:rPr>
            </w:pPr>
          </w:p>
        </w:tc>
        <w:tc>
          <w:tcPr>
            <w:tcW w:w="0" w:type="auto"/>
            <w:tcBorders>
              <w:tl2br w:val="nil"/>
              <w:tr2bl w:val="nil"/>
            </w:tcBorders>
            <w:vAlign w:val="center"/>
          </w:tcPr>
          <w:p w14:paraId="01B8D076">
            <w:pPr>
              <w:adjustRightInd w:val="0"/>
              <w:jc w:val="center"/>
              <w:rPr>
                <w:color w:val="auto"/>
                <w:szCs w:val="21"/>
              </w:rPr>
            </w:pPr>
          </w:p>
        </w:tc>
        <w:tc>
          <w:tcPr>
            <w:tcW w:w="0" w:type="auto"/>
            <w:tcBorders>
              <w:tl2br w:val="nil"/>
              <w:tr2bl w:val="nil"/>
            </w:tcBorders>
            <w:vAlign w:val="center"/>
          </w:tcPr>
          <w:p w14:paraId="2A21FC3C">
            <w:pPr>
              <w:adjustRightInd w:val="0"/>
              <w:jc w:val="center"/>
              <w:rPr>
                <w:color w:val="auto"/>
                <w:szCs w:val="21"/>
              </w:rPr>
            </w:pPr>
          </w:p>
        </w:tc>
      </w:tr>
      <w:tr w14:paraId="2D7FB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5E5D7C89">
            <w:pPr>
              <w:adjustRightInd w:val="0"/>
              <w:jc w:val="left"/>
              <w:rPr>
                <w:b/>
                <w:bCs/>
                <w:color w:val="auto"/>
                <w:szCs w:val="21"/>
              </w:rPr>
            </w:pPr>
            <w:r>
              <w:rPr>
                <w:b/>
                <w:bCs/>
                <w:color w:val="auto"/>
                <w:szCs w:val="21"/>
              </w:rPr>
              <w:t>（十一）雉科 Phasianidae</w:t>
            </w:r>
          </w:p>
        </w:tc>
        <w:tc>
          <w:tcPr>
            <w:tcW w:w="0" w:type="auto"/>
            <w:tcBorders>
              <w:tl2br w:val="nil"/>
              <w:tr2bl w:val="nil"/>
            </w:tcBorders>
            <w:vAlign w:val="center"/>
          </w:tcPr>
          <w:p w14:paraId="437F8A62">
            <w:pPr>
              <w:adjustRightInd w:val="0"/>
              <w:jc w:val="center"/>
              <w:rPr>
                <w:color w:val="auto"/>
                <w:szCs w:val="21"/>
              </w:rPr>
            </w:pPr>
          </w:p>
        </w:tc>
        <w:tc>
          <w:tcPr>
            <w:tcW w:w="0" w:type="auto"/>
            <w:tcBorders>
              <w:tl2br w:val="nil"/>
              <w:tr2bl w:val="nil"/>
            </w:tcBorders>
            <w:vAlign w:val="center"/>
          </w:tcPr>
          <w:p w14:paraId="0EEC99B0">
            <w:pPr>
              <w:adjustRightInd w:val="0"/>
              <w:jc w:val="center"/>
              <w:rPr>
                <w:color w:val="auto"/>
                <w:szCs w:val="21"/>
              </w:rPr>
            </w:pPr>
          </w:p>
        </w:tc>
        <w:tc>
          <w:tcPr>
            <w:tcW w:w="0" w:type="auto"/>
            <w:tcBorders>
              <w:tl2br w:val="nil"/>
              <w:tr2bl w:val="nil"/>
            </w:tcBorders>
            <w:vAlign w:val="center"/>
          </w:tcPr>
          <w:p w14:paraId="25D09E60">
            <w:pPr>
              <w:adjustRightInd w:val="0"/>
              <w:jc w:val="center"/>
              <w:rPr>
                <w:color w:val="auto"/>
                <w:szCs w:val="21"/>
              </w:rPr>
            </w:pPr>
          </w:p>
        </w:tc>
        <w:tc>
          <w:tcPr>
            <w:tcW w:w="0" w:type="auto"/>
            <w:tcBorders>
              <w:tl2br w:val="nil"/>
              <w:tr2bl w:val="nil"/>
            </w:tcBorders>
            <w:vAlign w:val="center"/>
          </w:tcPr>
          <w:p w14:paraId="4F588D82">
            <w:pPr>
              <w:adjustRightInd w:val="0"/>
              <w:jc w:val="center"/>
              <w:rPr>
                <w:color w:val="auto"/>
                <w:szCs w:val="21"/>
              </w:rPr>
            </w:pPr>
          </w:p>
        </w:tc>
        <w:tc>
          <w:tcPr>
            <w:tcW w:w="0" w:type="auto"/>
            <w:tcBorders>
              <w:tl2br w:val="nil"/>
              <w:tr2bl w:val="nil"/>
            </w:tcBorders>
            <w:vAlign w:val="center"/>
          </w:tcPr>
          <w:p w14:paraId="13399CC1">
            <w:pPr>
              <w:adjustRightInd w:val="0"/>
              <w:jc w:val="center"/>
              <w:rPr>
                <w:color w:val="auto"/>
                <w:szCs w:val="21"/>
              </w:rPr>
            </w:pPr>
          </w:p>
        </w:tc>
        <w:tc>
          <w:tcPr>
            <w:tcW w:w="0" w:type="auto"/>
            <w:tcBorders>
              <w:tl2br w:val="nil"/>
              <w:tr2bl w:val="nil"/>
            </w:tcBorders>
            <w:vAlign w:val="center"/>
          </w:tcPr>
          <w:p w14:paraId="243F5A80">
            <w:pPr>
              <w:adjustRightInd w:val="0"/>
              <w:jc w:val="center"/>
              <w:rPr>
                <w:color w:val="auto"/>
                <w:szCs w:val="21"/>
              </w:rPr>
            </w:pPr>
          </w:p>
        </w:tc>
      </w:tr>
      <w:tr w14:paraId="72C28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7BAB1AD">
            <w:pPr>
              <w:adjustRightInd w:val="0"/>
              <w:jc w:val="left"/>
              <w:rPr>
                <w:color w:val="auto"/>
                <w:szCs w:val="21"/>
              </w:rPr>
            </w:pPr>
            <w:r>
              <w:rPr>
                <w:color w:val="auto"/>
                <w:szCs w:val="21"/>
              </w:rPr>
              <w:t>51 灰胸竹鸡</w:t>
            </w:r>
            <w:r>
              <w:rPr>
                <w:i/>
                <w:iCs/>
                <w:color w:val="auto"/>
                <w:szCs w:val="21"/>
              </w:rPr>
              <w:t xml:space="preserve"> Bambusicola thoracicus*</w:t>
            </w:r>
          </w:p>
        </w:tc>
        <w:tc>
          <w:tcPr>
            <w:tcW w:w="0" w:type="auto"/>
            <w:tcBorders>
              <w:tl2br w:val="nil"/>
              <w:tr2bl w:val="nil"/>
            </w:tcBorders>
            <w:vAlign w:val="center"/>
          </w:tcPr>
          <w:p w14:paraId="703F05E6">
            <w:pPr>
              <w:adjustRightInd w:val="0"/>
              <w:jc w:val="center"/>
              <w:rPr>
                <w:color w:val="auto"/>
                <w:szCs w:val="21"/>
              </w:rPr>
            </w:pPr>
            <w:r>
              <w:rPr>
                <w:color w:val="auto"/>
                <w:szCs w:val="21"/>
              </w:rPr>
              <w:t>R</w:t>
            </w:r>
          </w:p>
        </w:tc>
        <w:tc>
          <w:tcPr>
            <w:tcW w:w="0" w:type="auto"/>
            <w:tcBorders>
              <w:tl2br w:val="nil"/>
              <w:tr2bl w:val="nil"/>
            </w:tcBorders>
            <w:vAlign w:val="center"/>
          </w:tcPr>
          <w:p w14:paraId="3CD23068">
            <w:pPr>
              <w:adjustRightInd w:val="0"/>
              <w:jc w:val="center"/>
              <w:rPr>
                <w:color w:val="auto"/>
                <w:szCs w:val="21"/>
              </w:rPr>
            </w:pPr>
            <w:r>
              <w:rPr>
                <w:color w:val="auto"/>
                <w:szCs w:val="21"/>
              </w:rPr>
              <w:t>O</w:t>
            </w:r>
          </w:p>
        </w:tc>
        <w:tc>
          <w:tcPr>
            <w:tcW w:w="0" w:type="auto"/>
            <w:tcBorders>
              <w:tl2br w:val="nil"/>
              <w:tr2bl w:val="nil"/>
            </w:tcBorders>
            <w:vAlign w:val="center"/>
          </w:tcPr>
          <w:p w14:paraId="6697D654">
            <w:pPr>
              <w:adjustRightInd w:val="0"/>
              <w:jc w:val="center"/>
              <w:rPr>
                <w:color w:val="auto"/>
                <w:szCs w:val="21"/>
              </w:rPr>
            </w:pPr>
          </w:p>
        </w:tc>
        <w:tc>
          <w:tcPr>
            <w:tcW w:w="0" w:type="auto"/>
            <w:tcBorders>
              <w:tl2br w:val="nil"/>
              <w:tr2bl w:val="nil"/>
            </w:tcBorders>
            <w:vAlign w:val="center"/>
          </w:tcPr>
          <w:p w14:paraId="6A063878">
            <w:pPr>
              <w:adjustRightInd w:val="0"/>
              <w:jc w:val="center"/>
              <w:rPr>
                <w:color w:val="auto"/>
                <w:szCs w:val="21"/>
              </w:rPr>
            </w:pPr>
            <w:r>
              <w:rPr>
                <w:color w:val="auto"/>
                <w:szCs w:val="21"/>
              </w:rPr>
              <w:t>三有；湘</w:t>
            </w:r>
          </w:p>
        </w:tc>
        <w:tc>
          <w:tcPr>
            <w:tcW w:w="0" w:type="auto"/>
            <w:tcBorders>
              <w:tl2br w:val="nil"/>
              <w:tr2bl w:val="nil"/>
            </w:tcBorders>
            <w:vAlign w:val="center"/>
          </w:tcPr>
          <w:p w14:paraId="0BB13946">
            <w:pPr>
              <w:adjustRightInd w:val="0"/>
              <w:jc w:val="center"/>
              <w:rPr>
                <w:color w:val="auto"/>
                <w:szCs w:val="21"/>
              </w:rPr>
            </w:pPr>
            <w:r>
              <w:rPr>
                <w:color w:val="auto"/>
                <w:szCs w:val="21"/>
              </w:rPr>
              <w:t>LC</w:t>
            </w:r>
          </w:p>
        </w:tc>
        <w:tc>
          <w:tcPr>
            <w:tcW w:w="0" w:type="auto"/>
            <w:tcBorders>
              <w:tl2br w:val="nil"/>
              <w:tr2bl w:val="nil"/>
            </w:tcBorders>
            <w:vAlign w:val="center"/>
          </w:tcPr>
          <w:p w14:paraId="28EEF890">
            <w:pPr>
              <w:adjustRightInd w:val="0"/>
              <w:jc w:val="center"/>
              <w:rPr>
                <w:color w:val="auto"/>
                <w:szCs w:val="21"/>
              </w:rPr>
            </w:pPr>
            <w:r>
              <w:rPr>
                <w:color w:val="auto"/>
                <w:szCs w:val="21"/>
              </w:rPr>
              <w:t>K</w:t>
            </w:r>
          </w:p>
        </w:tc>
      </w:tr>
      <w:tr w14:paraId="5131B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BB856CF">
            <w:pPr>
              <w:adjustRightInd w:val="0"/>
              <w:jc w:val="left"/>
              <w:rPr>
                <w:color w:val="auto"/>
                <w:szCs w:val="21"/>
              </w:rPr>
            </w:pPr>
            <w:r>
              <w:rPr>
                <w:color w:val="auto"/>
                <w:szCs w:val="21"/>
              </w:rPr>
              <w:t>52 环颈雉</w:t>
            </w:r>
            <w:r>
              <w:rPr>
                <w:i/>
                <w:iCs/>
                <w:color w:val="auto"/>
                <w:szCs w:val="21"/>
              </w:rPr>
              <w:t xml:space="preserve"> Phasianus colchicus</w:t>
            </w:r>
          </w:p>
        </w:tc>
        <w:tc>
          <w:tcPr>
            <w:tcW w:w="0" w:type="auto"/>
            <w:tcBorders>
              <w:tl2br w:val="nil"/>
              <w:tr2bl w:val="nil"/>
            </w:tcBorders>
            <w:vAlign w:val="center"/>
          </w:tcPr>
          <w:p w14:paraId="59E6FBC5">
            <w:pPr>
              <w:adjustRightInd w:val="0"/>
              <w:jc w:val="center"/>
              <w:rPr>
                <w:color w:val="auto"/>
                <w:szCs w:val="21"/>
              </w:rPr>
            </w:pPr>
            <w:r>
              <w:rPr>
                <w:color w:val="auto"/>
                <w:szCs w:val="21"/>
              </w:rPr>
              <w:t>R</w:t>
            </w:r>
          </w:p>
        </w:tc>
        <w:tc>
          <w:tcPr>
            <w:tcW w:w="0" w:type="auto"/>
            <w:tcBorders>
              <w:tl2br w:val="nil"/>
              <w:tr2bl w:val="nil"/>
            </w:tcBorders>
            <w:vAlign w:val="center"/>
          </w:tcPr>
          <w:p w14:paraId="0D5593BB">
            <w:pPr>
              <w:adjustRightInd w:val="0"/>
              <w:jc w:val="center"/>
              <w:rPr>
                <w:color w:val="auto"/>
                <w:szCs w:val="21"/>
              </w:rPr>
            </w:pPr>
            <w:r>
              <w:rPr>
                <w:color w:val="auto"/>
                <w:szCs w:val="21"/>
              </w:rPr>
              <w:t>C</w:t>
            </w:r>
          </w:p>
        </w:tc>
        <w:tc>
          <w:tcPr>
            <w:tcW w:w="0" w:type="auto"/>
            <w:tcBorders>
              <w:tl2br w:val="nil"/>
              <w:tr2bl w:val="nil"/>
            </w:tcBorders>
            <w:vAlign w:val="center"/>
          </w:tcPr>
          <w:p w14:paraId="27111446">
            <w:pPr>
              <w:adjustRightInd w:val="0"/>
              <w:jc w:val="center"/>
              <w:rPr>
                <w:color w:val="auto"/>
                <w:szCs w:val="21"/>
              </w:rPr>
            </w:pPr>
          </w:p>
        </w:tc>
        <w:tc>
          <w:tcPr>
            <w:tcW w:w="0" w:type="auto"/>
            <w:tcBorders>
              <w:tl2br w:val="nil"/>
              <w:tr2bl w:val="nil"/>
            </w:tcBorders>
            <w:vAlign w:val="center"/>
          </w:tcPr>
          <w:p w14:paraId="554382C4">
            <w:pPr>
              <w:adjustRightInd w:val="0"/>
              <w:jc w:val="center"/>
              <w:rPr>
                <w:color w:val="auto"/>
                <w:szCs w:val="21"/>
              </w:rPr>
            </w:pPr>
            <w:r>
              <w:rPr>
                <w:color w:val="auto"/>
                <w:szCs w:val="21"/>
              </w:rPr>
              <w:t>三有；湘</w:t>
            </w:r>
          </w:p>
        </w:tc>
        <w:tc>
          <w:tcPr>
            <w:tcW w:w="0" w:type="auto"/>
            <w:tcBorders>
              <w:tl2br w:val="nil"/>
              <w:tr2bl w:val="nil"/>
            </w:tcBorders>
            <w:vAlign w:val="center"/>
          </w:tcPr>
          <w:p w14:paraId="19FC8208">
            <w:pPr>
              <w:adjustRightInd w:val="0"/>
              <w:jc w:val="center"/>
              <w:rPr>
                <w:color w:val="auto"/>
                <w:szCs w:val="21"/>
              </w:rPr>
            </w:pPr>
            <w:r>
              <w:rPr>
                <w:color w:val="auto"/>
                <w:szCs w:val="21"/>
              </w:rPr>
              <w:t>LC</w:t>
            </w:r>
          </w:p>
        </w:tc>
        <w:tc>
          <w:tcPr>
            <w:tcW w:w="0" w:type="auto"/>
            <w:tcBorders>
              <w:tl2br w:val="nil"/>
              <w:tr2bl w:val="nil"/>
            </w:tcBorders>
            <w:vAlign w:val="center"/>
          </w:tcPr>
          <w:p w14:paraId="071524CE">
            <w:pPr>
              <w:adjustRightInd w:val="0"/>
              <w:jc w:val="center"/>
              <w:rPr>
                <w:color w:val="auto"/>
                <w:szCs w:val="21"/>
              </w:rPr>
            </w:pPr>
            <w:r>
              <w:rPr>
                <w:color w:val="auto"/>
                <w:szCs w:val="21"/>
              </w:rPr>
              <w:t>K</w:t>
            </w:r>
          </w:p>
        </w:tc>
      </w:tr>
      <w:tr w14:paraId="3A6DB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7BABBB5D">
            <w:pPr>
              <w:adjustRightInd w:val="0"/>
              <w:jc w:val="left"/>
              <w:rPr>
                <w:b/>
                <w:bCs/>
                <w:color w:val="auto"/>
                <w:szCs w:val="21"/>
              </w:rPr>
            </w:pPr>
            <w:r>
              <w:rPr>
                <w:b/>
                <w:bCs/>
                <w:color w:val="auto"/>
                <w:szCs w:val="21"/>
              </w:rPr>
              <w:t>ⅤⅡ 鹤形目 CICONIIGORMES</w:t>
            </w:r>
          </w:p>
        </w:tc>
        <w:tc>
          <w:tcPr>
            <w:tcW w:w="0" w:type="auto"/>
            <w:tcBorders>
              <w:tl2br w:val="nil"/>
              <w:tr2bl w:val="nil"/>
            </w:tcBorders>
            <w:vAlign w:val="center"/>
          </w:tcPr>
          <w:p w14:paraId="063FE97B">
            <w:pPr>
              <w:adjustRightInd w:val="0"/>
              <w:jc w:val="center"/>
              <w:rPr>
                <w:color w:val="auto"/>
                <w:szCs w:val="21"/>
              </w:rPr>
            </w:pPr>
          </w:p>
        </w:tc>
        <w:tc>
          <w:tcPr>
            <w:tcW w:w="0" w:type="auto"/>
            <w:tcBorders>
              <w:tl2br w:val="nil"/>
              <w:tr2bl w:val="nil"/>
            </w:tcBorders>
            <w:vAlign w:val="center"/>
          </w:tcPr>
          <w:p w14:paraId="5CECCF8D">
            <w:pPr>
              <w:adjustRightInd w:val="0"/>
              <w:jc w:val="center"/>
              <w:rPr>
                <w:color w:val="auto"/>
                <w:szCs w:val="21"/>
              </w:rPr>
            </w:pPr>
          </w:p>
        </w:tc>
        <w:tc>
          <w:tcPr>
            <w:tcW w:w="0" w:type="auto"/>
            <w:tcBorders>
              <w:tl2br w:val="nil"/>
              <w:tr2bl w:val="nil"/>
            </w:tcBorders>
            <w:vAlign w:val="center"/>
          </w:tcPr>
          <w:p w14:paraId="03E33316">
            <w:pPr>
              <w:adjustRightInd w:val="0"/>
              <w:jc w:val="center"/>
              <w:rPr>
                <w:color w:val="auto"/>
                <w:szCs w:val="21"/>
              </w:rPr>
            </w:pPr>
          </w:p>
        </w:tc>
        <w:tc>
          <w:tcPr>
            <w:tcW w:w="0" w:type="auto"/>
            <w:tcBorders>
              <w:tl2br w:val="nil"/>
              <w:tr2bl w:val="nil"/>
            </w:tcBorders>
            <w:vAlign w:val="center"/>
          </w:tcPr>
          <w:p w14:paraId="3E2B84D2">
            <w:pPr>
              <w:adjustRightInd w:val="0"/>
              <w:jc w:val="center"/>
              <w:rPr>
                <w:color w:val="auto"/>
                <w:szCs w:val="21"/>
              </w:rPr>
            </w:pPr>
          </w:p>
        </w:tc>
        <w:tc>
          <w:tcPr>
            <w:tcW w:w="0" w:type="auto"/>
            <w:tcBorders>
              <w:tl2br w:val="nil"/>
              <w:tr2bl w:val="nil"/>
            </w:tcBorders>
            <w:vAlign w:val="center"/>
          </w:tcPr>
          <w:p w14:paraId="26933E1D">
            <w:pPr>
              <w:adjustRightInd w:val="0"/>
              <w:jc w:val="center"/>
              <w:rPr>
                <w:color w:val="auto"/>
                <w:szCs w:val="21"/>
              </w:rPr>
            </w:pPr>
          </w:p>
        </w:tc>
        <w:tc>
          <w:tcPr>
            <w:tcW w:w="0" w:type="auto"/>
            <w:tcBorders>
              <w:tl2br w:val="nil"/>
              <w:tr2bl w:val="nil"/>
            </w:tcBorders>
            <w:vAlign w:val="center"/>
          </w:tcPr>
          <w:p w14:paraId="79C29F7F">
            <w:pPr>
              <w:adjustRightInd w:val="0"/>
              <w:jc w:val="center"/>
              <w:rPr>
                <w:color w:val="auto"/>
                <w:szCs w:val="21"/>
              </w:rPr>
            </w:pPr>
          </w:p>
        </w:tc>
      </w:tr>
      <w:tr w14:paraId="68E34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E24DCB3">
            <w:pPr>
              <w:adjustRightInd w:val="0"/>
              <w:jc w:val="left"/>
              <w:rPr>
                <w:b/>
                <w:bCs/>
                <w:color w:val="auto"/>
                <w:szCs w:val="21"/>
              </w:rPr>
            </w:pPr>
            <w:r>
              <w:rPr>
                <w:b/>
                <w:bCs/>
                <w:color w:val="auto"/>
                <w:szCs w:val="21"/>
              </w:rPr>
              <w:t>（十二）秧鸡科 Rallidae</w:t>
            </w:r>
          </w:p>
        </w:tc>
        <w:tc>
          <w:tcPr>
            <w:tcW w:w="0" w:type="auto"/>
            <w:tcBorders>
              <w:tl2br w:val="nil"/>
              <w:tr2bl w:val="nil"/>
            </w:tcBorders>
            <w:vAlign w:val="center"/>
          </w:tcPr>
          <w:p w14:paraId="073391E7">
            <w:pPr>
              <w:adjustRightInd w:val="0"/>
              <w:jc w:val="center"/>
              <w:rPr>
                <w:color w:val="auto"/>
                <w:szCs w:val="21"/>
              </w:rPr>
            </w:pPr>
          </w:p>
        </w:tc>
        <w:tc>
          <w:tcPr>
            <w:tcW w:w="0" w:type="auto"/>
            <w:tcBorders>
              <w:tl2br w:val="nil"/>
              <w:tr2bl w:val="nil"/>
            </w:tcBorders>
            <w:vAlign w:val="center"/>
          </w:tcPr>
          <w:p w14:paraId="6070FA59">
            <w:pPr>
              <w:adjustRightInd w:val="0"/>
              <w:jc w:val="center"/>
              <w:rPr>
                <w:color w:val="auto"/>
                <w:szCs w:val="21"/>
              </w:rPr>
            </w:pPr>
          </w:p>
        </w:tc>
        <w:tc>
          <w:tcPr>
            <w:tcW w:w="0" w:type="auto"/>
            <w:tcBorders>
              <w:tl2br w:val="nil"/>
              <w:tr2bl w:val="nil"/>
            </w:tcBorders>
            <w:vAlign w:val="center"/>
          </w:tcPr>
          <w:p w14:paraId="69410158">
            <w:pPr>
              <w:adjustRightInd w:val="0"/>
              <w:jc w:val="center"/>
              <w:rPr>
                <w:color w:val="auto"/>
                <w:szCs w:val="21"/>
              </w:rPr>
            </w:pPr>
          </w:p>
        </w:tc>
        <w:tc>
          <w:tcPr>
            <w:tcW w:w="0" w:type="auto"/>
            <w:tcBorders>
              <w:tl2br w:val="nil"/>
              <w:tr2bl w:val="nil"/>
            </w:tcBorders>
            <w:vAlign w:val="center"/>
          </w:tcPr>
          <w:p w14:paraId="7DDD8513">
            <w:pPr>
              <w:adjustRightInd w:val="0"/>
              <w:jc w:val="center"/>
              <w:rPr>
                <w:color w:val="auto"/>
                <w:szCs w:val="21"/>
              </w:rPr>
            </w:pPr>
          </w:p>
        </w:tc>
        <w:tc>
          <w:tcPr>
            <w:tcW w:w="0" w:type="auto"/>
            <w:tcBorders>
              <w:tl2br w:val="nil"/>
              <w:tr2bl w:val="nil"/>
            </w:tcBorders>
            <w:vAlign w:val="center"/>
          </w:tcPr>
          <w:p w14:paraId="364730A0">
            <w:pPr>
              <w:adjustRightInd w:val="0"/>
              <w:jc w:val="center"/>
              <w:rPr>
                <w:color w:val="auto"/>
                <w:szCs w:val="21"/>
              </w:rPr>
            </w:pPr>
          </w:p>
        </w:tc>
        <w:tc>
          <w:tcPr>
            <w:tcW w:w="0" w:type="auto"/>
            <w:tcBorders>
              <w:tl2br w:val="nil"/>
              <w:tr2bl w:val="nil"/>
            </w:tcBorders>
            <w:vAlign w:val="center"/>
          </w:tcPr>
          <w:p w14:paraId="64213461">
            <w:pPr>
              <w:adjustRightInd w:val="0"/>
              <w:jc w:val="center"/>
              <w:rPr>
                <w:color w:val="auto"/>
                <w:szCs w:val="21"/>
              </w:rPr>
            </w:pPr>
          </w:p>
        </w:tc>
      </w:tr>
      <w:tr w14:paraId="33368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2333B8C">
            <w:pPr>
              <w:adjustRightInd w:val="0"/>
              <w:jc w:val="left"/>
              <w:rPr>
                <w:color w:val="auto"/>
                <w:szCs w:val="21"/>
              </w:rPr>
            </w:pPr>
            <w:r>
              <w:rPr>
                <w:color w:val="auto"/>
                <w:szCs w:val="21"/>
              </w:rPr>
              <w:t xml:space="preserve">53 黑水鸡 </w:t>
            </w:r>
            <w:r>
              <w:rPr>
                <w:i/>
                <w:iCs/>
                <w:color w:val="auto"/>
                <w:szCs w:val="21"/>
              </w:rPr>
              <w:t>Gallinula chloropus</w:t>
            </w:r>
          </w:p>
        </w:tc>
        <w:tc>
          <w:tcPr>
            <w:tcW w:w="0" w:type="auto"/>
            <w:tcBorders>
              <w:tl2br w:val="nil"/>
              <w:tr2bl w:val="nil"/>
            </w:tcBorders>
            <w:vAlign w:val="center"/>
          </w:tcPr>
          <w:p w14:paraId="32805D40">
            <w:pPr>
              <w:adjustRightInd w:val="0"/>
              <w:jc w:val="center"/>
              <w:rPr>
                <w:color w:val="auto"/>
                <w:szCs w:val="21"/>
              </w:rPr>
            </w:pPr>
            <w:r>
              <w:rPr>
                <w:color w:val="auto"/>
                <w:szCs w:val="21"/>
              </w:rPr>
              <w:t>S</w:t>
            </w:r>
          </w:p>
        </w:tc>
        <w:tc>
          <w:tcPr>
            <w:tcW w:w="0" w:type="auto"/>
            <w:tcBorders>
              <w:tl2br w:val="nil"/>
              <w:tr2bl w:val="nil"/>
            </w:tcBorders>
            <w:vAlign w:val="center"/>
          </w:tcPr>
          <w:p w14:paraId="01862F9A">
            <w:pPr>
              <w:adjustRightInd w:val="0"/>
              <w:jc w:val="center"/>
              <w:rPr>
                <w:color w:val="auto"/>
                <w:szCs w:val="21"/>
              </w:rPr>
            </w:pPr>
            <w:r>
              <w:rPr>
                <w:color w:val="auto"/>
                <w:szCs w:val="21"/>
              </w:rPr>
              <w:t>O</w:t>
            </w:r>
          </w:p>
        </w:tc>
        <w:tc>
          <w:tcPr>
            <w:tcW w:w="0" w:type="auto"/>
            <w:tcBorders>
              <w:tl2br w:val="nil"/>
              <w:tr2bl w:val="nil"/>
            </w:tcBorders>
            <w:vAlign w:val="center"/>
          </w:tcPr>
          <w:p w14:paraId="13DCE823">
            <w:pPr>
              <w:adjustRightInd w:val="0"/>
              <w:jc w:val="center"/>
              <w:rPr>
                <w:color w:val="auto"/>
                <w:szCs w:val="21"/>
              </w:rPr>
            </w:pPr>
          </w:p>
        </w:tc>
        <w:tc>
          <w:tcPr>
            <w:tcW w:w="0" w:type="auto"/>
            <w:tcBorders>
              <w:tl2br w:val="nil"/>
              <w:tr2bl w:val="nil"/>
            </w:tcBorders>
            <w:vAlign w:val="center"/>
          </w:tcPr>
          <w:p w14:paraId="1CC23B3E">
            <w:pPr>
              <w:adjustRightInd w:val="0"/>
              <w:jc w:val="center"/>
              <w:rPr>
                <w:color w:val="auto"/>
                <w:szCs w:val="21"/>
              </w:rPr>
            </w:pPr>
            <w:r>
              <w:rPr>
                <w:color w:val="auto"/>
                <w:szCs w:val="21"/>
              </w:rPr>
              <w:t>三有；湘</w:t>
            </w:r>
          </w:p>
        </w:tc>
        <w:tc>
          <w:tcPr>
            <w:tcW w:w="0" w:type="auto"/>
            <w:tcBorders>
              <w:tl2br w:val="nil"/>
              <w:tr2bl w:val="nil"/>
            </w:tcBorders>
            <w:vAlign w:val="center"/>
          </w:tcPr>
          <w:p w14:paraId="62678529">
            <w:pPr>
              <w:adjustRightInd w:val="0"/>
              <w:jc w:val="center"/>
              <w:rPr>
                <w:color w:val="auto"/>
                <w:szCs w:val="21"/>
              </w:rPr>
            </w:pPr>
            <w:r>
              <w:rPr>
                <w:color w:val="auto"/>
                <w:szCs w:val="21"/>
              </w:rPr>
              <w:t>LC</w:t>
            </w:r>
          </w:p>
        </w:tc>
        <w:tc>
          <w:tcPr>
            <w:tcW w:w="0" w:type="auto"/>
            <w:tcBorders>
              <w:tl2br w:val="nil"/>
              <w:tr2bl w:val="nil"/>
            </w:tcBorders>
            <w:vAlign w:val="center"/>
          </w:tcPr>
          <w:p w14:paraId="386C70F7">
            <w:pPr>
              <w:adjustRightInd w:val="0"/>
              <w:jc w:val="center"/>
              <w:rPr>
                <w:color w:val="auto"/>
                <w:szCs w:val="21"/>
              </w:rPr>
            </w:pPr>
            <w:r>
              <w:rPr>
                <w:color w:val="auto"/>
                <w:szCs w:val="21"/>
              </w:rPr>
              <w:t>K</w:t>
            </w:r>
          </w:p>
        </w:tc>
      </w:tr>
      <w:tr w14:paraId="0F568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DFED5ED">
            <w:pPr>
              <w:adjustRightInd w:val="0"/>
              <w:jc w:val="left"/>
              <w:rPr>
                <w:color w:val="auto"/>
                <w:szCs w:val="21"/>
              </w:rPr>
            </w:pPr>
            <w:r>
              <w:rPr>
                <w:color w:val="auto"/>
                <w:szCs w:val="21"/>
              </w:rPr>
              <w:t xml:space="preserve">54 红脚田鸡 </w:t>
            </w:r>
            <w:r>
              <w:rPr>
                <w:i/>
                <w:iCs/>
                <w:color w:val="auto"/>
                <w:szCs w:val="21"/>
              </w:rPr>
              <w:t>Amaurornis akool</w:t>
            </w:r>
          </w:p>
        </w:tc>
        <w:tc>
          <w:tcPr>
            <w:tcW w:w="0" w:type="auto"/>
            <w:tcBorders>
              <w:tl2br w:val="nil"/>
              <w:tr2bl w:val="nil"/>
            </w:tcBorders>
            <w:vAlign w:val="center"/>
          </w:tcPr>
          <w:p w14:paraId="4461D125">
            <w:pPr>
              <w:adjustRightInd w:val="0"/>
              <w:jc w:val="center"/>
              <w:rPr>
                <w:color w:val="auto"/>
                <w:szCs w:val="21"/>
              </w:rPr>
            </w:pPr>
            <w:r>
              <w:rPr>
                <w:color w:val="auto"/>
                <w:szCs w:val="21"/>
              </w:rPr>
              <w:t>R</w:t>
            </w:r>
          </w:p>
        </w:tc>
        <w:tc>
          <w:tcPr>
            <w:tcW w:w="0" w:type="auto"/>
            <w:tcBorders>
              <w:tl2br w:val="nil"/>
              <w:tr2bl w:val="nil"/>
            </w:tcBorders>
            <w:vAlign w:val="center"/>
          </w:tcPr>
          <w:p w14:paraId="77A14F6E">
            <w:pPr>
              <w:adjustRightInd w:val="0"/>
              <w:jc w:val="center"/>
              <w:rPr>
                <w:color w:val="auto"/>
                <w:szCs w:val="21"/>
              </w:rPr>
            </w:pPr>
            <w:r>
              <w:rPr>
                <w:color w:val="auto"/>
                <w:szCs w:val="21"/>
              </w:rPr>
              <w:t>O</w:t>
            </w:r>
          </w:p>
        </w:tc>
        <w:tc>
          <w:tcPr>
            <w:tcW w:w="0" w:type="auto"/>
            <w:tcBorders>
              <w:tl2br w:val="nil"/>
              <w:tr2bl w:val="nil"/>
            </w:tcBorders>
            <w:vAlign w:val="center"/>
          </w:tcPr>
          <w:p w14:paraId="02712ABF">
            <w:pPr>
              <w:adjustRightInd w:val="0"/>
              <w:jc w:val="center"/>
              <w:rPr>
                <w:color w:val="auto"/>
                <w:szCs w:val="21"/>
              </w:rPr>
            </w:pPr>
          </w:p>
        </w:tc>
        <w:tc>
          <w:tcPr>
            <w:tcW w:w="0" w:type="auto"/>
            <w:tcBorders>
              <w:tl2br w:val="nil"/>
              <w:tr2bl w:val="nil"/>
            </w:tcBorders>
            <w:vAlign w:val="center"/>
          </w:tcPr>
          <w:p w14:paraId="4A81978F">
            <w:pPr>
              <w:adjustRightInd w:val="0"/>
              <w:jc w:val="center"/>
              <w:rPr>
                <w:color w:val="auto"/>
                <w:szCs w:val="21"/>
              </w:rPr>
            </w:pPr>
            <w:r>
              <w:rPr>
                <w:color w:val="auto"/>
                <w:szCs w:val="21"/>
              </w:rPr>
              <w:t>三有；湘</w:t>
            </w:r>
          </w:p>
        </w:tc>
        <w:tc>
          <w:tcPr>
            <w:tcW w:w="0" w:type="auto"/>
            <w:tcBorders>
              <w:tl2br w:val="nil"/>
              <w:tr2bl w:val="nil"/>
            </w:tcBorders>
            <w:vAlign w:val="center"/>
          </w:tcPr>
          <w:p w14:paraId="68A02F4D">
            <w:pPr>
              <w:adjustRightInd w:val="0"/>
              <w:jc w:val="center"/>
              <w:rPr>
                <w:color w:val="auto"/>
                <w:szCs w:val="21"/>
              </w:rPr>
            </w:pPr>
            <w:r>
              <w:rPr>
                <w:color w:val="auto"/>
                <w:szCs w:val="21"/>
              </w:rPr>
              <w:t>LC</w:t>
            </w:r>
          </w:p>
        </w:tc>
        <w:tc>
          <w:tcPr>
            <w:tcW w:w="0" w:type="auto"/>
            <w:tcBorders>
              <w:tl2br w:val="nil"/>
              <w:tr2bl w:val="nil"/>
            </w:tcBorders>
            <w:vAlign w:val="center"/>
          </w:tcPr>
          <w:p w14:paraId="64439275">
            <w:pPr>
              <w:adjustRightInd w:val="0"/>
              <w:jc w:val="center"/>
              <w:rPr>
                <w:color w:val="auto"/>
                <w:szCs w:val="21"/>
              </w:rPr>
            </w:pPr>
            <w:r>
              <w:rPr>
                <w:color w:val="auto"/>
                <w:szCs w:val="21"/>
              </w:rPr>
              <w:t>K</w:t>
            </w:r>
          </w:p>
        </w:tc>
      </w:tr>
      <w:tr w14:paraId="6BA8E3DD">
        <w:tblPrEx>
          <w:tblCellMar>
            <w:top w:w="0" w:type="dxa"/>
            <w:left w:w="108" w:type="dxa"/>
            <w:bottom w:w="0" w:type="dxa"/>
            <w:right w:w="108" w:type="dxa"/>
          </w:tblCellMar>
        </w:tblPrEx>
        <w:tc>
          <w:tcPr>
            <w:tcW w:w="0" w:type="auto"/>
            <w:tcBorders>
              <w:tl2br w:val="nil"/>
              <w:tr2bl w:val="nil"/>
            </w:tcBorders>
            <w:vAlign w:val="center"/>
          </w:tcPr>
          <w:p w14:paraId="063307D8">
            <w:pPr>
              <w:adjustRightInd w:val="0"/>
              <w:jc w:val="left"/>
              <w:rPr>
                <w:color w:val="auto"/>
                <w:szCs w:val="21"/>
              </w:rPr>
            </w:pPr>
            <w:r>
              <w:rPr>
                <w:color w:val="auto"/>
                <w:szCs w:val="21"/>
              </w:rPr>
              <w:t xml:space="preserve">55 白胸苦恶鸟 </w:t>
            </w:r>
            <w:r>
              <w:rPr>
                <w:i/>
                <w:iCs/>
                <w:color w:val="auto"/>
                <w:szCs w:val="21"/>
              </w:rPr>
              <w:t>Amaurornis phoenicurus</w:t>
            </w:r>
          </w:p>
        </w:tc>
        <w:tc>
          <w:tcPr>
            <w:tcW w:w="0" w:type="auto"/>
            <w:tcBorders>
              <w:tl2br w:val="nil"/>
              <w:tr2bl w:val="nil"/>
            </w:tcBorders>
            <w:vAlign w:val="center"/>
          </w:tcPr>
          <w:p w14:paraId="6EC0A87B">
            <w:pPr>
              <w:adjustRightInd w:val="0"/>
              <w:jc w:val="center"/>
              <w:rPr>
                <w:color w:val="auto"/>
                <w:szCs w:val="21"/>
              </w:rPr>
            </w:pPr>
            <w:r>
              <w:rPr>
                <w:color w:val="auto"/>
                <w:szCs w:val="21"/>
              </w:rPr>
              <w:t>S</w:t>
            </w:r>
          </w:p>
        </w:tc>
        <w:tc>
          <w:tcPr>
            <w:tcW w:w="0" w:type="auto"/>
            <w:tcBorders>
              <w:tl2br w:val="nil"/>
              <w:tr2bl w:val="nil"/>
            </w:tcBorders>
            <w:vAlign w:val="center"/>
          </w:tcPr>
          <w:p w14:paraId="700C6DAB">
            <w:pPr>
              <w:adjustRightInd w:val="0"/>
              <w:jc w:val="center"/>
              <w:rPr>
                <w:color w:val="auto"/>
                <w:szCs w:val="21"/>
              </w:rPr>
            </w:pPr>
          </w:p>
        </w:tc>
        <w:tc>
          <w:tcPr>
            <w:tcW w:w="0" w:type="auto"/>
            <w:tcBorders>
              <w:tl2br w:val="nil"/>
              <w:tr2bl w:val="nil"/>
            </w:tcBorders>
            <w:vAlign w:val="center"/>
          </w:tcPr>
          <w:p w14:paraId="27D8240C">
            <w:pPr>
              <w:adjustRightInd w:val="0"/>
              <w:jc w:val="center"/>
              <w:rPr>
                <w:color w:val="auto"/>
                <w:szCs w:val="21"/>
              </w:rPr>
            </w:pPr>
          </w:p>
        </w:tc>
        <w:tc>
          <w:tcPr>
            <w:tcW w:w="0" w:type="auto"/>
            <w:tcBorders>
              <w:tl2br w:val="nil"/>
              <w:tr2bl w:val="nil"/>
            </w:tcBorders>
            <w:vAlign w:val="center"/>
          </w:tcPr>
          <w:p w14:paraId="29EB9BA1">
            <w:pPr>
              <w:adjustRightInd w:val="0"/>
              <w:jc w:val="center"/>
              <w:rPr>
                <w:color w:val="auto"/>
                <w:szCs w:val="21"/>
              </w:rPr>
            </w:pPr>
            <w:r>
              <w:rPr>
                <w:color w:val="auto"/>
                <w:szCs w:val="21"/>
              </w:rPr>
              <w:t>三有；湘</w:t>
            </w:r>
          </w:p>
        </w:tc>
        <w:tc>
          <w:tcPr>
            <w:tcW w:w="0" w:type="auto"/>
            <w:tcBorders>
              <w:tl2br w:val="nil"/>
              <w:tr2bl w:val="nil"/>
            </w:tcBorders>
            <w:vAlign w:val="center"/>
          </w:tcPr>
          <w:p w14:paraId="4EBE3CF7">
            <w:pPr>
              <w:adjustRightInd w:val="0"/>
              <w:jc w:val="center"/>
              <w:rPr>
                <w:color w:val="auto"/>
                <w:szCs w:val="21"/>
              </w:rPr>
            </w:pPr>
            <w:r>
              <w:rPr>
                <w:color w:val="auto"/>
                <w:szCs w:val="21"/>
              </w:rPr>
              <w:t>LC</w:t>
            </w:r>
          </w:p>
        </w:tc>
        <w:tc>
          <w:tcPr>
            <w:tcW w:w="0" w:type="auto"/>
            <w:tcBorders>
              <w:tl2br w:val="nil"/>
              <w:tr2bl w:val="nil"/>
            </w:tcBorders>
            <w:vAlign w:val="center"/>
          </w:tcPr>
          <w:p w14:paraId="7335A286">
            <w:pPr>
              <w:adjustRightInd w:val="0"/>
              <w:jc w:val="center"/>
              <w:rPr>
                <w:color w:val="auto"/>
                <w:szCs w:val="21"/>
              </w:rPr>
            </w:pPr>
            <w:r>
              <w:rPr>
                <w:color w:val="auto"/>
                <w:szCs w:val="21"/>
              </w:rPr>
              <w:t>K</w:t>
            </w:r>
          </w:p>
        </w:tc>
      </w:tr>
      <w:tr w14:paraId="5397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93A98C9">
            <w:pPr>
              <w:adjustRightInd w:val="0"/>
              <w:jc w:val="left"/>
              <w:rPr>
                <w:color w:val="auto"/>
                <w:szCs w:val="21"/>
              </w:rPr>
            </w:pPr>
            <w:r>
              <w:rPr>
                <w:color w:val="auto"/>
                <w:szCs w:val="21"/>
              </w:rPr>
              <w:t xml:space="preserve">56 白骨顶 </w:t>
            </w:r>
            <w:r>
              <w:rPr>
                <w:i/>
                <w:iCs/>
                <w:color w:val="auto"/>
                <w:szCs w:val="21"/>
              </w:rPr>
              <w:t>Fulica atra</w:t>
            </w:r>
          </w:p>
        </w:tc>
        <w:tc>
          <w:tcPr>
            <w:tcW w:w="0" w:type="auto"/>
            <w:tcBorders>
              <w:tl2br w:val="nil"/>
              <w:tr2bl w:val="nil"/>
            </w:tcBorders>
            <w:vAlign w:val="center"/>
          </w:tcPr>
          <w:p w14:paraId="68042877">
            <w:pPr>
              <w:adjustRightInd w:val="0"/>
              <w:jc w:val="center"/>
              <w:rPr>
                <w:color w:val="auto"/>
                <w:szCs w:val="21"/>
              </w:rPr>
            </w:pPr>
          </w:p>
        </w:tc>
        <w:tc>
          <w:tcPr>
            <w:tcW w:w="0" w:type="auto"/>
            <w:tcBorders>
              <w:tl2br w:val="nil"/>
              <w:tr2bl w:val="nil"/>
            </w:tcBorders>
            <w:vAlign w:val="center"/>
          </w:tcPr>
          <w:p w14:paraId="02914815">
            <w:pPr>
              <w:adjustRightInd w:val="0"/>
              <w:jc w:val="center"/>
              <w:rPr>
                <w:color w:val="auto"/>
                <w:szCs w:val="21"/>
              </w:rPr>
            </w:pPr>
          </w:p>
        </w:tc>
        <w:tc>
          <w:tcPr>
            <w:tcW w:w="0" w:type="auto"/>
            <w:tcBorders>
              <w:tl2br w:val="nil"/>
              <w:tr2bl w:val="nil"/>
            </w:tcBorders>
            <w:vAlign w:val="center"/>
          </w:tcPr>
          <w:p w14:paraId="1A8701DB">
            <w:pPr>
              <w:adjustRightInd w:val="0"/>
              <w:jc w:val="center"/>
              <w:rPr>
                <w:color w:val="auto"/>
                <w:szCs w:val="21"/>
              </w:rPr>
            </w:pPr>
          </w:p>
        </w:tc>
        <w:tc>
          <w:tcPr>
            <w:tcW w:w="0" w:type="auto"/>
            <w:tcBorders>
              <w:tl2br w:val="nil"/>
              <w:tr2bl w:val="nil"/>
            </w:tcBorders>
            <w:vAlign w:val="center"/>
          </w:tcPr>
          <w:p w14:paraId="485EF930">
            <w:pPr>
              <w:adjustRightInd w:val="0"/>
              <w:jc w:val="center"/>
              <w:rPr>
                <w:color w:val="auto"/>
                <w:szCs w:val="21"/>
              </w:rPr>
            </w:pPr>
          </w:p>
        </w:tc>
        <w:tc>
          <w:tcPr>
            <w:tcW w:w="0" w:type="auto"/>
            <w:tcBorders>
              <w:tl2br w:val="nil"/>
              <w:tr2bl w:val="nil"/>
            </w:tcBorders>
            <w:vAlign w:val="center"/>
          </w:tcPr>
          <w:p w14:paraId="7E8A93FB">
            <w:pPr>
              <w:adjustRightInd w:val="0"/>
              <w:jc w:val="center"/>
              <w:rPr>
                <w:color w:val="auto"/>
                <w:szCs w:val="21"/>
              </w:rPr>
            </w:pPr>
          </w:p>
        </w:tc>
        <w:tc>
          <w:tcPr>
            <w:tcW w:w="0" w:type="auto"/>
            <w:tcBorders>
              <w:tl2br w:val="nil"/>
              <w:tr2bl w:val="nil"/>
            </w:tcBorders>
            <w:vAlign w:val="center"/>
          </w:tcPr>
          <w:p w14:paraId="255BF374">
            <w:pPr>
              <w:adjustRightInd w:val="0"/>
              <w:jc w:val="center"/>
              <w:rPr>
                <w:color w:val="auto"/>
                <w:szCs w:val="21"/>
              </w:rPr>
            </w:pPr>
          </w:p>
        </w:tc>
      </w:tr>
      <w:tr w14:paraId="4CE0E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5077A2F">
            <w:pPr>
              <w:adjustRightInd w:val="0"/>
              <w:jc w:val="left"/>
              <w:rPr>
                <w:color w:val="auto"/>
                <w:szCs w:val="21"/>
              </w:rPr>
            </w:pPr>
            <w:r>
              <w:rPr>
                <w:b/>
                <w:bCs/>
                <w:color w:val="auto"/>
                <w:szCs w:val="21"/>
              </w:rPr>
              <w:t>（十三）鹤科 Gruidae</w:t>
            </w:r>
          </w:p>
        </w:tc>
        <w:tc>
          <w:tcPr>
            <w:tcW w:w="0" w:type="auto"/>
            <w:tcBorders>
              <w:tl2br w:val="nil"/>
              <w:tr2bl w:val="nil"/>
            </w:tcBorders>
            <w:vAlign w:val="center"/>
          </w:tcPr>
          <w:p w14:paraId="3AE7459A">
            <w:pPr>
              <w:adjustRightInd w:val="0"/>
              <w:jc w:val="center"/>
              <w:rPr>
                <w:color w:val="auto"/>
                <w:szCs w:val="21"/>
              </w:rPr>
            </w:pPr>
          </w:p>
        </w:tc>
        <w:tc>
          <w:tcPr>
            <w:tcW w:w="0" w:type="auto"/>
            <w:tcBorders>
              <w:tl2br w:val="nil"/>
              <w:tr2bl w:val="nil"/>
            </w:tcBorders>
            <w:vAlign w:val="center"/>
          </w:tcPr>
          <w:p w14:paraId="5565E768">
            <w:pPr>
              <w:adjustRightInd w:val="0"/>
              <w:jc w:val="center"/>
              <w:rPr>
                <w:color w:val="auto"/>
                <w:szCs w:val="21"/>
              </w:rPr>
            </w:pPr>
          </w:p>
        </w:tc>
        <w:tc>
          <w:tcPr>
            <w:tcW w:w="0" w:type="auto"/>
            <w:tcBorders>
              <w:tl2br w:val="nil"/>
              <w:tr2bl w:val="nil"/>
            </w:tcBorders>
            <w:vAlign w:val="center"/>
          </w:tcPr>
          <w:p w14:paraId="416B5F0B">
            <w:pPr>
              <w:adjustRightInd w:val="0"/>
              <w:jc w:val="center"/>
              <w:rPr>
                <w:color w:val="auto"/>
                <w:szCs w:val="21"/>
              </w:rPr>
            </w:pPr>
          </w:p>
        </w:tc>
        <w:tc>
          <w:tcPr>
            <w:tcW w:w="0" w:type="auto"/>
            <w:tcBorders>
              <w:tl2br w:val="nil"/>
              <w:tr2bl w:val="nil"/>
            </w:tcBorders>
            <w:vAlign w:val="center"/>
          </w:tcPr>
          <w:p w14:paraId="4F29EFCD">
            <w:pPr>
              <w:adjustRightInd w:val="0"/>
              <w:jc w:val="center"/>
              <w:rPr>
                <w:color w:val="auto"/>
                <w:szCs w:val="21"/>
              </w:rPr>
            </w:pPr>
          </w:p>
        </w:tc>
        <w:tc>
          <w:tcPr>
            <w:tcW w:w="0" w:type="auto"/>
            <w:tcBorders>
              <w:tl2br w:val="nil"/>
              <w:tr2bl w:val="nil"/>
            </w:tcBorders>
            <w:vAlign w:val="center"/>
          </w:tcPr>
          <w:p w14:paraId="16E17E44">
            <w:pPr>
              <w:adjustRightInd w:val="0"/>
              <w:jc w:val="center"/>
              <w:rPr>
                <w:color w:val="auto"/>
                <w:szCs w:val="21"/>
              </w:rPr>
            </w:pPr>
          </w:p>
        </w:tc>
        <w:tc>
          <w:tcPr>
            <w:tcW w:w="0" w:type="auto"/>
            <w:tcBorders>
              <w:tl2br w:val="nil"/>
              <w:tr2bl w:val="nil"/>
            </w:tcBorders>
            <w:vAlign w:val="center"/>
          </w:tcPr>
          <w:p w14:paraId="63B5B4AB">
            <w:pPr>
              <w:adjustRightInd w:val="0"/>
              <w:jc w:val="center"/>
              <w:rPr>
                <w:color w:val="auto"/>
                <w:szCs w:val="21"/>
              </w:rPr>
            </w:pPr>
          </w:p>
        </w:tc>
      </w:tr>
      <w:tr w14:paraId="1178B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AEF09AE">
            <w:pPr>
              <w:adjustRightInd w:val="0"/>
              <w:jc w:val="left"/>
              <w:rPr>
                <w:color w:val="auto"/>
                <w:szCs w:val="21"/>
              </w:rPr>
            </w:pPr>
            <w:r>
              <w:rPr>
                <w:color w:val="auto"/>
                <w:szCs w:val="21"/>
              </w:rPr>
              <w:t xml:space="preserve">57 白鹤 </w:t>
            </w:r>
            <w:r>
              <w:rPr>
                <w:i/>
                <w:iCs/>
                <w:color w:val="auto"/>
                <w:szCs w:val="21"/>
              </w:rPr>
              <w:t>Grus leucogeranus</w:t>
            </w:r>
          </w:p>
        </w:tc>
        <w:tc>
          <w:tcPr>
            <w:tcW w:w="0" w:type="auto"/>
            <w:tcBorders>
              <w:tl2br w:val="nil"/>
              <w:tr2bl w:val="nil"/>
            </w:tcBorders>
            <w:vAlign w:val="center"/>
          </w:tcPr>
          <w:p w14:paraId="6F535AE2">
            <w:pPr>
              <w:adjustRightInd w:val="0"/>
              <w:jc w:val="center"/>
              <w:rPr>
                <w:color w:val="auto"/>
                <w:szCs w:val="21"/>
              </w:rPr>
            </w:pPr>
            <w:r>
              <w:rPr>
                <w:color w:val="auto"/>
                <w:szCs w:val="21"/>
              </w:rPr>
              <w:t>W</w:t>
            </w:r>
          </w:p>
        </w:tc>
        <w:tc>
          <w:tcPr>
            <w:tcW w:w="0" w:type="auto"/>
            <w:tcBorders>
              <w:tl2br w:val="nil"/>
              <w:tr2bl w:val="nil"/>
            </w:tcBorders>
            <w:vAlign w:val="center"/>
          </w:tcPr>
          <w:p w14:paraId="6BD287E9">
            <w:pPr>
              <w:adjustRightInd w:val="0"/>
              <w:jc w:val="center"/>
              <w:rPr>
                <w:color w:val="auto"/>
                <w:szCs w:val="21"/>
              </w:rPr>
            </w:pPr>
            <w:r>
              <w:rPr>
                <w:color w:val="auto"/>
                <w:szCs w:val="21"/>
              </w:rPr>
              <w:t>C</w:t>
            </w:r>
          </w:p>
        </w:tc>
        <w:tc>
          <w:tcPr>
            <w:tcW w:w="0" w:type="auto"/>
            <w:tcBorders>
              <w:tl2br w:val="nil"/>
              <w:tr2bl w:val="nil"/>
            </w:tcBorders>
            <w:vAlign w:val="center"/>
          </w:tcPr>
          <w:p w14:paraId="06B4E092">
            <w:pPr>
              <w:adjustRightInd w:val="0"/>
              <w:jc w:val="center"/>
              <w:rPr>
                <w:color w:val="auto"/>
                <w:szCs w:val="21"/>
              </w:rPr>
            </w:pPr>
          </w:p>
        </w:tc>
        <w:tc>
          <w:tcPr>
            <w:tcW w:w="0" w:type="auto"/>
            <w:tcBorders>
              <w:tl2br w:val="nil"/>
              <w:tr2bl w:val="nil"/>
            </w:tcBorders>
            <w:vAlign w:val="center"/>
          </w:tcPr>
          <w:p w14:paraId="6417FC4E">
            <w:pPr>
              <w:adjustRightInd w:val="0"/>
              <w:jc w:val="center"/>
              <w:rPr>
                <w:color w:val="auto"/>
                <w:szCs w:val="21"/>
              </w:rPr>
            </w:pP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kern w:val="0"/>
                <w:szCs w:val="21"/>
              </w:rPr>
              <w:t>I</w:t>
            </w:r>
            <w:r>
              <w:rPr>
                <w:color w:val="auto"/>
                <w:szCs w:val="21"/>
              </w:rPr>
              <w:fldChar w:fldCharType="end"/>
            </w:r>
          </w:p>
        </w:tc>
        <w:tc>
          <w:tcPr>
            <w:tcW w:w="0" w:type="auto"/>
            <w:tcBorders>
              <w:tl2br w:val="nil"/>
              <w:tr2bl w:val="nil"/>
            </w:tcBorders>
            <w:vAlign w:val="center"/>
          </w:tcPr>
          <w:p w14:paraId="0737302E">
            <w:pPr>
              <w:adjustRightInd w:val="0"/>
              <w:jc w:val="center"/>
              <w:rPr>
                <w:color w:val="auto"/>
                <w:szCs w:val="21"/>
              </w:rPr>
            </w:pPr>
            <w:r>
              <w:rPr>
                <w:color w:val="auto"/>
                <w:szCs w:val="21"/>
              </w:rPr>
              <w:t>CR</w:t>
            </w:r>
          </w:p>
        </w:tc>
        <w:tc>
          <w:tcPr>
            <w:tcW w:w="0" w:type="auto"/>
            <w:tcBorders>
              <w:tl2br w:val="nil"/>
              <w:tr2bl w:val="nil"/>
            </w:tcBorders>
            <w:vAlign w:val="center"/>
          </w:tcPr>
          <w:p w14:paraId="6B400124">
            <w:pPr>
              <w:adjustRightInd w:val="0"/>
              <w:jc w:val="center"/>
              <w:rPr>
                <w:color w:val="auto"/>
                <w:szCs w:val="21"/>
              </w:rPr>
            </w:pPr>
            <w:r>
              <w:rPr>
                <w:color w:val="auto"/>
                <w:szCs w:val="21"/>
              </w:rPr>
              <w:t>Z</w:t>
            </w:r>
          </w:p>
        </w:tc>
      </w:tr>
      <w:tr w14:paraId="149F7F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F1B88D6">
            <w:pPr>
              <w:adjustRightInd w:val="0"/>
              <w:jc w:val="left"/>
              <w:rPr>
                <w:color w:val="auto"/>
                <w:szCs w:val="21"/>
              </w:rPr>
            </w:pPr>
            <w:r>
              <w:rPr>
                <w:color w:val="auto"/>
                <w:szCs w:val="21"/>
              </w:rPr>
              <w:t xml:space="preserve">58 灰鹤 </w:t>
            </w:r>
            <w:r>
              <w:rPr>
                <w:i/>
                <w:iCs/>
                <w:color w:val="auto"/>
                <w:szCs w:val="21"/>
              </w:rPr>
              <w:t>Grus grus</w:t>
            </w:r>
          </w:p>
        </w:tc>
        <w:tc>
          <w:tcPr>
            <w:tcW w:w="0" w:type="auto"/>
            <w:tcBorders>
              <w:tl2br w:val="nil"/>
              <w:tr2bl w:val="nil"/>
            </w:tcBorders>
            <w:vAlign w:val="center"/>
          </w:tcPr>
          <w:p w14:paraId="3E5D717A">
            <w:pPr>
              <w:adjustRightInd w:val="0"/>
              <w:jc w:val="center"/>
              <w:rPr>
                <w:color w:val="auto"/>
                <w:szCs w:val="21"/>
              </w:rPr>
            </w:pPr>
          </w:p>
        </w:tc>
        <w:tc>
          <w:tcPr>
            <w:tcW w:w="0" w:type="auto"/>
            <w:tcBorders>
              <w:tl2br w:val="nil"/>
              <w:tr2bl w:val="nil"/>
            </w:tcBorders>
            <w:vAlign w:val="center"/>
          </w:tcPr>
          <w:p w14:paraId="21D73934">
            <w:pPr>
              <w:adjustRightInd w:val="0"/>
              <w:jc w:val="center"/>
              <w:rPr>
                <w:color w:val="auto"/>
                <w:szCs w:val="21"/>
              </w:rPr>
            </w:pPr>
            <w:r>
              <w:rPr>
                <w:color w:val="auto"/>
                <w:szCs w:val="21"/>
              </w:rPr>
              <w:t>C</w:t>
            </w:r>
          </w:p>
        </w:tc>
        <w:tc>
          <w:tcPr>
            <w:tcW w:w="0" w:type="auto"/>
            <w:tcBorders>
              <w:tl2br w:val="nil"/>
              <w:tr2bl w:val="nil"/>
            </w:tcBorders>
            <w:vAlign w:val="center"/>
          </w:tcPr>
          <w:p w14:paraId="58BA383C">
            <w:pPr>
              <w:adjustRightInd w:val="0"/>
              <w:jc w:val="center"/>
              <w:rPr>
                <w:color w:val="auto"/>
                <w:szCs w:val="21"/>
              </w:rPr>
            </w:pPr>
          </w:p>
        </w:tc>
        <w:tc>
          <w:tcPr>
            <w:tcW w:w="0" w:type="auto"/>
            <w:tcBorders>
              <w:tl2br w:val="nil"/>
              <w:tr2bl w:val="nil"/>
            </w:tcBorders>
            <w:vAlign w:val="center"/>
          </w:tcPr>
          <w:p w14:paraId="7B0C4669">
            <w:pPr>
              <w:adjustRightInd w:val="0"/>
              <w:jc w:val="center"/>
              <w:rPr>
                <w:color w:val="auto"/>
                <w:szCs w:val="21"/>
              </w:rPr>
            </w:pPr>
          </w:p>
        </w:tc>
        <w:tc>
          <w:tcPr>
            <w:tcW w:w="0" w:type="auto"/>
            <w:tcBorders>
              <w:tl2br w:val="nil"/>
              <w:tr2bl w:val="nil"/>
            </w:tcBorders>
            <w:vAlign w:val="center"/>
          </w:tcPr>
          <w:p w14:paraId="20F62A93">
            <w:pPr>
              <w:adjustRightInd w:val="0"/>
              <w:jc w:val="center"/>
              <w:rPr>
                <w:color w:val="auto"/>
                <w:szCs w:val="21"/>
              </w:rPr>
            </w:pPr>
          </w:p>
        </w:tc>
        <w:tc>
          <w:tcPr>
            <w:tcW w:w="0" w:type="auto"/>
            <w:tcBorders>
              <w:tl2br w:val="nil"/>
              <w:tr2bl w:val="nil"/>
            </w:tcBorders>
            <w:vAlign w:val="center"/>
          </w:tcPr>
          <w:p w14:paraId="1ECC09C5">
            <w:pPr>
              <w:adjustRightInd w:val="0"/>
              <w:jc w:val="center"/>
              <w:rPr>
                <w:color w:val="auto"/>
                <w:szCs w:val="21"/>
              </w:rPr>
            </w:pPr>
          </w:p>
        </w:tc>
      </w:tr>
      <w:tr w14:paraId="16E3E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5DE5BBA">
            <w:pPr>
              <w:adjustRightInd w:val="0"/>
              <w:jc w:val="left"/>
              <w:rPr>
                <w:b/>
                <w:bCs/>
                <w:color w:val="auto"/>
                <w:szCs w:val="21"/>
              </w:rPr>
            </w:pPr>
            <w:r>
              <w:rPr>
                <w:b/>
                <w:bCs/>
                <w:color w:val="auto"/>
                <w:szCs w:val="21"/>
              </w:rPr>
              <w:t>Ⅷ 鸽形目 COLUMBIFORMES</w:t>
            </w:r>
          </w:p>
        </w:tc>
        <w:tc>
          <w:tcPr>
            <w:tcW w:w="0" w:type="auto"/>
            <w:tcBorders>
              <w:tl2br w:val="nil"/>
              <w:tr2bl w:val="nil"/>
            </w:tcBorders>
            <w:vAlign w:val="center"/>
          </w:tcPr>
          <w:p w14:paraId="7E71D6DE">
            <w:pPr>
              <w:adjustRightInd w:val="0"/>
              <w:jc w:val="center"/>
              <w:rPr>
                <w:color w:val="auto"/>
                <w:szCs w:val="21"/>
              </w:rPr>
            </w:pPr>
          </w:p>
        </w:tc>
        <w:tc>
          <w:tcPr>
            <w:tcW w:w="0" w:type="auto"/>
            <w:tcBorders>
              <w:tl2br w:val="nil"/>
              <w:tr2bl w:val="nil"/>
            </w:tcBorders>
            <w:vAlign w:val="center"/>
          </w:tcPr>
          <w:p w14:paraId="704CFCDB">
            <w:pPr>
              <w:adjustRightInd w:val="0"/>
              <w:jc w:val="center"/>
              <w:rPr>
                <w:color w:val="auto"/>
                <w:szCs w:val="21"/>
              </w:rPr>
            </w:pPr>
          </w:p>
        </w:tc>
        <w:tc>
          <w:tcPr>
            <w:tcW w:w="0" w:type="auto"/>
            <w:tcBorders>
              <w:tl2br w:val="nil"/>
              <w:tr2bl w:val="nil"/>
            </w:tcBorders>
            <w:vAlign w:val="center"/>
          </w:tcPr>
          <w:p w14:paraId="548D414A">
            <w:pPr>
              <w:adjustRightInd w:val="0"/>
              <w:jc w:val="center"/>
              <w:rPr>
                <w:color w:val="auto"/>
                <w:szCs w:val="21"/>
              </w:rPr>
            </w:pPr>
          </w:p>
        </w:tc>
        <w:tc>
          <w:tcPr>
            <w:tcW w:w="0" w:type="auto"/>
            <w:tcBorders>
              <w:tl2br w:val="nil"/>
              <w:tr2bl w:val="nil"/>
            </w:tcBorders>
            <w:vAlign w:val="center"/>
          </w:tcPr>
          <w:p w14:paraId="4A0E84BB">
            <w:pPr>
              <w:adjustRightInd w:val="0"/>
              <w:jc w:val="center"/>
              <w:rPr>
                <w:color w:val="auto"/>
                <w:szCs w:val="21"/>
              </w:rPr>
            </w:pPr>
          </w:p>
        </w:tc>
        <w:tc>
          <w:tcPr>
            <w:tcW w:w="0" w:type="auto"/>
            <w:tcBorders>
              <w:tl2br w:val="nil"/>
              <w:tr2bl w:val="nil"/>
            </w:tcBorders>
            <w:vAlign w:val="center"/>
          </w:tcPr>
          <w:p w14:paraId="2A06D366">
            <w:pPr>
              <w:adjustRightInd w:val="0"/>
              <w:jc w:val="center"/>
              <w:rPr>
                <w:color w:val="auto"/>
                <w:szCs w:val="21"/>
              </w:rPr>
            </w:pPr>
          </w:p>
        </w:tc>
        <w:tc>
          <w:tcPr>
            <w:tcW w:w="0" w:type="auto"/>
            <w:tcBorders>
              <w:tl2br w:val="nil"/>
              <w:tr2bl w:val="nil"/>
            </w:tcBorders>
            <w:vAlign w:val="center"/>
          </w:tcPr>
          <w:p w14:paraId="62E8C53F">
            <w:pPr>
              <w:adjustRightInd w:val="0"/>
              <w:jc w:val="center"/>
              <w:rPr>
                <w:color w:val="auto"/>
                <w:szCs w:val="21"/>
              </w:rPr>
            </w:pPr>
          </w:p>
        </w:tc>
      </w:tr>
      <w:tr w14:paraId="1EA53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1767D74">
            <w:pPr>
              <w:adjustRightInd w:val="0"/>
              <w:jc w:val="left"/>
              <w:rPr>
                <w:b/>
                <w:bCs/>
                <w:color w:val="auto"/>
                <w:szCs w:val="21"/>
              </w:rPr>
            </w:pPr>
            <w:r>
              <w:rPr>
                <w:b/>
                <w:bCs/>
                <w:color w:val="auto"/>
                <w:szCs w:val="21"/>
              </w:rPr>
              <w:t>（十四）鸠鸽科 Columbidae</w:t>
            </w:r>
          </w:p>
        </w:tc>
        <w:tc>
          <w:tcPr>
            <w:tcW w:w="0" w:type="auto"/>
            <w:tcBorders>
              <w:tl2br w:val="nil"/>
              <w:tr2bl w:val="nil"/>
            </w:tcBorders>
            <w:vAlign w:val="center"/>
          </w:tcPr>
          <w:p w14:paraId="79B7A880">
            <w:pPr>
              <w:adjustRightInd w:val="0"/>
              <w:jc w:val="center"/>
              <w:rPr>
                <w:color w:val="auto"/>
                <w:szCs w:val="21"/>
              </w:rPr>
            </w:pPr>
          </w:p>
        </w:tc>
        <w:tc>
          <w:tcPr>
            <w:tcW w:w="0" w:type="auto"/>
            <w:tcBorders>
              <w:tl2br w:val="nil"/>
              <w:tr2bl w:val="nil"/>
            </w:tcBorders>
            <w:vAlign w:val="center"/>
          </w:tcPr>
          <w:p w14:paraId="15C81CC8">
            <w:pPr>
              <w:adjustRightInd w:val="0"/>
              <w:jc w:val="center"/>
              <w:rPr>
                <w:color w:val="auto"/>
                <w:szCs w:val="21"/>
              </w:rPr>
            </w:pPr>
          </w:p>
        </w:tc>
        <w:tc>
          <w:tcPr>
            <w:tcW w:w="0" w:type="auto"/>
            <w:tcBorders>
              <w:tl2br w:val="nil"/>
              <w:tr2bl w:val="nil"/>
            </w:tcBorders>
            <w:vAlign w:val="center"/>
          </w:tcPr>
          <w:p w14:paraId="3904D5E3">
            <w:pPr>
              <w:adjustRightInd w:val="0"/>
              <w:jc w:val="center"/>
              <w:rPr>
                <w:color w:val="auto"/>
                <w:szCs w:val="21"/>
              </w:rPr>
            </w:pPr>
          </w:p>
        </w:tc>
        <w:tc>
          <w:tcPr>
            <w:tcW w:w="0" w:type="auto"/>
            <w:tcBorders>
              <w:tl2br w:val="nil"/>
              <w:tr2bl w:val="nil"/>
            </w:tcBorders>
            <w:vAlign w:val="center"/>
          </w:tcPr>
          <w:p w14:paraId="098E25E8">
            <w:pPr>
              <w:adjustRightInd w:val="0"/>
              <w:jc w:val="center"/>
              <w:rPr>
                <w:color w:val="auto"/>
                <w:szCs w:val="21"/>
              </w:rPr>
            </w:pPr>
          </w:p>
        </w:tc>
        <w:tc>
          <w:tcPr>
            <w:tcW w:w="0" w:type="auto"/>
            <w:tcBorders>
              <w:tl2br w:val="nil"/>
              <w:tr2bl w:val="nil"/>
            </w:tcBorders>
            <w:vAlign w:val="center"/>
          </w:tcPr>
          <w:p w14:paraId="2D50F0DA">
            <w:pPr>
              <w:adjustRightInd w:val="0"/>
              <w:jc w:val="center"/>
              <w:rPr>
                <w:color w:val="auto"/>
                <w:szCs w:val="21"/>
              </w:rPr>
            </w:pPr>
          </w:p>
        </w:tc>
        <w:tc>
          <w:tcPr>
            <w:tcW w:w="0" w:type="auto"/>
            <w:tcBorders>
              <w:tl2br w:val="nil"/>
              <w:tr2bl w:val="nil"/>
            </w:tcBorders>
            <w:vAlign w:val="center"/>
          </w:tcPr>
          <w:p w14:paraId="15349E2F">
            <w:pPr>
              <w:adjustRightInd w:val="0"/>
              <w:jc w:val="center"/>
              <w:rPr>
                <w:color w:val="auto"/>
                <w:szCs w:val="21"/>
              </w:rPr>
            </w:pPr>
          </w:p>
        </w:tc>
      </w:tr>
      <w:tr w14:paraId="2A9C7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2B12D4A">
            <w:pPr>
              <w:adjustRightInd w:val="0"/>
              <w:jc w:val="left"/>
              <w:rPr>
                <w:color w:val="auto"/>
                <w:szCs w:val="21"/>
              </w:rPr>
            </w:pPr>
            <w:r>
              <w:rPr>
                <w:color w:val="auto"/>
                <w:szCs w:val="21"/>
              </w:rPr>
              <w:t xml:space="preserve">59 珠颈斑鸠 </w:t>
            </w:r>
            <w:r>
              <w:rPr>
                <w:i/>
                <w:iCs/>
                <w:color w:val="auto"/>
                <w:szCs w:val="21"/>
              </w:rPr>
              <w:t>Streptopelia chinensis</w:t>
            </w:r>
          </w:p>
        </w:tc>
        <w:tc>
          <w:tcPr>
            <w:tcW w:w="0" w:type="auto"/>
            <w:tcBorders>
              <w:tl2br w:val="nil"/>
              <w:tr2bl w:val="nil"/>
            </w:tcBorders>
            <w:vAlign w:val="center"/>
          </w:tcPr>
          <w:p w14:paraId="22233EEF">
            <w:pPr>
              <w:adjustRightInd w:val="0"/>
              <w:jc w:val="center"/>
              <w:rPr>
                <w:color w:val="auto"/>
                <w:szCs w:val="21"/>
              </w:rPr>
            </w:pPr>
            <w:r>
              <w:rPr>
                <w:color w:val="auto"/>
                <w:szCs w:val="21"/>
              </w:rPr>
              <w:t>R</w:t>
            </w:r>
          </w:p>
        </w:tc>
        <w:tc>
          <w:tcPr>
            <w:tcW w:w="0" w:type="auto"/>
            <w:tcBorders>
              <w:tl2br w:val="nil"/>
              <w:tr2bl w:val="nil"/>
            </w:tcBorders>
            <w:vAlign w:val="center"/>
          </w:tcPr>
          <w:p w14:paraId="3D322281">
            <w:pPr>
              <w:adjustRightInd w:val="0"/>
              <w:jc w:val="center"/>
              <w:rPr>
                <w:color w:val="auto"/>
                <w:szCs w:val="21"/>
              </w:rPr>
            </w:pPr>
            <w:r>
              <w:rPr>
                <w:color w:val="auto"/>
                <w:szCs w:val="21"/>
              </w:rPr>
              <w:t>O</w:t>
            </w:r>
          </w:p>
        </w:tc>
        <w:tc>
          <w:tcPr>
            <w:tcW w:w="0" w:type="auto"/>
            <w:tcBorders>
              <w:tl2br w:val="nil"/>
              <w:tr2bl w:val="nil"/>
            </w:tcBorders>
            <w:vAlign w:val="center"/>
          </w:tcPr>
          <w:p w14:paraId="476273DF">
            <w:pPr>
              <w:adjustRightInd w:val="0"/>
              <w:jc w:val="center"/>
              <w:rPr>
                <w:color w:val="auto"/>
                <w:szCs w:val="21"/>
              </w:rPr>
            </w:pPr>
          </w:p>
        </w:tc>
        <w:tc>
          <w:tcPr>
            <w:tcW w:w="0" w:type="auto"/>
            <w:tcBorders>
              <w:tl2br w:val="nil"/>
              <w:tr2bl w:val="nil"/>
            </w:tcBorders>
            <w:vAlign w:val="center"/>
          </w:tcPr>
          <w:p w14:paraId="27041704">
            <w:pPr>
              <w:adjustRightInd w:val="0"/>
              <w:jc w:val="center"/>
              <w:rPr>
                <w:color w:val="auto"/>
                <w:szCs w:val="21"/>
              </w:rPr>
            </w:pPr>
            <w:r>
              <w:rPr>
                <w:color w:val="auto"/>
                <w:szCs w:val="21"/>
              </w:rPr>
              <w:t>三有；湘</w:t>
            </w:r>
          </w:p>
        </w:tc>
        <w:tc>
          <w:tcPr>
            <w:tcW w:w="0" w:type="auto"/>
            <w:tcBorders>
              <w:tl2br w:val="nil"/>
              <w:tr2bl w:val="nil"/>
            </w:tcBorders>
            <w:vAlign w:val="center"/>
          </w:tcPr>
          <w:p w14:paraId="62F3C899">
            <w:pPr>
              <w:adjustRightInd w:val="0"/>
              <w:jc w:val="center"/>
              <w:rPr>
                <w:color w:val="auto"/>
                <w:szCs w:val="21"/>
              </w:rPr>
            </w:pPr>
            <w:r>
              <w:rPr>
                <w:color w:val="auto"/>
                <w:szCs w:val="21"/>
              </w:rPr>
              <w:t>LC</w:t>
            </w:r>
          </w:p>
        </w:tc>
        <w:tc>
          <w:tcPr>
            <w:tcW w:w="0" w:type="auto"/>
            <w:tcBorders>
              <w:tl2br w:val="nil"/>
              <w:tr2bl w:val="nil"/>
            </w:tcBorders>
            <w:vAlign w:val="center"/>
          </w:tcPr>
          <w:p w14:paraId="3D636EBF">
            <w:pPr>
              <w:adjustRightInd w:val="0"/>
              <w:jc w:val="center"/>
              <w:rPr>
                <w:color w:val="auto"/>
                <w:szCs w:val="21"/>
              </w:rPr>
            </w:pPr>
            <w:r>
              <w:rPr>
                <w:color w:val="auto"/>
                <w:szCs w:val="21"/>
              </w:rPr>
              <w:t>K</w:t>
            </w:r>
          </w:p>
        </w:tc>
      </w:tr>
      <w:tr w14:paraId="4E599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F440BA7">
            <w:pPr>
              <w:adjustRightInd w:val="0"/>
              <w:jc w:val="left"/>
              <w:rPr>
                <w:color w:val="auto"/>
                <w:szCs w:val="21"/>
              </w:rPr>
            </w:pPr>
            <w:r>
              <w:rPr>
                <w:color w:val="auto"/>
                <w:szCs w:val="21"/>
              </w:rPr>
              <w:t xml:space="preserve">60 山斑鸠 </w:t>
            </w:r>
            <w:r>
              <w:rPr>
                <w:i/>
                <w:iCs/>
                <w:color w:val="auto"/>
                <w:szCs w:val="21"/>
              </w:rPr>
              <w:t>Streptopelia orientalis</w:t>
            </w:r>
          </w:p>
        </w:tc>
        <w:tc>
          <w:tcPr>
            <w:tcW w:w="0" w:type="auto"/>
            <w:tcBorders>
              <w:tl2br w:val="nil"/>
              <w:tr2bl w:val="nil"/>
            </w:tcBorders>
            <w:vAlign w:val="center"/>
          </w:tcPr>
          <w:p w14:paraId="007FF6E4">
            <w:pPr>
              <w:adjustRightInd w:val="0"/>
              <w:jc w:val="center"/>
              <w:rPr>
                <w:color w:val="auto"/>
                <w:szCs w:val="21"/>
              </w:rPr>
            </w:pPr>
            <w:r>
              <w:rPr>
                <w:color w:val="auto"/>
                <w:szCs w:val="21"/>
              </w:rPr>
              <w:t>R</w:t>
            </w:r>
          </w:p>
        </w:tc>
        <w:tc>
          <w:tcPr>
            <w:tcW w:w="0" w:type="auto"/>
            <w:tcBorders>
              <w:tl2br w:val="nil"/>
              <w:tr2bl w:val="nil"/>
            </w:tcBorders>
            <w:vAlign w:val="center"/>
          </w:tcPr>
          <w:p w14:paraId="482F278C">
            <w:pPr>
              <w:adjustRightInd w:val="0"/>
              <w:jc w:val="center"/>
              <w:rPr>
                <w:color w:val="auto"/>
                <w:szCs w:val="21"/>
              </w:rPr>
            </w:pPr>
            <w:r>
              <w:rPr>
                <w:color w:val="auto"/>
                <w:szCs w:val="21"/>
              </w:rPr>
              <w:t>O</w:t>
            </w:r>
          </w:p>
        </w:tc>
        <w:tc>
          <w:tcPr>
            <w:tcW w:w="0" w:type="auto"/>
            <w:tcBorders>
              <w:tl2br w:val="nil"/>
              <w:tr2bl w:val="nil"/>
            </w:tcBorders>
            <w:vAlign w:val="center"/>
          </w:tcPr>
          <w:p w14:paraId="540D11D5">
            <w:pPr>
              <w:adjustRightInd w:val="0"/>
              <w:jc w:val="center"/>
              <w:rPr>
                <w:color w:val="auto"/>
                <w:szCs w:val="21"/>
              </w:rPr>
            </w:pPr>
          </w:p>
        </w:tc>
        <w:tc>
          <w:tcPr>
            <w:tcW w:w="0" w:type="auto"/>
            <w:tcBorders>
              <w:tl2br w:val="nil"/>
              <w:tr2bl w:val="nil"/>
            </w:tcBorders>
            <w:vAlign w:val="center"/>
          </w:tcPr>
          <w:p w14:paraId="1471F3DF">
            <w:pPr>
              <w:adjustRightInd w:val="0"/>
              <w:jc w:val="center"/>
              <w:rPr>
                <w:color w:val="auto"/>
                <w:szCs w:val="21"/>
              </w:rPr>
            </w:pPr>
            <w:r>
              <w:rPr>
                <w:color w:val="auto"/>
                <w:szCs w:val="21"/>
              </w:rPr>
              <w:t>三有；湘</w:t>
            </w:r>
          </w:p>
        </w:tc>
        <w:tc>
          <w:tcPr>
            <w:tcW w:w="0" w:type="auto"/>
            <w:tcBorders>
              <w:tl2br w:val="nil"/>
              <w:tr2bl w:val="nil"/>
            </w:tcBorders>
            <w:vAlign w:val="center"/>
          </w:tcPr>
          <w:p w14:paraId="72A55D2B">
            <w:pPr>
              <w:adjustRightInd w:val="0"/>
              <w:jc w:val="center"/>
              <w:rPr>
                <w:color w:val="auto"/>
                <w:szCs w:val="21"/>
              </w:rPr>
            </w:pPr>
            <w:r>
              <w:rPr>
                <w:color w:val="auto"/>
                <w:szCs w:val="21"/>
              </w:rPr>
              <w:t>LC</w:t>
            </w:r>
          </w:p>
        </w:tc>
        <w:tc>
          <w:tcPr>
            <w:tcW w:w="0" w:type="auto"/>
            <w:tcBorders>
              <w:tl2br w:val="nil"/>
              <w:tr2bl w:val="nil"/>
            </w:tcBorders>
            <w:vAlign w:val="center"/>
          </w:tcPr>
          <w:p w14:paraId="4CF42C70">
            <w:pPr>
              <w:adjustRightInd w:val="0"/>
              <w:jc w:val="center"/>
              <w:rPr>
                <w:color w:val="auto"/>
                <w:szCs w:val="21"/>
              </w:rPr>
            </w:pPr>
            <w:r>
              <w:rPr>
                <w:color w:val="auto"/>
                <w:szCs w:val="21"/>
              </w:rPr>
              <w:t>K</w:t>
            </w:r>
          </w:p>
        </w:tc>
      </w:tr>
      <w:tr w14:paraId="1820E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EA4F867">
            <w:pPr>
              <w:adjustRightInd w:val="0"/>
              <w:jc w:val="left"/>
              <w:rPr>
                <w:b/>
                <w:bCs/>
                <w:color w:val="auto"/>
                <w:szCs w:val="21"/>
              </w:rPr>
            </w:pPr>
            <w:r>
              <w:rPr>
                <w:b/>
                <w:bCs/>
                <w:color w:val="auto"/>
                <w:szCs w:val="21"/>
              </w:rPr>
              <w:t>Ⅸ 鹃形目 CUCULIFORMES</w:t>
            </w:r>
          </w:p>
        </w:tc>
        <w:tc>
          <w:tcPr>
            <w:tcW w:w="0" w:type="auto"/>
            <w:tcBorders>
              <w:tl2br w:val="nil"/>
              <w:tr2bl w:val="nil"/>
            </w:tcBorders>
            <w:vAlign w:val="center"/>
          </w:tcPr>
          <w:p w14:paraId="79DA7CAD">
            <w:pPr>
              <w:adjustRightInd w:val="0"/>
              <w:jc w:val="center"/>
              <w:rPr>
                <w:color w:val="auto"/>
                <w:szCs w:val="21"/>
              </w:rPr>
            </w:pPr>
          </w:p>
        </w:tc>
        <w:tc>
          <w:tcPr>
            <w:tcW w:w="0" w:type="auto"/>
            <w:tcBorders>
              <w:tl2br w:val="nil"/>
              <w:tr2bl w:val="nil"/>
            </w:tcBorders>
            <w:vAlign w:val="center"/>
          </w:tcPr>
          <w:p w14:paraId="4DEE0351">
            <w:pPr>
              <w:adjustRightInd w:val="0"/>
              <w:jc w:val="center"/>
              <w:rPr>
                <w:color w:val="auto"/>
                <w:szCs w:val="21"/>
              </w:rPr>
            </w:pPr>
          </w:p>
        </w:tc>
        <w:tc>
          <w:tcPr>
            <w:tcW w:w="0" w:type="auto"/>
            <w:tcBorders>
              <w:tl2br w:val="nil"/>
              <w:tr2bl w:val="nil"/>
            </w:tcBorders>
            <w:vAlign w:val="center"/>
          </w:tcPr>
          <w:p w14:paraId="3F0207AD">
            <w:pPr>
              <w:adjustRightInd w:val="0"/>
              <w:jc w:val="center"/>
              <w:rPr>
                <w:color w:val="auto"/>
                <w:szCs w:val="21"/>
              </w:rPr>
            </w:pPr>
          </w:p>
        </w:tc>
        <w:tc>
          <w:tcPr>
            <w:tcW w:w="0" w:type="auto"/>
            <w:tcBorders>
              <w:tl2br w:val="nil"/>
              <w:tr2bl w:val="nil"/>
            </w:tcBorders>
            <w:vAlign w:val="center"/>
          </w:tcPr>
          <w:p w14:paraId="4BED5C1A">
            <w:pPr>
              <w:adjustRightInd w:val="0"/>
              <w:jc w:val="center"/>
              <w:rPr>
                <w:color w:val="auto"/>
                <w:szCs w:val="21"/>
              </w:rPr>
            </w:pPr>
          </w:p>
        </w:tc>
        <w:tc>
          <w:tcPr>
            <w:tcW w:w="0" w:type="auto"/>
            <w:tcBorders>
              <w:tl2br w:val="nil"/>
              <w:tr2bl w:val="nil"/>
            </w:tcBorders>
            <w:vAlign w:val="center"/>
          </w:tcPr>
          <w:p w14:paraId="6BF32CA1">
            <w:pPr>
              <w:adjustRightInd w:val="0"/>
              <w:jc w:val="center"/>
              <w:rPr>
                <w:color w:val="auto"/>
                <w:szCs w:val="21"/>
              </w:rPr>
            </w:pPr>
          </w:p>
        </w:tc>
        <w:tc>
          <w:tcPr>
            <w:tcW w:w="0" w:type="auto"/>
            <w:tcBorders>
              <w:tl2br w:val="nil"/>
              <w:tr2bl w:val="nil"/>
            </w:tcBorders>
            <w:vAlign w:val="center"/>
          </w:tcPr>
          <w:p w14:paraId="6B041EDC">
            <w:pPr>
              <w:adjustRightInd w:val="0"/>
              <w:jc w:val="center"/>
              <w:rPr>
                <w:color w:val="auto"/>
                <w:szCs w:val="21"/>
              </w:rPr>
            </w:pPr>
          </w:p>
        </w:tc>
      </w:tr>
      <w:tr w14:paraId="6B1B1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046BFC0">
            <w:pPr>
              <w:adjustRightInd w:val="0"/>
              <w:jc w:val="left"/>
              <w:rPr>
                <w:b/>
                <w:bCs/>
                <w:color w:val="auto"/>
                <w:szCs w:val="21"/>
              </w:rPr>
            </w:pPr>
            <w:r>
              <w:rPr>
                <w:b/>
                <w:bCs/>
                <w:color w:val="auto"/>
                <w:szCs w:val="21"/>
              </w:rPr>
              <w:t>（十五）杜鹃科 Cuculidae</w:t>
            </w:r>
          </w:p>
        </w:tc>
        <w:tc>
          <w:tcPr>
            <w:tcW w:w="0" w:type="auto"/>
            <w:tcBorders>
              <w:tl2br w:val="nil"/>
              <w:tr2bl w:val="nil"/>
            </w:tcBorders>
            <w:vAlign w:val="center"/>
          </w:tcPr>
          <w:p w14:paraId="753708CE">
            <w:pPr>
              <w:adjustRightInd w:val="0"/>
              <w:jc w:val="center"/>
              <w:rPr>
                <w:color w:val="auto"/>
                <w:szCs w:val="21"/>
              </w:rPr>
            </w:pPr>
          </w:p>
        </w:tc>
        <w:tc>
          <w:tcPr>
            <w:tcW w:w="0" w:type="auto"/>
            <w:tcBorders>
              <w:tl2br w:val="nil"/>
              <w:tr2bl w:val="nil"/>
            </w:tcBorders>
            <w:vAlign w:val="center"/>
          </w:tcPr>
          <w:p w14:paraId="5B59C1CB">
            <w:pPr>
              <w:adjustRightInd w:val="0"/>
              <w:jc w:val="center"/>
              <w:rPr>
                <w:color w:val="auto"/>
                <w:szCs w:val="21"/>
              </w:rPr>
            </w:pPr>
          </w:p>
        </w:tc>
        <w:tc>
          <w:tcPr>
            <w:tcW w:w="0" w:type="auto"/>
            <w:tcBorders>
              <w:tl2br w:val="nil"/>
              <w:tr2bl w:val="nil"/>
            </w:tcBorders>
            <w:vAlign w:val="center"/>
          </w:tcPr>
          <w:p w14:paraId="1D6C656F">
            <w:pPr>
              <w:adjustRightInd w:val="0"/>
              <w:jc w:val="center"/>
              <w:rPr>
                <w:color w:val="auto"/>
                <w:szCs w:val="21"/>
              </w:rPr>
            </w:pPr>
          </w:p>
        </w:tc>
        <w:tc>
          <w:tcPr>
            <w:tcW w:w="0" w:type="auto"/>
            <w:tcBorders>
              <w:tl2br w:val="nil"/>
              <w:tr2bl w:val="nil"/>
            </w:tcBorders>
            <w:vAlign w:val="center"/>
          </w:tcPr>
          <w:p w14:paraId="627C213F">
            <w:pPr>
              <w:adjustRightInd w:val="0"/>
              <w:jc w:val="center"/>
              <w:rPr>
                <w:color w:val="auto"/>
                <w:szCs w:val="21"/>
              </w:rPr>
            </w:pPr>
          </w:p>
        </w:tc>
        <w:tc>
          <w:tcPr>
            <w:tcW w:w="0" w:type="auto"/>
            <w:tcBorders>
              <w:tl2br w:val="nil"/>
              <w:tr2bl w:val="nil"/>
            </w:tcBorders>
            <w:vAlign w:val="center"/>
          </w:tcPr>
          <w:p w14:paraId="4F146A7E">
            <w:pPr>
              <w:adjustRightInd w:val="0"/>
              <w:jc w:val="center"/>
              <w:rPr>
                <w:color w:val="auto"/>
                <w:szCs w:val="21"/>
              </w:rPr>
            </w:pPr>
          </w:p>
        </w:tc>
        <w:tc>
          <w:tcPr>
            <w:tcW w:w="0" w:type="auto"/>
            <w:tcBorders>
              <w:tl2br w:val="nil"/>
              <w:tr2bl w:val="nil"/>
            </w:tcBorders>
            <w:vAlign w:val="center"/>
          </w:tcPr>
          <w:p w14:paraId="5D46403C">
            <w:pPr>
              <w:adjustRightInd w:val="0"/>
              <w:jc w:val="center"/>
              <w:rPr>
                <w:color w:val="auto"/>
                <w:szCs w:val="21"/>
              </w:rPr>
            </w:pPr>
          </w:p>
        </w:tc>
      </w:tr>
      <w:tr w14:paraId="258B9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A3B5052">
            <w:pPr>
              <w:adjustRightInd w:val="0"/>
              <w:jc w:val="left"/>
              <w:rPr>
                <w:color w:val="auto"/>
                <w:szCs w:val="21"/>
              </w:rPr>
            </w:pPr>
            <w:r>
              <w:rPr>
                <w:color w:val="auto"/>
                <w:szCs w:val="21"/>
              </w:rPr>
              <w:t xml:space="preserve">61 大杜鹃 </w:t>
            </w:r>
            <w:r>
              <w:rPr>
                <w:i/>
                <w:iCs/>
                <w:color w:val="auto"/>
                <w:szCs w:val="21"/>
              </w:rPr>
              <w:t>Cuculus canorus</w:t>
            </w:r>
          </w:p>
        </w:tc>
        <w:tc>
          <w:tcPr>
            <w:tcW w:w="0" w:type="auto"/>
            <w:tcBorders>
              <w:tl2br w:val="nil"/>
              <w:tr2bl w:val="nil"/>
            </w:tcBorders>
            <w:vAlign w:val="center"/>
          </w:tcPr>
          <w:p w14:paraId="20850EC4">
            <w:pPr>
              <w:adjustRightInd w:val="0"/>
              <w:jc w:val="center"/>
              <w:rPr>
                <w:color w:val="auto"/>
                <w:szCs w:val="21"/>
              </w:rPr>
            </w:pPr>
            <w:r>
              <w:rPr>
                <w:color w:val="auto"/>
                <w:szCs w:val="21"/>
              </w:rPr>
              <w:t>S</w:t>
            </w:r>
          </w:p>
        </w:tc>
        <w:tc>
          <w:tcPr>
            <w:tcW w:w="0" w:type="auto"/>
            <w:tcBorders>
              <w:tl2br w:val="nil"/>
              <w:tr2bl w:val="nil"/>
            </w:tcBorders>
            <w:vAlign w:val="center"/>
          </w:tcPr>
          <w:p w14:paraId="2B9438CA">
            <w:pPr>
              <w:adjustRightInd w:val="0"/>
              <w:jc w:val="center"/>
              <w:rPr>
                <w:color w:val="auto"/>
                <w:szCs w:val="21"/>
              </w:rPr>
            </w:pPr>
            <w:r>
              <w:rPr>
                <w:color w:val="auto"/>
                <w:szCs w:val="21"/>
              </w:rPr>
              <w:t>C</w:t>
            </w:r>
          </w:p>
        </w:tc>
        <w:tc>
          <w:tcPr>
            <w:tcW w:w="0" w:type="auto"/>
            <w:tcBorders>
              <w:tl2br w:val="nil"/>
              <w:tr2bl w:val="nil"/>
            </w:tcBorders>
            <w:vAlign w:val="center"/>
          </w:tcPr>
          <w:p w14:paraId="70537113">
            <w:pPr>
              <w:adjustRightInd w:val="0"/>
              <w:jc w:val="center"/>
              <w:rPr>
                <w:color w:val="auto"/>
                <w:szCs w:val="21"/>
              </w:rPr>
            </w:pPr>
          </w:p>
        </w:tc>
        <w:tc>
          <w:tcPr>
            <w:tcW w:w="0" w:type="auto"/>
            <w:tcBorders>
              <w:tl2br w:val="nil"/>
              <w:tr2bl w:val="nil"/>
            </w:tcBorders>
            <w:vAlign w:val="center"/>
          </w:tcPr>
          <w:p w14:paraId="4C25E1FC">
            <w:pPr>
              <w:adjustRightInd w:val="0"/>
              <w:jc w:val="center"/>
              <w:rPr>
                <w:color w:val="auto"/>
                <w:szCs w:val="21"/>
              </w:rPr>
            </w:pPr>
            <w:r>
              <w:rPr>
                <w:color w:val="auto"/>
                <w:szCs w:val="21"/>
              </w:rPr>
              <w:t>三有；湘</w:t>
            </w:r>
          </w:p>
        </w:tc>
        <w:tc>
          <w:tcPr>
            <w:tcW w:w="0" w:type="auto"/>
            <w:tcBorders>
              <w:tl2br w:val="nil"/>
              <w:tr2bl w:val="nil"/>
            </w:tcBorders>
            <w:vAlign w:val="center"/>
          </w:tcPr>
          <w:p w14:paraId="645B5297">
            <w:pPr>
              <w:adjustRightInd w:val="0"/>
              <w:jc w:val="center"/>
              <w:rPr>
                <w:color w:val="auto"/>
                <w:szCs w:val="21"/>
              </w:rPr>
            </w:pPr>
            <w:r>
              <w:rPr>
                <w:color w:val="auto"/>
                <w:szCs w:val="21"/>
              </w:rPr>
              <w:t>LC</w:t>
            </w:r>
          </w:p>
        </w:tc>
        <w:tc>
          <w:tcPr>
            <w:tcW w:w="0" w:type="auto"/>
            <w:tcBorders>
              <w:tl2br w:val="nil"/>
              <w:tr2bl w:val="nil"/>
            </w:tcBorders>
            <w:vAlign w:val="center"/>
          </w:tcPr>
          <w:p w14:paraId="1E7C6717">
            <w:pPr>
              <w:adjustRightInd w:val="0"/>
              <w:jc w:val="center"/>
              <w:rPr>
                <w:color w:val="auto"/>
                <w:szCs w:val="21"/>
              </w:rPr>
            </w:pPr>
            <w:r>
              <w:rPr>
                <w:color w:val="auto"/>
                <w:szCs w:val="21"/>
              </w:rPr>
              <w:t>K</w:t>
            </w:r>
          </w:p>
        </w:tc>
      </w:tr>
      <w:tr w14:paraId="08397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72BC271">
            <w:pPr>
              <w:adjustRightInd w:val="0"/>
              <w:jc w:val="left"/>
              <w:rPr>
                <w:color w:val="auto"/>
                <w:szCs w:val="21"/>
              </w:rPr>
            </w:pPr>
            <w:r>
              <w:rPr>
                <w:color w:val="auto"/>
                <w:szCs w:val="21"/>
              </w:rPr>
              <w:t xml:space="preserve">62 噪鹃 </w:t>
            </w:r>
            <w:r>
              <w:rPr>
                <w:i/>
                <w:iCs/>
                <w:color w:val="auto"/>
                <w:szCs w:val="21"/>
              </w:rPr>
              <w:t>Eudynamys scolopacea</w:t>
            </w:r>
          </w:p>
        </w:tc>
        <w:tc>
          <w:tcPr>
            <w:tcW w:w="0" w:type="auto"/>
            <w:tcBorders>
              <w:tl2br w:val="nil"/>
              <w:tr2bl w:val="nil"/>
            </w:tcBorders>
            <w:vAlign w:val="center"/>
          </w:tcPr>
          <w:p w14:paraId="64CF7025">
            <w:pPr>
              <w:adjustRightInd w:val="0"/>
              <w:jc w:val="center"/>
              <w:rPr>
                <w:color w:val="auto"/>
                <w:szCs w:val="21"/>
              </w:rPr>
            </w:pPr>
            <w:r>
              <w:rPr>
                <w:color w:val="auto"/>
                <w:szCs w:val="21"/>
              </w:rPr>
              <w:t>R</w:t>
            </w:r>
          </w:p>
        </w:tc>
        <w:tc>
          <w:tcPr>
            <w:tcW w:w="0" w:type="auto"/>
            <w:tcBorders>
              <w:tl2br w:val="nil"/>
              <w:tr2bl w:val="nil"/>
            </w:tcBorders>
            <w:vAlign w:val="center"/>
          </w:tcPr>
          <w:p w14:paraId="050E2877">
            <w:pPr>
              <w:adjustRightInd w:val="0"/>
              <w:jc w:val="center"/>
              <w:rPr>
                <w:color w:val="auto"/>
                <w:szCs w:val="21"/>
              </w:rPr>
            </w:pPr>
            <w:r>
              <w:rPr>
                <w:color w:val="auto"/>
                <w:szCs w:val="21"/>
              </w:rPr>
              <w:t>O</w:t>
            </w:r>
          </w:p>
        </w:tc>
        <w:tc>
          <w:tcPr>
            <w:tcW w:w="0" w:type="auto"/>
            <w:tcBorders>
              <w:tl2br w:val="nil"/>
              <w:tr2bl w:val="nil"/>
            </w:tcBorders>
            <w:vAlign w:val="center"/>
          </w:tcPr>
          <w:p w14:paraId="0B331BB9">
            <w:pPr>
              <w:adjustRightInd w:val="0"/>
              <w:jc w:val="center"/>
              <w:rPr>
                <w:color w:val="auto"/>
                <w:szCs w:val="21"/>
              </w:rPr>
            </w:pPr>
          </w:p>
        </w:tc>
        <w:tc>
          <w:tcPr>
            <w:tcW w:w="0" w:type="auto"/>
            <w:tcBorders>
              <w:tl2br w:val="nil"/>
              <w:tr2bl w:val="nil"/>
            </w:tcBorders>
            <w:vAlign w:val="center"/>
          </w:tcPr>
          <w:p w14:paraId="42BB4E6A">
            <w:pPr>
              <w:adjustRightInd w:val="0"/>
              <w:jc w:val="center"/>
              <w:rPr>
                <w:color w:val="auto"/>
                <w:szCs w:val="21"/>
              </w:rPr>
            </w:pPr>
            <w:r>
              <w:rPr>
                <w:color w:val="auto"/>
                <w:szCs w:val="21"/>
              </w:rPr>
              <w:t>三有；湘</w:t>
            </w:r>
          </w:p>
        </w:tc>
        <w:tc>
          <w:tcPr>
            <w:tcW w:w="0" w:type="auto"/>
            <w:tcBorders>
              <w:tl2br w:val="nil"/>
              <w:tr2bl w:val="nil"/>
            </w:tcBorders>
            <w:vAlign w:val="center"/>
          </w:tcPr>
          <w:p w14:paraId="26BC19EB">
            <w:pPr>
              <w:adjustRightInd w:val="0"/>
              <w:jc w:val="center"/>
              <w:rPr>
                <w:color w:val="auto"/>
                <w:szCs w:val="21"/>
              </w:rPr>
            </w:pPr>
            <w:r>
              <w:rPr>
                <w:color w:val="auto"/>
                <w:szCs w:val="21"/>
              </w:rPr>
              <w:t>LC</w:t>
            </w:r>
          </w:p>
        </w:tc>
        <w:tc>
          <w:tcPr>
            <w:tcW w:w="0" w:type="auto"/>
            <w:tcBorders>
              <w:tl2br w:val="nil"/>
              <w:tr2bl w:val="nil"/>
            </w:tcBorders>
            <w:vAlign w:val="center"/>
          </w:tcPr>
          <w:p w14:paraId="193B04F2">
            <w:pPr>
              <w:adjustRightInd w:val="0"/>
              <w:jc w:val="center"/>
              <w:rPr>
                <w:color w:val="auto"/>
                <w:szCs w:val="21"/>
              </w:rPr>
            </w:pPr>
            <w:r>
              <w:rPr>
                <w:color w:val="auto"/>
                <w:szCs w:val="21"/>
              </w:rPr>
              <w:t>K</w:t>
            </w:r>
          </w:p>
        </w:tc>
      </w:tr>
      <w:tr w14:paraId="46E40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EA5C3D2">
            <w:pPr>
              <w:adjustRightInd w:val="0"/>
              <w:jc w:val="left"/>
              <w:rPr>
                <w:color w:val="auto"/>
                <w:szCs w:val="21"/>
              </w:rPr>
            </w:pPr>
            <w:r>
              <w:rPr>
                <w:color w:val="auto"/>
                <w:szCs w:val="21"/>
              </w:rPr>
              <w:t xml:space="preserve">63 小鸦鹃 </w:t>
            </w:r>
            <w:r>
              <w:rPr>
                <w:i/>
                <w:iCs/>
                <w:color w:val="auto"/>
                <w:szCs w:val="21"/>
              </w:rPr>
              <w:t>Centropus bengalensis</w:t>
            </w:r>
          </w:p>
        </w:tc>
        <w:tc>
          <w:tcPr>
            <w:tcW w:w="0" w:type="auto"/>
            <w:tcBorders>
              <w:tl2br w:val="nil"/>
              <w:tr2bl w:val="nil"/>
            </w:tcBorders>
            <w:vAlign w:val="center"/>
          </w:tcPr>
          <w:p w14:paraId="585610A0">
            <w:pPr>
              <w:adjustRightInd w:val="0"/>
              <w:jc w:val="center"/>
              <w:rPr>
                <w:color w:val="auto"/>
                <w:szCs w:val="21"/>
              </w:rPr>
            </w:pPr>
            <w:r>
              <w:rPr>
                <w:color w:val="auto"/>
                <w:szCs w:val="21"/>
              </w:rPr>
              <w:t>S</w:t>
            </w:r>
          </w:p>
        </w:tc>
        <w:tc>
          <w:tcPr>
            <w:tcW w:w="0" w:type="auto"/>
            <w:tcBorders>
              <w:tl2br w:val="nil"/>
              <w:tr2bl w:val="nil"/>
            </w:tcBorders>
            <w:vAlign w:val="center"/>
          </w:tcPr>
          <w:p w14:paraId="78C8B2F2">
            <w:pPr>
              <w:adjustRightInd w:val="0"/>
              <w:jc w:val="center"/>
              <w:rPr>
                <w:color w:val="auto"/>
                <w:szCs w:val="21"/>
              </w:rPr>
            </w:pPr>
            <w:r>
              <w:rPr>
                <w:color w:val="auto"/>
                <w:szCs w:val="21"/>
              </w:rPr>
              <w:t>P</w:t>
            </w:r>
          </w:p>
        </w:tc>
        <w:tc>
          <w:tcPr>
            <w:tcW w:w="0" w:type="auto"/>
            <w:tcBorders>
              <w:tl2br w:val="nil"/>
              <w:tr2bl w:val="nil"/>
            </w:tcBorders>
            <w:vAlign w:val="center"/>
          </w:tcPr>
          <w:p w14:paraId="4685F289">
            <w:pPr>
              <w:adjustRightInd w:val="0"/>
              <w:jc w:val="center"/>
              <w:rPr>
                <w:color w:val="auto"/>
                <w:szCs w:val="21"/>
              </w:rPr>
            </w:pPr>
          </w:p>
        </w:tc>
        <w:tc>
          <w:tcPr>
            <w:tcW w:w="0" w:type="auto"/>
            <w:tcBorders>
              <w:tl2br w:val="nil"/>
              <w:tr2bl w:val="nil"/>
            </w:tcBorders>
            <w:vAlign w:val="center"/>
          </w:tcPr>
          <w:p w14:paraId="1BB65F18">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3E6ACFB8">
            <w:pPr>
              <w:adjustRightInd w:val="0"/>
              <w:jc w:val="center"/>
              <w:rPr>
                <w:color w:val="auto"/>
                <w:szCs w:val="21"/>
              </w:rPr>
            </w:pPr>
            <w:r>
              <w:rPr>
                <w:color w:val="auto"/>
                <w:szCs w:val="21"/>
              </w:rPr>
              <w:t>LC</w:t>
            </w:r>
          </w:p>
        </w:tc>
        <w:tc>
          <w:tcPr>
            <w:tcW w:w="0" w:type="auto"/>
            <w:tcBorders>
              <w:tl2br w:val="nil"/>
              <w:tr2bl w:val="nil"/>
            </w:tcBorders>
            <w:vAlign w:val="center"/>
          </w:tcPr>
          <w:p w14:paraId="22AFA1EF">
            <w:pPr>
              <w:adjustRightInd w:val="0"/>
              <w:jc w:val="center"/>
              <w:rPr>
                <w:color w:val="auto"/>
                <w:szCs w:val="21"/>
              </w:rPr>
            </w:pPr>
            <w:r>
              <w:rPr>
                <w:color w:val="auto"/>
                <w:szCs w:val="21"/>
              </w:rPr>
              <w:t>Z</w:t>
            </w:r>
          </w:p>
        </w:tc>
      </w:tr>
      <w:tr w14:paraId="35D70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56E88FF">
            <w:pPr>
              <w:adjustRightInd w:val="0"/>
              <w:jc w:val="left"/>
              <w:rPr>
                <w:b/>
                <w:bCs/>
                <w:color w:val="auto"/>
                <w:szCs w:val="21"/>
              </w:rPr>
            </w:pPr>
            <w:r>
              <w:rPr>
                <w:b/>
                <w:bCs/>
                <w:color w:val="auto"/>
                <w:szCs w:val="21"/>
              </w:rPr>
              <w:t>Ⅹ 佛法僧目 CORACIIFORMES</w:t>
            </w:r>
          </w:p>
        </w:tc>
        <w:tc>
          <w:tcPr>
            <w:tcW w:w="0" w:type="auto"/>
            <w:tcBorders>
              <w:tl2br w:val="nil"/>
              <w:tr2bl w:val="nil"/>
            </w:tcBorders>
            <w:vAlign w:val="center"/>
          </w:tcPr>
          <w:p w14:paraId="6C8A7819">
            <w:pPr>
              <w:adjustRightInd w:val="0"/>
              <w:jc w:val="center"/>
              <w:rPr>
                <w:color w:val="auto"/>
                <w:szCs w:val="21"/>
              </w:rPr>
            </w:pPr>
          </w:p>
        </w:tc>
        <w:tc>
          <w:tcPr>
            <w:tcW w:w="0" w:type="auto"/>
            <w:tcBorders>
              <w:tl2br w:val="nil"/>
              <w:tr2bl w:val="nil"/>
            </w:tcBorders>
            <w:vAlign w:val="center"/>
          </w:tcPr>
          <w:p w14:paraId="172E52A4">
            <w:pPr>
              <w:adjustRightInd w:val="0"/>
              <w:jc w:val="center"/>
              <w:rPr>
                <w:color w:val="auto"/>
                <w:szCs w:val="21"/>
              </w:rPr>
            </w:pPr>
          </w:p>
        </w:tc>
        <w:tc>
          <w:tcPr>
            <w:tcW w:w="0" w:type="auto"/>
            <w:tcBorders>
              <w:tl2br w:val="nil"/>
              <w:tr2bl w:val="nil"/>
            </w:tcBorders>
            <w:vAlign w:val="center"/>
          </w:tcPr>
          <w:p w14:paraId="67252548">
            <w:pPr>
              <w:adjustRightInd w:val="0"/>
              <w:jc w:val="center"/>
              <w:rPr>
                <w:color w:val="auto"/>
                <w:szCs w:val="21"/>
              </w:rPr>
            </w:pPr>
          </w:p>
        </w:tc>
        <w:tc>
          <w:tcPr>
            <w:tcW w:w="0" w:type="auto"/>
            <w:tcBorders>
              <w:tl2br w:val="nil"/>
              <w:tr2bl w:val="nil"/>
            </w:tcBorders>
            <w:vAlign w:val="center"/>
          </w:tcPr>
          <w:p w14:paraId="171434D8">
            <w:pPr>
              <w:adjustRightInd w:val="0"/>
              <w:jc w:val="center"/>
              <w:rPr>
                <w:color w:val="auto"/>
                <w:szCs w:val="21"/>
              </w:rPr>
            </w:pPr>
          </w:p>
        </w:tc>
        <w:tc>
          <w:tcPr>
            <w:tcW w:w="0" w:type="auto"/>
            <w:tcBorders>
              <w:tl2br w:val="nil"/>
              <w:tr2bl w:val="nil"/>
            </w:tcBorders>
            <w:vAlign w:val="center"/>
          </w:tcPr>
          <w:p w14:paraId="7D3BF557">
            <w:pPr>
              <w:adjustRightInd w:val="0"/>
              <w:jc w:val="center"/>
              <w:rPr>
                <w:color w:val="auto"/>
                <w:szCs w:val="21"/>
              </w:rPr>
            </w:pPr>
          </w:p>
        </w:tc>
        <w:tc>
          <w:tcPr>
            <w:tcW w:w="0" w:type="auto"/>
            <w:tcBorders>
              <w:tl2br w:val="nil"/>
              <w:tr2bl w:val="nil"/>
            </w:tcBorders>
            <w:vAlign w:val="center"/>
          </w:tcPr>
          <w:p w14:paraId="004017A0">
            <w:pPr>
              <w:adjustRightInd w:val="0"/>
              <w:jc w:val="center"/>
              <w:rPr>
                <w:color w:val="auto"/>
                <w:szCs w:val="21"/>
              </w:rPr>
            </w:pPr>
          </w:p>
        </w:tc>
      </w:tr>
      <w:tr w14:paraId="710F0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4975773">
            <w:pPr>
              <w:adjustRightInd w:val="0"/>
              <w:jc w:val="left"/>
              <w:rPr>
                <w:b/>
                <w:bCs/>
                <w:color w:val="auto"/>
                <w:szCs w:val="21"/>
              </w:rPr>
            </w:pPr>
            <w:r>
              <w:rPr>
                <w:b/>
                <w:bCs/>
                <w:color w:val="auto"/>
                <w:szCs w:val="21"/>
              </w:rPr>
              <w:t>（十六）翠鸟科 Alcedinidae</w:t>
            </w:r>
          </w:p>
        </w:tc>
        <w:tc>
          <w:tcPr>
            <w:tcW w:w="0" w:type="auto"/>
            <w:tcBorders>
              <w:tl2br w:val="nil"/>
              <w:tr2bl w:val="nil"/>
            </w:tcBorders>
            <w:vAlign w:val="center"/>
          </w:tcPr>
          <w:p w14:paraId="0D029E7D">
            <w:pPr>
              <w:adjustRightInd w:val="0"/>
              <w:jc w:val="center"/>
              <w:rPr>
                <w:color w:val="auto"/>
                <w:szCs w:val="21"/>
              </w:rPr>
            </w:pPr>
          </w:p>
        </w:tc>
        <w:tc>
          <w:tcPr>
            <w:tcW w:w="0" w:type="auto"/>
            <w:tcBorders>
              <w:tl2br w:val="nil"/>
              <w:tr2bl w:val="nil"/>
            </w:tcBorders>
            <w:vAlign w:val="center"/>
          </w:tcPr>
          <w:p w14:paraId="3886CE5E">
            <w:pPr>
              <w:adjustRightInd w:val="0"/>
              <w:jc w:val="center"/>
              <w:rPr>
                <w:color w:val="auto"/>
                <w:szCs w:val="21"/>
              </w:rPr>
            </w:pPr>
          </w:p>
        </w:tc>
        <w:tc>
          <w:tcPr>
            <w:tcW w:w="0" w:type="auto"/>
            <w:tcBorders>
              <w:tl2br w:val="nil"/>
              <w:tr2bl w:val="nil"/>
            </w:tcBorders>
            <w:vAlign w:val="center"/>
          </w:tcPr>
          <w:p w14:paraId="26A7C564">
            <w:pPr>
              <w:adjustRightInd w:val="0"/>
              <w:jc w:val="center"/>
              <w:rPr>
                <w:color w:val="auto"/>
                <w:szCs w:val="21"/>
              </w:rPr>
            </w:pPr>
          </w:p>
        </w:tc>
        <w:tc>
          <w:tcPr>
            <w:tcW w:w="0" w:type="auto"/>
            <w:tcBorders>
              <w:tl2br w:val="nil"/>
              <w:tr2bl w:val="nil"/>
            </w:tcBorders>
            <w:vAlign w:val="center"/>
          </w:tcPr>
          <w:p w14:paraId="0D4C4D9F">
            <w:pPr>
              <w:adjustRightInd w:val="0"/>
              <w:jc w:val="center"/>
              <w:rPr>
                <w:color w:val="auto"/>
                <w:szCs w:val="21"/>
              </w:rPr>
            </w:pPr>
          </w:p>
        </w:tc>
        <w:tc>
          <w:tcPr>
            <w:tcW w:w="0" w:type="auto"/>
            <w:tcBorders>
              <w:tl2br w:val="nil"/>
              <w:tr2bl w:val="nil"/>
            </w:tcBorders>
            <w:vAlign w:val="center"/>
          </w:tcPr>
          <w:p w14:paraId="434A7A65">
            <w:pPr>
              <w:adjustRightInd w:val="0"/>
              <w:jc w:val="center"/>
              <w:rPr>
                <w:color w:val="auto"/>
                <w:szCs w:val="21"/>
              </w:rPr>
            </w:pPr>
          </w:p>
        </w:tc>
        <w:tc>
          <w:tcPr>
            <w:tcW w:w="0" w:type="auto"/>
            <w:tcBorders>
              <w:tl2br w:val="nil"/>
              <w:tr2bl w:val="nil"/>
            </w:tcBorders>
            <w:vAlign w:val="center"/>
          </w:tcPr>
          <w:p w14:paraId="1B463FEC">
            <w:pPr>
              <w:adjustRightInd w:val="0"/>
              <w:jc w:val="center"/>
              <w:rPr>
                <w:color w:val="auto"/>
                <w:szCs w:val="21"/>
              </w:rPr>
            </w:pPr>
          </w:p>
        </w:tc>
      </w:tr>
      <w:tr w14:paraId="74F47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7D7F4F9">
            <w:pPr>
              <w:adjustRightInd w:val="0"/>
              <w:jc w:val="left"/>
              <w:rPr>
                <w:color w:val="auto"/>
                <w:szCs w:val="21"/>
              </w:rPr>
            </w:pPr>
            <w:r>
              <w:rPr>
                <w:color w:val="auto"/>
                <w:szCs w:val="21"/>
              </w:rPr>
              <w:t xml:space="preserve">64 普通翠鸟 </w:t>
            </w:r>
            <w:r>
              <w:rPr>
                <w:i/>
                <w:iCs/>
                <w:color w:val="auto"/>
                <w:szCs w:val="21"/>
              </w:rPr>
              <w:t>Alcedo atthis</w:t>
            </w:r>
          </w:p>
        </w:tc>
        <w:tc>
          <w:tcPr>
            <w:tcW w:w="0" w:type="auto"/>
            <w:tcBorders>
              <w:tl2br w:val="nil"/>
              <w:tr2bl w:val="nil"/>
            </w:tcBorders>
            <w:vAlign w:val="center"/>
          </w:tcPr>
          <w:p w14:paraId="62DDECDD">
            <w:pPr>
              <w:adjustRightInd w:val="0"/>
              <w:jc w:val="center"/>
              <w:rPr>
                <w:color w:val="auto"/>
                <w:szCs w:val="21"/>
              </w:rPr>
            </w:pPr>
            <w:r>
              <w:rPr>
                <w:color w:val="auto"/>
                <w:szCs w:val="21"/>
              </w:rPr>
              <w:t>R</w:t>
            </w:r>
          </w:p>
        </w:tc>
        <w:tc>
          <w:tcPr>
            <w:tcW w:w="0" w:type="auto"/>
            <w:tcBorders>
              <w:tl2br w:val="nil"/>
              <w:tr2bl w:val="nil"/>
            </w:tcBorders>
            <w:vAlign w:val="center"/>
          </w:tcPr>
          <w:p w14:paraId="76D4D683">
            <w:pPr>
              <w:adjustRightInd w:val="0"/>
              <w:jc w:val="center"/>
              <w:rPr>
                <w:color w:val="auto"/>
                <w:szCs w:val="21"/>
              </w:rPr>
            </w:pPr>
            <w:r>
              <w:rPr>
                <w:color w:val="auto"/>
                <w:szCs w:val="21"/>
              </w:rPr>
              <w:t>C</w:t>
            </w:r>
          </w:p>
        </w:tc>
        <w:tc>
          <w:tcPr>
            <w:tcW w:w="0" w:type="auto"/>
            <w:tcBorders>
              <w:tl2br w:val="nil"/>
              <w:tr2bl w:val="nil"/>
            </w:tcBorders>
            <w:vAlign w:val="center"/>
          </w:tcPr>
          <w:p w14:paraId="5E3665EF">
            <w:pPr>
              <w:adjustRightInd w:val="0"/>
              <w:jc w:val="center"/>
              <w:rPr>
                <w:color w:val="auto"/>
                <w:szCs w:val="21"/>
              </w:rPr>
            </w:pPr>
          </w:p>
        </w:tc>
        <w:tc>
          <w:tcPr>
            <w:tcW w:w="0" w:type="auto"/>
            <w:tcBorders>
              <w:tl2br w:val="nil"/>
              <w:tr2bl w:val="nil"/>
            </w:tcBorders>
            <w:vAlign w:val="center"/>
          </w:tcPr>
          <w:p w14:paraId="67F175E3">
            <w:pPr>
              <w:adjustRightInd w:val="0"/>
              <w:jc w:val="center"/>
              <w:rPr>
                <w:color w:val="auto"/>
                <w:szCs w:val="21"/>
              </w:rPr>
            </w:pPr>
            <w:r>
              <w:rPr>
                <w:color w:val="auto"/>
                <w:szCs w:val="21"/>
              </w:rPr>
              <w:t>三有；湘</w:t>
            </w:r>
          </w:p>
        </w:tc>
        <w:tc>
          <w:tcPr>
            <w:tcW w:w="0" w:type="auto"/>
            <w:tcBorders>
              <w:tl2br w:val="nil"/>
              <w:tr2bl w:val="nil"/>
            </w:tcBorders>
            <w:vAlign w:val="center"/>
          </w:tcPr>
          <w:p w14:paraId="35446D2B">
            <w:pPr>
              <w:adjustRightInd w:val="0"/>
              <w:jc w:val="center"/>
              <w:rPr>
                <w:color w:val="auto"/>
                <w:szCs w:val="21"/>
              </w:rPr>
            </w:pPr>
            <w:r>
              <w:rPr>
                <w:color w:val="auto"/>
                <w:szCs w:val="21"/>
              </w:rPr>
              <w:t>LC</w:t>
            </w:r>
          </w:p>
        </w:tc>
        <w:tc>
          <w:tcPr>
            <w:tcW w:w="0" w:type="auto"/>
            <w:tcBorders>
              <w:tl2br w:val="nil"/>
              <w:tr2bl w:val="nil"/>
            </w:tcBorders>
            <w:vAlign w:val="center"/>
          </w:tcPr>
          <w:p w14:paraId="1D1CCD16">
            <w:pPr>
              <w:adjustRightInd w:val="0"/>
              <w:jc w:val="center"/>
              <w:rPr>
                <w:color w:val="auto"/>
                <w:szCs w:val="21"/>
              </w:rPr>
            </w:pPr>
            <w:r>
              <w:rPr>
                <w:color w:val="auto"/>
                <w:szCs w:val="21"/>
              </w:rPr>
              <w:t>K</w:t>
            </w:r>
          </w:p>
        </w:tc>
      </w:tr>
      <w:tr w14:paraId="20325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267FDA2">
            <w:pPr>
              <w:adjustRightInd w:val="0"/>
              <w:jc w:val="left"/>
              <w:rPr>
                <w:color w:val="auto"/>
                <w:szCs w:val="21"/>
              </w:rPr>
            </w:pPr>
            <w:r>
              <w:rPr>
                <w:color w:val="auto"/>
                <w:szCs w:val="21"/>
              </w:rPr>
              <w:t>65 斑鱼狗</w:t>
            </w:r>
            <w:r>
              <w:rPr>
                <w:i/>
                <w:iCs/>
                <w:color w:val="auto"/>
                <w:szCs w:val="21"/>
              </w:rPr>
              <w:t xml:space="preserve"> Ceryle rudis</w:t>
            </w:r>
          </w:p>
        </w:tc>
        <w:tc>
          <w:tcPr>
            <w:tcW w:w="0" w:type="auto"/>
            <w:tcBorders>
              <w:tl2br w:val="nil"/>
              <w:tr2bl w:val="nil"/>
            </w:tcBorders>
            <w:vAlign w:val="center"/>
          </w:tcPr>
          <w:p w14:paraId="4A7A22B7">
            <w:pPr>
              <w:adjustRightInd w:val="0"/>
              <w:jc w:val="center"/>
              <w:rPr>
                <w:color w:val="auto"/>
                <w:szCs w:val="21"/>
              </w:rPr>
            </w:pPr>
            <w:r>
              <w:rPr>
                <w:color w:val="auto"/>
                <w:szCs w:val="21"/>
              </w:rPr>
              <w:t>R</w:t>
            </w:r>
          </w:p>
        </w:tc>
        <w:tc>
          <w:tcPr>
            <w:tcW w:w="0" w:type="auto"/>
            <w:tcBorders>
              <w:tl2br w:val="nil"/>
              <w:tr2bl w:val="nil"/>
            </w:tcBorders>
            <w:vAlign w:val="center"/>
          </w:tcPr>
          <w:p w14:paraId="4A92B1C7">
            <w:pPr>
              <w:adjustRightInd w:val="0"/>
              <w:jc w:val="center"/>
              <w:rPr>
                <w:color w:val="auto"/>
                <w:szCs w:val="21"/>
              </w:rPr>
            </w:pPr>
            <w:r>
              <w:rPr>
                <w:color w:val="auto"/>
                <w:szCs w:val="21"/>
              </w:rPr>
              <w:t>C</w:t>
            </w:r>
          </w:p>
        </w:tc>
        <w:tc>
          <w:tcPr>
            <w:tcW w:w="0" w:type="auto"/>
            <w:tcBorders>
              <w:tl2br w:val="nil"/>
              <w:tr2bl w:val="nil"/>
            </w:tcBorders>
            <w:vAlign w:val="center"/>
          </w:tcPr>
          <w:p w14:paraId="78BAFD53">
            <w:pPr>
              <w:adjustRightInd w:val="0"/>
              <w:jc w:val="center"/>
              <w:rPr>
                <w:color w:val="auto"/>
                <w:szCs w:val="21"/>
              </w:rPr>
            </w:pPr>
          </w:p>
        </w:tc>
        <w:tc>
          <w:tcPr>
            <w:tcW w:w="0" w:type="auto"/>
            <w:tcBorders>
              <w:tl2br w:val="nil"/>
              <w:tr2bl w:val="nil"/>
            </w:tcBorders>
            <w:vAlign w:val="center"/>
          </w:tcPr>
          <w:p w14:paraId="389557C8">
            <w:pPr>
              <w:adjustRightInd w:val="0"/>
              <w:jc w:val="center"/>
              <w:rPr>
                <w:color w:val="auto"/>
                <w:szCs w:val="21"/>
              </w:rPr>
            </w:pPr>
            <w:r>
              <w:rPr>
                <w:color w:val="auto"/>
                <w:szCs w:val="21"/>
              </w:rPr>
              <w:t>三有</w:t>
            </w:r>
          </w:p>
        </w:tc>
        <w:tc>
          <w:tcPr>
            <w:tcW w:w="0" w:type="auto"/>
            <w:tcBorders>
              <w:tl2br w:val="nil"/>
              <w:tr2bl w:val="nil"/>
            </w:tcBorders>
            <w:vAlign w:val="center"/>
          </w:tcPr>
          <w:p w14:paraId="54556C98">
            <w:pPr>
              <w:adjustRightInd w:val="0"/>
              <w:jc w:val="center"/>
              <w:rPr>
                <w:color w:val="auto"/>
                <w:szCs w:val="21"/>
              </w:rPr>
            </w:pPr>
            <w:r>
              <w:rPr>
                <w:color w:val="auto"/>
                <w:szCs w:val="21"/>
              </w:rPr>
              <w:t>LC</w:t>
            </w:r>
          </w:p>
        </w:tc>
        <w:tc>
          <w:tcPr>
            <w:tcW w:w="0" w:type="auto"/>
            <w:tcBorders>
              <w:tl2br w:val="nil"/>
              <w:tr2bl w:val="nil"/>
            </w:tcBorders>
            <w:vAlign w:val="center"/>
          </w:tcPr>
          <w:p w14:paraId="6C33F45C">
            <w:pPr>
              <w:adjustRightInd w:val="0"/>
              <w:jc w:val="center"/>
              <w:rPr>
                <w:color w:val="auto"/>
                <w:szCs w:val="21"/>
              </w:rPr>
            </w:pPr>
            <w:r>
              <w:rPr>
                <w:color w:val="auto"/>
                <w:szCs w:val="21"/>
              </w:rPr>
              <w:t>K</w:t>
            </w:r>
          </w:p>
        </w:tc>
      </w:tr>
      <w:tr w14:paraId="4BAC4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57CD4B9">
            <w:pPr>
              <w:adjustRightInd w:val="0"/>
              <w:jc w:val="left"/>
              <w:rPr>
                <w:b/>
                <w:bCs/>
                <w:color w:val="auto"/>
                <w:szCs w:val="21"/>
              </w:rPr>
            </w:pPr>
            <w:r>
              <w:rPr>
                <w:b/>
                <w:bCs/>
                <w:color w:val="auto"/>
                <w:szCs w:val="21"/>
              </w:rPr>
              <w:t>Ⅺ 戴胜目 UPUPIFORMES</w:t>
            </w:r>
          </w:p>
        </w:tc>
        <w:tc>
          <w:tcPr>
            <w:tcW w:w="0" w:type="auto"/>
            <w:tcBorders>
              <w:tl2br w:val="nil"/>
              <w:tr2bl w:val="nil"/>
            </w:tcBorders>
            <w:vAlign w:val="center"/>
          </w:tcPr>
          <w:p w14:paraId="60F993D3">
            <w:pPr>
              <w:adjustRightInd w:val="0"/>
              <w:jc w:val="center"/>
              <w:rPr>
                <w:color w:val="auto"/>
                <w:szCs w:val="21"/>
              </w:rPr>
            </w:pPr>
          </w:p>
        </w:tc>
        <w:tc>
          <w:tcPr>
            <w:tcW w:w="0" w:type="auto"/>
            <w:tcBorders>
              <w:tl2br w:val="nil"/>
              <w:tr2bl w:val="nil"/>
            </w:tcBorders>
            <w:vAlign w:val="center"/>
          </w:tcPr>
          <w:p w14:paraId="61A8DE97">
            <w:pPr>
              <w:adjustRightInd w:val="0"/>
              <w:jc w:val="center"/>
              <w:rPr>
                <w:color w:val="auto"/>
                <w:szCs w:val="21"/>
              </w:rPr>
            </w:pPr>
          </w:p>
        </w:tc>
        <w:tc>
          <w:tcPr>
            <w:tcW w:w="0" w:type="auto"/>
            <w:tcBorders>
              <w:tl2br w:val="nil"/>
              <w:tr2bl w:val="nil"/>
            </w:tcBorders>
            <w:vAlign w:val="center"/>
          </w:tcPr>
          <w:p w14:paraId="26703800">
            <w:pPr>
              <w:adjustRightInd w:val="0"/>
              <w:jc w:val="center"/>
              <w:rPr>
                <w:color w:val="auto"/>
                <w:szCs w:val="21"/>
              </w:rPr>
            </w:pPr>
          </w:p>
        </w:tc>
        <w:tc>
          <w:tcPr>
            <w:tcW w:w="0" w:type="auto"/>
            <w:tcBorders>
              <w:tl2br w:val="nil"/>
              <w:tr2bl w:val="nil"/>
            </w:tcBorders>
            <w:vAlign w:val="center"/>
          </w:tcPr>
          <w:p w14:paraId="3A21161E">
            <w:pPr>
              <w:adjustRightInd w:val="0"/>
              <w:jc w:val="center"/>
              <w:rPr>
                <w:color w:val="auto"/>
                <w:szCs w:val="21"/>
              </w:rPr>
            </w:pPr>
          </w:p>
        </w:tc>
        <w:tc>
          <w:tcPr>
            <w:tcW w:w="0" w:type="auto"/>
            <w:tcBorders>
              <w:tl2br w:val="nil"/>
              <w:tr2bl w:val="nil"/>
            </w:tcBorders>
            <w:vAlign w:val="center"/>
          </w:tcPr>
          <w:p w14:paraId="225A46A1">
            <w:pPr>
              <w:adjustRightInd w:val="0"/>
              <w:jc w:val="center"/>
              <w:rPr>
                <w:color w:val="auto"/>
                <w:szCs w:val="21"/>
              </w:rPr>
            </w:pPr>
          </w:p>
        </w:tc>
        <w:tc>
          <w:tcPr>
            <w:tcW w:w="0" w:type="auto"/>
            <w:tcBorders>
              <w:tl2br w:val="nil"/>
              <w:tr2bl w:val="nil"/>
            </w:tcBorders>
            <w:vAlign w:val="center"/>
          </w:tcPr>
          <w:p w14:paraId="7C545E22">
            <w:pPr>
              <w:adjustRightInd w:val="0"/>
              <w:jc w:val="center"/>
              <w:rPr>
                <w:color w:val="auto"/>
                <w:szCs w:val="21"/>
              </w:rPr>
            </w:pPr>
          </w:p>
        </w:tc>
      </w:tr>
      <w:tr w14:paraId="37AED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2A6439D9">
            <w:pPr>
              <w:adjustRightInd w:val="0"/>
              <w:jc w:val="left"/>
              <w:rPr>
                <w:b/>
                <w:bCs/>
                <w:color w:val="auto"/>
                <w:szCs w:val="21"/>
              </w:rPr>
            </w:pPr>
            <w:r>
              <w:rPr>
                <w:b/>
                <w:bCs/>
                <w:color w:val="auto"/>
                <w:szCs w:val="21"/>
              </w:rPr>
              <w:t>（十七）戴胜科 Upupodae</w:t>
            </w:r>
          </w:p>
        </w:tc>
        <w:tc>
          <w:tcPr>
            <w:tcW w:w="0" w:type="auto"/>
            <w:tcBorders>
              <w:tl2br w:val="nil"/>
              <w:tr2bl w:val="nil"/>
            </w:tcBorders>
            <w:vAlign w:val="center"/>
          </w:tcPr>
          <w:p w14:paraId="620C0967">
            <w:pPr>
              <w:adjustRightInd w:val="0"/>
              <w:jc w:val="center"/>
              <w:rPr>
                <w:color w:val="auto"/>
                <w:szCs w:val="21"/>
              </w:rPr>
            </w:pPr>
          </w:p>
        </w:tc>
        <w:tc>
          <w:tcPr>
            <w:tcW w:w="0" w:type="auto"/>
            <w:tcBorders>
              <w:tl2br w:val="nil"/>
              <w:tr2bl w:val="nil"/>
            </w:tcBorders>
            <w:vAlign w:val="center"/>
          </w:tcPr>
          <w:p w14:paraId="02D1B0E1">
            <w:pPr>
              <w:adjustRightInd w:val="0"/>
              <w:jc w:val="center"/>
              <w:rPr>
                <w:color w:val="auto"/>
                <w:szCs w:val="21"/>
              </w:rPr>
            </w:pPr>
          </w:p>
        </w:tc>
        <w:tc>
          <w:tcPr>
            <w:tcW w:w="0" w:type="auto"/>
            <w:tcBorders>
              <w:tl2br w:val="nil"/>
              <w:tr2bl w:val="nil"/>
            </w:tcBorders>
            <w:vAlign w:val="center"/>
          </w:tcPr>
          <w:p w14:paraId="417B4FE6">
            <w:pPr>
              <w:adjustRightInd w:val="0"/>
              <w:jc w:val="center"/>
              <w:rPr>
                <w:color w:val="auto"/>
                <w:szCs w:val="21"/>
              </w:rPr>
            </w:pPr>
          </w:p>
        </w:tc>
        <w:tc>
          <w:tcPr>
            <w:tcW w:w="0" w:type="auto"/>
            <w:tcBorders>
              <w:tl2br w:val="nil"/>
              <w:tr2bl w:val="nil"/>
            </w:tcBorders>
            <w:vAlign w:val="center"/>
          </w:tcPr>
          <w:p w14:paraId="32B5122F">
            <w:pPr>
              <w:adjustRightInd w:val="0"/>
              <w:jc w:val="center"/>
              <w:rPr>
                <w:color w:val="auto"/>
                <w:szCs w:val="21"/>
              </w:rPr>
            </w:pPr>
          </w:p>
        </w:tc>
        <w:tc>
          <w:tcPr>
            <w:tcW w:w="0" w:type="auto"/>
            <w:tcBorders>
              <w:tl2br w:val="nil"/>
              <w:tr2bl w:val="nil"/>
            </w:tcBorders>
            <w:vAlign w:val="center"/>
          </w:tcPr>
          <w:p w14:paraId="67876791">
            <w:pPr>
              <w:adjustRightInd w:val="0"/>
              <w:jc w:val="center"/>
              <w:rPr>
                <w:color w:val="auto"/>
                <w:szCs w:val="21"/>
              </w:rPr>
            </w:pPr>
          </w:p>
        </w:tc>
        <w:tc>
          <w:tcPr>
            <w:tcW w:w="0" w:type="auto"/>
            <w:tcBorders>
              <w:tl2br w:val="nil"/>
              <w:tr2bl w:val="nil"/>
            </w:tcBorders>
            <w:vAlign w:val="center"/>
          </w:tcPr>
          <w:p w14:paraId="509D255A">
            <w:pPr>
              <w:adjustRightInd w:val="0"/>
              <w:jc w:val="center"/>
              <w:rPr>
                <w:color w:val="auto"/>
                <w:szCs w:val="21"/>
              </w:rPr>
            </w:pPr>
          </w:p>
        </w:tc>
      </w:tr>
      <w:tr w14:paraId="00BFD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A20824D">
            <w:pPr>
              <w:adjustRightInd w:val="0"/>
              <w:jc w:val="left"/>
              <w:rPr>
                <w:color w:val="auto"/>
                <w:szCs w:val="21"/>
              </w:rPr>
            </w:pPr>
            <w:r>
              <w:rPr>
                <w:color w:val="auto"/>
                <w:szCs w:val="21"/>
              </w:rPr>
              <w:t xml:space="preserve">66 戴胜 </w:t>
            </w:r>
            <w:r>
              <w:rPr>
                <w:i/>
                <w:iCs/>
                <w:color w:val="auto"/>
                <w:szCs w:val="21"/>
              </w:rPr>
              <w:t>Upupa epops</w:t>
            </w:r>
          </w:p>
        </w:tc>
        <w:tc>
          <w:tcPr>
            <w:tcW w:w="0" w:type="auto"/>
            <w:tcBorders>
              <w:tl2br w:val="nil"/>
              <w:tr2bl w:val="nil"/>
            </w:tcBorders>
            <w:vAlign w:val="center"/>
          </w:tcPr>
          <w:p w14:paraId="5C338F93">
            <w:pPr>
              <w:adjustRightInd w:val="0"/>
              <w:jc w:val="center"/>
              <w:rPr>
                <w:color w:val="auto"/>
                <w:szCs w:val="21"/>
              </w:rPr>
            </w:pPr>
            <w:r>
              <w:rPr>
                <w:color w:val="auto"/>
                <w:szCs w:val="21"/>
              </w:rPr>
              <w:t>R</w:t>
            </w:r>
          </w:p>
        </w:tc>
        <w:tc>
          <w:tcPr>
            <w:tcW w:w="0" w:type="auto"/>
            <w:tcBorders>
              <w:tl2br w:val="nil"/>
              <w:tr2bl w:val="nil"/>
            </w:tcBorders>
            <w:vAlign w:val="center"/>
          </w:tcPr>
          <w:p w14:paraId="4117DECE">
            <w:pPr>
              <w:adjustRightInd w:val="0"/>
              <w:jc w:val="center"/>
              <w:rPr>
                <w:color w:val="auto"/>
                <w:szCs w:val="21"/>
              </w:rPr>
            </w:pPr>
            <w:r>
              <w:rPr>
                <w:color w:val="auto"/>
                <w:szCs w:val="21"/>
              </w:rPr>
              <w:t>C</w:t>
            </w:r>
          </w:p>
        </w:tc>
        <w:tc>
          <w:tcPr>
            <w:tcW w:w="0" w:type="auto"/>
            <w:tcBorders>
              <w:tl2br w:val="nil"/>
              <w:tr2bl w:val="nil"/>
            </w:tcBorders>
            <w:vAlign w:val="center"/>
          </w:tcPr>
          <w:p w14:paraId="4BCB6DF6">
            <w:pPr>
              <w:adjustRightInd w:val="0"/>
              <w:jc w:val="center"/>
              <w:rPr>
                <w:color w:val="auto"/>
                <w:szCs w:val="21"/>
              </w:rPr>
            </w:pPr>
          </w:p>
        </w:tc>
        <w:tc>
          <w:tcPr>
            <w:tcW w:w="0" w:type="auto"/>
            <w:tcBorders>
              <w:tl2br w:val="nil"/>
              <w:tr2bl w:val="nil"/>
            </w:tcBorders>
            <w:vAlign w:val="center"/>
          </w:tcPr>
          <w:p w14:paraId="56464A23">
            <w:pPr>
              <w:adjustRightInd w:val="0"/>
              <w:jc w:val="center"/>
              <w:rPr>
                <w:color w:val="auto"/>
                <w:szCs w:val="21"/>
              </w:rPr>
            </w:pPr>
            <w:r>
              <w:rPr>
                <w:color w:val="auto"/>
                <w:szCs w:val="21"/>
              </w:rPr>
              <w:t>三有；湘</w:t>
            </w:r>
          </w:p>
        </w:tc>
        <w:tc>
          <w:tcPr>
            <w:tcW w:w="0" w:type="auto"/>
            <w:tcBorders>
              <w:tl2br w:val="nil"/>
              <w:tr2bl w:val="nil"/>
            </w:tcBorders>
            <w:vAlign w:val="center"/>
          </w:tcPr>
          <w:p w14:paraId="6196FD66">
            <w:pPr>
              <w:adjustRightInd w:val="0"/>
              <w:jc w:val="center"/>
              <w:rPr>
                <w:color w:val="auto"/>
                <w:szCs w:val="21"/>
              </w:rPr>
            </w:pPr>
            <w:r>
              <w:rPr>
                <w:color w:val="auto"/>
                <w:szCs w:val="21"/>
              </w:rPr>
              <w:t>LC</w:t>
            </w:r>
          </w:p>
        </w:tc>
        <w:tc>
          <w:tcPr>
            <w:tcW w:w="0" w:type="auto"/>
            <w:tcBorders>
              <w:tl2br w:val="nil"/>
              <w:tr2bl w:val="nil"/>
            </w:tcBorders>
            <w:vAlign w:val="center"/>
          </w:tcPr>
          <w:p w14:paraId="78842657">
            <w:pPr>
              <w:adjustRightInd w:val="0"/>
              <w:jc w:val="center"/>
              <w:rPr>
                <w:color w:val="auto"/>
                <w:szCs w:val="21"/>
              </w:rPr>
            </w:pPr>
            <w:r>
              <w:rPr>
                <w:color w:val="auto"/>
                <w:szCs w:val="21"/>
              </w:rPr>
              <w:t>K</w:t>
            </w:r>
          </w:p>
        </w:tc>
      </w:tr>
      <w:tr w14:paraId="45503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A3CF827">
            <w:pPr>
              <w:adjustRightInd w:val="0"/>
              <w:jc w:val="left"/>
              <w:rPr>
                <w:b/>
                <w:bCs/>
                <w:color w:val="auto"/>
                <w:szCs w:val="21"/>
              </w:rPr>
            </w:pPr>
            <w:r>
              <w:rPr>
                <w:b/>
                <w:bCs/>
                <w:color w:val="auto"/>
                <w:szCs w:val="21"/>
              </w:rPr>
              <w:t>Ⅻ 雀形目 PASSERIFORMES</w:t>
            </w:r>
          </w:p>
        </w:tc>
        <w:tc>
          <w:tcPr>
            <w:tcW w:w="0" w:type="auto"/>
            <w:tcBorders>
              <w:tl2br w:val="nil"/>
              <w:tr2bl w:val="nil"/>
            </w:tcBorders>
            <w:vAlign w:val="center"/>
          </w:tcPr>
          <w:p w14:paraId="7008D685">
            <w:pPr>
              <w:adjustRightInd w:val="0"/>
              <w:jc w:val="center"/>
              <w:rPr>
                <w:color w:val="auto"/>
                <w:szCs w:val="21"/>
              </w:rPr>
            </w:pPr>
          </w:p>
        </w:tc>
        <w:tc>
          <w:tcPr>
            <w:tcW w:w="0" w:type="auto"/>
            <w:tcBorders>
              <w:tl2br w:val="nil"/>
              <w:tr2bl w:val="nil"/>
            </w:tcBorders>
            <w:vAlign w:val="center"/>
          </w:tcPr>
          <w:p w14:paraId="1E1A9644">
            <w:pPr>
              <w:adjustRightInd w:val="0"/>
              <w:jc w:val="center"/>
              <w:rPr>
                <w:color w:val="auto"/>
                <w:szCs w:val="21"/>
              </w:rPr>
            </w:pPr>
          </w:p>
        </w:tc>
        <w:tc>
          <w:tcPr>
            <w:tcW w:w="0" w:type="auto"/>
            <w:tcBorders>
              <w:tl2br w:val="nil"/>
              <w:tr2bl w:val="nil"/>
            </w:tcBorders>
            <w:vAlign w:val="center"/>
          </w:tcPr>
          <w:p w14:paraId="7D03828B">
            <w:pPr>
              <w:adjustRightInd w:val="0"/>
              <w:jc w:val="center"/>
              <w:rPr>
                <w:color w:val="auto"/>
                <w:szCs w:val="21"/>
              </w:rPr>
            </w:pPr>
          </w:p>
        </w:tc>
        <w:tc>
          <w:tcPr>
            <w:tcW w:w="0" w:type="auto"/>
            <w:tcBorders>
              <w:tl2br w:val="nil"/>
              <w:tr2bl w:val="nil"/>
            </w:tcBorders>
            <w:vAlign w:val="center"/>
          </w:tcPr>
          <w:p w14:paraId="0AB41885">
            <w:pPr>
              <w:adjustRightInd w:val="0"/>
              <w:jc w:val="center"/>
              <w:rPr>
                <w:color w:val="auto"/>
                <w:szCs w:val="21"/>
              </w:rPr>
            </w:pPr>
          </w:p>
        </w:tc>
        <w:tc>
          <w:tcPr>
            <w:tcW w:w="0" w:type="auto"/>
            <w:tcBorders>
              <w:tl2br w:val="nil"/>
              <w:tr2bl w:val="nil"/>
            </w:tcBorders>
            <w:vAlign w:val="center"/>
          </w:tcPr>
          <w:p w14:paraId="3A1D49E8">
            <w:pPr>
              <w:adjustRightInd w:val="0"/>
              <w:jc w:val="center"/>
              <w:rPr>
                <w:color w:val="auto"/>
                <w:szCs w:val="21"/>
              </w:rPr>
            </w:pPr>
          </w:p>
        </w:tc>
        <w:tc>
          <w:tcPr>
            <w:tcW w:w="0" w:type="auto"/>
            <w:tcBorders>
              <w:tl2br w:val="nil"/>
              <w:tr2bl w:val="nil"/>
            </w:tcBorders>
            <w:vAlign w:val="center"/>
          </w:tcPr>
          <w:p w14:paraId="10A92DD7">
            <w:pPr>
              <w:adjustRightInd w:val="0"/>
              <w:jc w:val="center"/>
              <w:rPr>
                <w:color w:val="auto"/>
                <w:szCs w:val="21"/>
              </w:rPr>
            </w:pPr>
          </w:p>
        </w:tc>
      </w:tr>
      <w:tr w14:paraId="05EDF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2052994">
            <w:pPr>
              <w:adjustRightInd w:val="0"/>
              <w:jc w:val="left"/>
              <w:rPr>
                <w:b/>
                <w:bCs/>
                <w:color w:val="auto"/>
                <w:szCs w:val="21"/>
              </w:rPr>
            </w:pPr>
            <w:r>
              <w:rPr>
                <w:b/>
                <w:bCs/>
                <w:color w:val="auto"/>
                <w:szCs w:val="21"/>
              </w:rPr>
              <w:t>（十八）百灵科 Alaudidae</w:t>
            </w:r>
          </w:p>
        </w:tc>
        <w:tc>
          <w:tcPr>
            <w:tcW w:w="0" w:type="auto"/>
            <w:tcBorders>
              <w:tl2br w:val="nil"/>
              <w:tr2bl w:val="nil"/>
            </w:tcBorders>
            <w:vAlign w:val="center"/>
          </w:tcPr>
          <w:p w14:paraId="0B18F034">
            <w:pPr>
              <w:adjustRightInd w:val="0"/>
              <w:jc w:val="center"/>
              <w:rPr>
                <w:color w:val="auto"/>
                <w:szCs w:val="21"/>
              </w:rPr>
            </w:pPr>
          </w:p>
        </w:tc>
        <w:tc>
          <w:tcPr>
            <w:tcW w:w="0" w:type="auto"/>
            <w:tcBorders>
              <w:tl2br w:val="nil"/>
              <w:tr2bl w:val="nil"/>
            </w:tcBorders>
            <w:vAlign w:val="center"/>
          </w:tcPr>
          <w:p w14:paraId="56C3C1C6">
            <w:pPr>
              <w:adjustRightInd w:val="0"/>
              <w:jc w:val="center"/>
              <w:rPr>
                <w:color w:val="auto"/>
                <w:szCs w:val="21"/>
              </w:rPr>
            </w:pPr>
          </w:p>
        </w:tc>
        <w:tc>
          <w:tcPr>
            <w:tcW w:w="0" w:type="auto"/>
            <w:tcBorders>
              <w:tl2br w:val="nil"/>
              <w:tr2bl w:val="nil"/>
            </w:tcBorders>
            <w:vAlign w:val="center"/>
          </w:tcPr>
          <w:p w14:paraId="2EED9C54">
            <w:pPr>
              <w:adjustRightInd w:val="0"/>
              <w:jc w:val="center"/>
              <w:rPr>
                <w:color w:val="auto"/>
                <w:szCs w:val="21"/>
              </w:rPr>
            </w:pPr>
          </w:p>
        </w:tc>
        <w:tc>
          <w:tcPr>
            <w:tcW w:w="0" w:type="auto"/>
            <w:tcBorders>
              <w:tl2br w:val="nil"/>
              <w:tr2bl w:val="nil"/>
            </w:tcBorders>
            <w:vAlign w:val="center"/>
          </w:tcPr>
          <w:p w14:paraId="6C92FC5C">
            <w:pPr>
              <w:adjustRightInd w:val="0"/>
              <w:jc w:val="center"/>
              <w:rPr>
                <w:color w:val="auto"/>
                <w:szCs w:val="21"/>
              </w:rPr>
            </w:pPr>
          </w:p>
        </w:tc>
        <w:tc>
          <w:tcPr>
            <w:tcW w:w="0" w:type="auto"/>
            <w:tcBorders>
              <w:tl2br w:val="nil"/>
              <w:tr2bl w:val="nil"/>
            </w:tcBorders>
            <w:vAlign w:val="center"/>
          </w:tcPr>
          <w:p w14:paraId="5DE837F3">
            <w:pPr>
              <w:adjustRightInd w:val="0"/>
              <w:jc w:val="center"/>
              <w:rPr>
                <w:color w:val="auto"/>
                <w:szCs w:val="21"/>
              </w:rPr>
            </w:pPr>
          </w:p>
        </w:tc>
        <w:tc>
          <w:tcPr>
            <w:tcW w:w="0" w:type="auto"/>
            <w:tcBorders>
              <w:tl2br w:val="nil"/>
              <w:tr2bl w:val="nil"/>
            </w:tcBorders>
            <w:vAlign w:val="center"/>
          </w:tcPr>
          <w:p w14:paraId="30B76016">
            <w:pPr>
              <w:adjustRightInd w:val="0"/>
              <w:jc w:val="center"/>
              <w:rPr>
                <w:color w:val="auto"/>
                <w:szCs w:val="21"/>
              </w:rPr>
            </w:pPr>
          </w:p>
        </w:tc>
      </w:tr>
      <w:tr w14:paraId="0FE9D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5B64153">
            <w:pPr>
              <w:adjustRightInd w:val="0"/>
              <w:jc w:val="left"/>
              <w:rPr>
                <w:color w:val="auto"/>
                <w:szCs w:val="21"/>
              </w:rPr>
            </w:pPr>
            <w:r>
              <w:rPr>
                <w:color w:val="auto"/>
                <w:szCs w:val="21"/>
              </w:rPr>
              <w:t xml:space="preserve">67 小云雀 </w:t>
            </w:r>
            <w:r>
              <w:rPr>
                <w:i/>
                <w:iCs/>
                <w:color w:val="auto"/>
                <w:szCs w:val="21"/>
              </w:rPr>
              <w:t>Alauda gulgula</w:t>
            </w:r>
          </w:p>
        </w:tc>
        <w:tc>
          <w:tcPr>
            <w:tcW w:w="0" w:type="auto"/>
            <w:tcBorders>
              <w:tl2br w:val="nil"/>
              <w:tr2bl w:val="nil"/>
            </w:tcBorders>
            <w:vAlign w:val="center"/>
          </w:tcPr>
          <w:p w14:paraId="0BF4C068">
            <w:pPr>
              <w:adjustRightInd w:val="0"/>
              <w:jc w:val="center"/>
              <w:rPr>
                <w:color w:val="auto"/>
                <w:szCs w:val="21"/>
              </w:rPr>
            </w:pPr>
            <w:r>
              <w:rPr>
                <w:color w:val="auto"/>
                <w:szCs w:val="21"/>
              </w:rPr>
              <w:t>R</w:t>
            </w:r>
          </w:p>
        </w:tc>
        <w:tc>
          <w:tcPr>
            <w:tcW w:w="0" w:type="auto"/>
            <w:tcBorders>
              <w:tl2br w:val="nil"/>
              <w:tr2bl w:val="nil"/>
            </w:tcBorders>
            <w:vAlign w:val="center"/>
          </w:tcPr>
          <w:p w14:paraId="4786128C">
            <w:pPr>
              <w:adjustRightInd w:val="0"/>
              <w:jc w:val="center"/>
              <w:rPr>
                <w:color w:val="auto"/>
                <w:szCs w:val="21"/>
              </w:rPr>
            </w:pPr>
            <w:r>
              <w:rPr>
                <w:color w:val="auto"/>
                <w:szCs w:val="21"/>
              </w:rPr>
              <w:t>O</w:t>
            </w:r>
          </w:p>
        </w:tc>
        <w:tc>
          <w:tcPr>
            <w:tcW w:w="0" w:type="auto"/>
            <w:tcBorders>
              <w:tl2br w:val="nil"/>
              <w:tr2bl w:val="nil"/>
            </w:tcBorders>
            <w:vAlign w:val="center"/>
          </w:tcPr>
          <w:p w14:paraId="7D826A9C">
            <w:pPr>
              <w:adjustRightInd w:val="0"/>
              <w:jc w:val="center"/>
              <w:rPr>
                <w:color w:val="auto"/>
                <w:szCs w:val="21"/>
              </w:rPr>
            </w:pPr>
          </w:p>
        </w:tc>
        <w:tc>
          <w:tcPr>
            <w:tcW w:w="0" w:type="auto"/>
            <w:tcBorders>
              <w:tl2br w:val="nil"/>
              <w:tr2bl w:val="nil"/>
            </w:tcBorders>
            <w:vAlign w:val="center"/>
          </w:tcPr>
          <w:p w14:paraId="0F40D624">
            <w:pPr>
              <w:adjustRightInd w:val="0"/>
              <w:jc w:val="center"/>
              <w:rPr>
                <w:color w:val="auto"/>
                <w:szCs w:val="21"/>
              </w:rPr>
            </w:pPr>
            <w:r>
              <w:rPr>
                <w:color w:val="auto"/>
                <w:szCs w:val="21"/>
              </w:rPr>
              <w:t>三有</w:t>
            </w:r>
          </w:p>
        </w:tc>
        <w:tc>
          <w:tcPr>
            <w:tcW w:w="0" w:type="auto"/>
            <w:tcBorders>
              <w:tl2br w:val="nil"/>
              <w:tr2bl w:val="nil"/>
            </w:tcBorders>
            <w:vAlign w:val="center"/>
          </w:tcPr>
          <w:p w14:paraId="4563D31B">
            <w:pPr>
              <w:adjustRightInd w:val="0"/>
              <w:jc w:val="center"/>
              <w:rPr>
                <w:color w:val="auto"/>
                <w:szCs w:val="21"/>
              </w:rPr>
            </w:pPr>
            <w:r>
              <w:rPr>
                <w:color w:val="auto"/>
                <w:szCs w:val="21"/>
              </w:rPr>
              <w:t>LC</w:t>
            </w:r>
          </w:p>
        </w:tc>
        <w:tc>
          <w:tcPr>
            <w:tcW w:w="0" w:type="auto"/>
            <w:tcBorders>
              <w:tl2br w:val="nil"/>
              <w:tr2bl w:val="nil"/>
            </w:tcBorders>
            <w:vAlign w:val="center"/>
          </w:tcPr>
          <w:p w14:paraId="21A69D35">
            <w:pPr>
              <w:adjustRightInd w:val="0"/>
              <w:jc w:val="center"/>
              <w:rPr>
                <w:color w:val="auto"/>
                <w:szCs w:val="21"/>
              </w:rPr>
            </w:pPr>
            <w:r>
              <w:rPr>
                <w:color w:val="auto"/>
                <w:szCs w:val="21"/>
              </w:rPr>
              <w:t>K</w:t>
            </w:r>
          </w:p>
        </w:tc>
      </w:tr>
      <w:tr w14:paraId="72551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812F30D">
            <w:pPr>
              <w:adjustRightInd w:val="0"/>
              <w:jc w:val="left"/>
              <w:rPr>
                <w:color w:val="auto"/>
                <w:szCs w:val="21"/>
              </w:rPr>
            </w:pPr>
            <w:r>
              <w:rPr>
                <w:b/>
                <w:bCs/>
                <w:color w:val="auto"/>
                <w:szCs w:val="21"/>
              </w:rPr>
              <w:t>（十九）燕科 Hirundinidae</w:t>
            </w:r>
          </w:p>
        </w:tc>
        <w:tc>
          <w:tcPr>
            <w:tcW w:w="0" w:type="auto"/>
            <w:tcBorders>
              <w:tl2br w:val="nil"/>
              <w:tr2bl w:val="nil"/>
            </w:tcBorders>
            <w:vAlign w:val="center"/>
          </w:tcPr>
          <w:p w14:paraId="2A02E7A8">
            <w:pPr>
              <w:adjustRightInd w:val="0"/>
              <w:jc w:val="center"/>
              <w:rPr>
                <w:color w:val="auto"/>
                <w:szCs w:val="21"/>
              </w:rPr>
            </w:pPr>
          </w:p>
        </w:tc>
        <w:tc>
          <w:tcPr>
            <w:tcW w:w="0" w:type="auto"/>
            <w:tcBorders>
              <w:tl2br w:val="nil"/>
              <w:tr2bl w:val="nil"/>
            </w:tcBorders>
            <w:vAlign w:val="center"/>
          </w:tcPr>
          <w:p w14:paraId="4C7DD8C5">
            <w:pPr>
              <w:adjustRightInd w:val="0"/>
              <w:jc w:val="center"/>
              <w:rPr>
                <w:color w:val="auto"/>
                <w:szCs w:val="21"/>
              </w:rPr>
            </w:pPr>
          </w:p>
        </w:tc>
        <w:tc>
          <w:tcPr>
            <w:tcW w:w="0" w:type="auto"/>
            <w:tcBorders>
              <w:tl2br w:val="nil"/>
              <w:tr2bl w:val="nil"/>
            </w:tcBorders>
            <w:vAlign w:val="center"/>
          </w:tcPr>
          <w:p w14:paraId="12F1D503">
            <w:pPr>
              <w:adjustRightInd w:val="0"/>
              <w:jc w:val="center"/>
              <w:rPr>
                <w:color w:val="auto"/>
                <w:szCs w:val="21"/>
              </w:rPr>
            </w:pPr>
          </w:p>
        </w:tc>
        <w:tc>
          <w:tcPr>
            <w:tcW w:w="0" w:type="auto"/>
            <w:tcBorders>
              <w:tl2br w:val="nil"/>
              <w:tr2bl w:val="nil"/>
            </w:tcBorders>
            <w:vAlign w:val="center"/>
          </w:tcPr>
          <w:p w14:paraId="62858697">
            <w:pPr>
              <w:adjustRightInd w:val="0"/>
              <w:jc w:val="center"/>
              <w:rPr>
                <w:color w:val="auto"/>
                <w:szCs w:val="21"/>
              </w:rPr>
            </w:pPr>
          </w:p>
        </w:tc>
        <w:tc>
          <w:tcPr>
            <w:tcW w:w="0" w:type="auto"/>
            <w:tcBorders>
              <w:tl2br w:val="nil"/>
              <w:tr2bl w:val="nil"/>
            </w:tcBorders>
            <w:vAlign w:val="center"/>
          </w:tcPr>
          <w:p w14:paraId="37893908">
            <w:pPr>
              <w:adjustRightInd w:val="0"/>
              <w:jc w:val="center"/>
              <w:rPr>
                <w:color w:val="auto"/>
                <w:szCs w:val="21"/>
              </w:rPr>
            </w:pPr>
          </w:p>
        </w:tc>
        <w:tc>
          <w:tcPr>
            <w:tcW w:w="0" w:type="auto"/>
            <w:tcBorders>
              <w:tl2br w:val="nil"/>
              <w:tr2bl w:val="nil"/>
            </w:tcBorders>
            <w:vAlign w:val="center"/>
          </w:tcPr>
          <w:p w14:paraId="265DAA25">
            <w:pPr>
              <w:adjustRightInd w:val="0"/>
              <w:jc w:val="center"/>
              <w:rPr>
                <w:color w:val="auto"/>
                <w:szCs w:val="21"/>
              </w:rPr>
            </w:pPr>
          </w:p>
        </w:tc>
      </w:tr>
      <w:tr w14:paraId="60CBE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5586348">
            <w:pPr>
              <w:adjustRightInd w:val="0"/>
              <w:jc w:val="left"/>
              <w:rPr>
                <w:color w:val="auto"/>
                <w:szCs w:val="21"/>
              </w:rPr>
            </w:pPr>
            <w:r>
              <w:rPr>
                <w:color w:val="auto"/>
                <w:szCs w:val="21"/>
              </w:rPr>
              <w:t xml:space="preserve">68 家燕 </w:t>
            </w:r>
            <w:r>
              <w:rPr>
                <w:i/>
                <w:iCs/>
                <w:color w:val="auto"/>
                <w:szCs w:val="21"/>
              </w:rPr>
              <w:t>Hirundo rustica</w:t>
            </w:r>
          </w:p>
        </w:tc>
        <w:tc>
          <w:tcPr>
            <w:tcW w:w="0" w:type="auto"/>
            <w:tcBorders>
              <w:tl2br w:val="nil"/>
              <w:tr2bl w:val="nil"/>
            </w:tcBorders>
            <w:vAlign w:val="center"/>
          </w:tcPr>
          <w:p w14:paraId="6AE58C9B">
            <w:pPr>
              <w:adjustRightInd w:val="0"/>
              <w:jc w:val="center"/>
              <w:rPr>
                <w:color w:val="auto"/>
                <w:szCs w:val="21"/>
              </w:rPr>
            </w:pPr>
            <w:r>
              <w:rPr>
                <w:color w:val="auto"/>
                <w:szCs w:val="21"/>
              </w:rPr>
              <w:t>S</w:t>
            </w:r>
          </w:p>
        </w:tc>
        <w:tc>
          <w:tcPr>
            <w:tcW w:w="0" w:type="auto"/>
            <w:tcBorders>
              <w:tl2br w:val="nil"/>
              <w:tr2bl w:val="nil"/>
            </w:tcBorders>
            <w:vAlign w:val="center"/>
          </w:tcPr>
          <w:p w14:paraId="03501325">
            <w:pPr>
              <w:adjustRightInd w:val="0"/>
              <w:jc w:val="center"/>
              <w:rPr>
                <w:color w:val="auto"/>
                <w:szCs w:val="21"/>
              </w:rPr>
            </w:pPr>
            <w:r>
              <w:rPr>
                <w:color w:val="auto"/>
                <w:szCs w:val="21"/>
              </w:rPr>
              <w:t>P</w:t>
            </w:r>
          </w:p>
        </w:tc>
        <w:tc>
          <w:tcPr>
            <w:tcW w:w="0" w:type="auto"/>
            <w:tcBorders>
              <w:tl2br w:val="nil"/>
              <w:tr2bl w:val="nil"/>
            </w:tcBorders>
            <w:vAlign w:val="center"/>
          </w:tcPr>
          <w:p w14:paraId="31FB173B">
            <w:pPr>
              <w:adjustRightInd w:val="0"/>
              <w:jc w:val="center"/>
              <w:rPr>
                <w:color w:val="auto"/>
                <w:szCs w:val="21"/>
              </w:rPr>
            </w:pPr>
          </w:p>
        </w:tc>
        <w:tc>
          <w:tcPr>
            <w:tcW w:w="0" w:type="auto"/>
            <w:tcBorders>
              <w:tl2br w:val="nil"/>
              <w:tr2bl w:val="nil"/>
            </w:tcBorders>
            <w:vAlign w:val="center"/>
          </w:tcPr>
          <w:p w14:paraId="08B71366">
            <w:pPr>
              <w:adjustRightInd w:val="0"/>
              <w:jc w:val="center"/>
              <w:rPr>
                <w:color w:val="auto"/>
                <w:szCs w:val="21"/>
              </w:rPr>
            </w:pPr>
            <w:r>
              <w:rPr>
                <w:color w:val="auto"/>
                <w:szCs w:val="21"/>
              </w:rPr>
              <w:t>三有；湘</w:t>
            </w:r>
          </w:p>
        </w:tc>
        <w:tc>
          <w:tcPr>
            <w:tcW w:w="0" w:type="auto"/>
            <w:tcBorders>
              <w:tl2br w:val="nil"/>
              <w:tr2bl w:val="nil"/>
            </w:tcBorders>
            <w:vAlign w:val="center"/>
          </w:tcPr>
          <w:p w14:paraId="726FD5D1">
            <w:pPr>
              <w:adjustRightInd w:val="0"/>
              <w:jc w:val="center"/>
              <w:rPr>
                <w:color w:val="auto"/>
                <w:szCs w:val="21"/>
              </w:rPr>
            </w:pPr>
            <w:r>
              <w:rPr>
                <w:color w:val="auto"/>
                <w:szCs w:val="21"/>
              </w:rPr>
              <w:t>LC</w:t>
            </w:r>
          </w:p>
        </w:tc>
        <w:tc>
          <w:tcPr>
            <w:tcW w:w="0" w:type="auto"/>
            <w:tcBorders>
              <w:tl2br w:val="nil"/>
              <w:tr2bl w:val="nil"/>
            </w:tcBorders>
            <w:vAlign w:val="center"/>
          </w:tcPr>
          <w:p w14:paraId="476AA1BF">
            <w:pPr>
              <w:adjustRightInd w:val="0"/>
              <w:jc w:val="center"/>
              <w:rPr>
                <w:color w:val="auto"/>
                <w:szCs w:val="21"/>
              </w:rPr>
            </w:pPr>
            <w:r>
              <w:rPr>
                <w:color w:val="auto"/>
                <w:szCs w:val="21"/>
              </w:rPr>
              <w:t>K</w:t>
            </w:r>
          </w:p>
        </w:tc>
      </w:tr>
      <w:tr w14:paraId="64ECD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9AC7806">
            <w:pPr>
              <w:adjustRightInd w:val="0"/>
              <w:jc w:val="left"/>
              <w:rPr>
                <w:color w:val="auto"/>
                <w:szCs w:val="21"/>
              </w:rPr>
            </w:pPr>
            <w:r>
              <w:rPr>
                <w:color w:val="auto"/>
                <w:szCs w:val="21"/>
              </w:rPr>
              <w:t xml:space="preserve">69 金腰燕 </w:t>
            </w:r>
            <w:r>
              <w:rPr>
                <w:i/>
                <w:iCs/>
                <w:color w:val="auto"/>
                <w:szCs w:val="21"/>
              </w:rPr>
              <w:t>Cecropis daurica</w:t>
            </w:r>
          </w:p>
        </w:tc>
        <w:tc>
          <w:tcPr>
            <w:tcW w:w="0" w:type="auto"/>
            <w:tcBorders>
              <w:tl2br w:val="nil"/>
              <w:tr2bl w:val="nil"/>
            </w:tcBorders>
            <w:vAlign w:val="center"/>
          </w:tcPr>
          <w:p w14:paraId="38853E18">
            <w:pPr>
              <w:adjustRightInd w:val="0"/>
              <w:jc w:val="center"/>
              <w:rPr>
                <w:color w:val="auto"/>
                <w:szCs w:val="21"/>
              </w:rPr>
            </w:pPr>
            <w:r>
              <w:rPr>
                <w:color w:val="auto"/>
                <w:szCs w:val="21"/>
              </w:rPr>
              <w:t>S</w:t>
            </w:r>
          </w:p>
        </w:tc>
        <w:tc>
          <w:tcPr>
            <w:tcW w:w="0" w:type="auto"/>
            <w:tcBorders>
              <w:tl2br w:val="nil"/>
              <w:tr2bl w:val="nil"/>
            </w:tcBorders>
            <w:vAlign w:val="center"/>
          </w:tcPr>
          <w:p w14:paraId="6AABF63C">
            <w:pPr>
              <w:adjustRightInd w:val="0"/>
              <w:jc w:val="center"/>
              <w:rPr>
                <w:color w:val="auto"/>
                <w:szCs w:val="21"/>
              </w:rPr>
            </w:pPr>
            <w:r>
              <w:rPr>
                <w:color w:val="auto"/>
                <w:szCs w:val="21"/>
              </w:rPr>
              <w:t>P</w:t>
            </w:r>
          </w:p>
        </w:tc>
        <w:tc>
          <w:tcPr>
            <w:tcW w:w="0" w:type="auto"/>
            <w:tcBorders>
              <w:tl2br w:val="nil"/>
              <w:tr2bl w:val="nil"/>
            </w:tcBorders>
            <w:vAlign w:val="center"/>
          </w:tcPr>
          <w:p w14:paraId="62123BA1">
            <w:pPr>
              <w:adjustRightInd w:val="0"/>
              <w:jc w:val="center"/>
              <w:rPr>
                <w:color w:val="auto"/>
                <w:szCs w:val="21"/>
              </w:rPr>
            </w:pPr>
          </w:p>
        </w:tc>
        <w:tc>
          <w:tcPr>
            <w:tcW w:w="0" w:type="auto"/>
            <w:tcBorders>
              <w:tl2br w:val="nil"/>
              <w:tr2bl w:val="nil"/>
            </w:tcBorders>
            <w:vAlign w:val="center"/>
          </w:tcPr>
          <w:p w14:paraId="7086758A">
            <w:pPr>
              <w:adjustRightInd w:val="0"/>
              <w:jc w:val="center"/>
              <w:rPr>
                <w:color w:val="auto"/>
                <w:szCs w:val="21"/>
              </w:rPr>
            </w:pPr>
            <w:r>
              <w:rPr>
                <w:color w:val="auto"/>
                <w:szCs w:val="21"/>
              </w:rPr>
              <w:t>三有；湘</w:t>
            </w:r>
          </w:p>
        </w:tc>
        <w:tc>
          <w:tcPr>
            <w:tcW w:w="0" w:type="auto"/>
            <w:tcBorders>
              <w:tl2br w:val="nil"/>
              <w:tr2bl w:val="nil"/>
            </w:tcBorders>
            <w:vAlign w:val="center"/>
          </w:tcPr>
          <w:p w14:paraId="7158181B">
            <w:pPr>
              <w:adjustRightInd w:val="0"/>
              <w:jc w:val="center"/>
              <w:rPr>
                <w:color w:val="auto"/>
                <w:szCs w:val="21"/>
              </w:rPr>
            </w:pPr>
            <w:r>
              <w:rPr>
                <w:color w:val="auto"/>
                <w:szCs w:val="21"/>
              </w:rPr>
              <w:t>LC</w:t>
            </w:r>
          </w:p>
        </w:tc>
        <w:tc>
          <w:tcPr>
            <w:tcW w:w="0" w:type="auto"/>
            <w:tcBorders>
              <w:tl2br w:val="nil"/>
              <w:tr2bl w:val="nil"/>
            </w:tcBorders>
            <w:vAlign w:val="center"/>
          </w:tcPr>
          <w:p w14:paraId="5BA1B014">
            <w:pPr>
              <w:adjustRightInd w:val="0"/>
              <w:jc w:val="center"/>
              <w:rPr>
                <w:color w:val="auto"/>
                <w:szCs w:val="21"/>
              </w:rPr>
            </w:pPr>
            <w:r>
              <w:rPr>
                <w:color w:val="auto"/>
                <w:szCs w:val="21"/>
              </w:rPr>
              <w:t>K</w:t>
            </w:r>
          </w:p>
        </w:tc>
      </w:tr>
      <w:tr w14:paraId="36D72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DA3832E">
            <w:pPr>
              <w:adjustRightInd w:val="0"/>
              <w:jc w:val="left"/>
              <w:rPr>
                <w:color w:val="auto"/>
                <w:szCs w:val="21"/>
              </w:rPr>
            </w:pPr>
            <w:r>
              <w:rPr>
                <w:b/>
                <w:bCs/>
                <w:color w:val="auto"/>
                <w:szCs w:val="21"/>
              </w:rPr>
              <w:t>（二十）鹡鸰科 Motacillidae</w:t>
            </w:r>
          </w:p>
        </w:tc>
        <w:tc>
          <w:tcPr>
            <w:tcW w:w="0" w:type="auto"/>
            <w:tcBorders>
              <w:tl2br w:val="nil"/>
              <w:tr2bl w:val="nil"/>
            </w:tcBorders>
            <w:vAlign w:val="center"/>
          </w:tcPr>
          <w:p w14:paraId="34EC7B9D">
            <w:pPr>
              <w:adjustRightInd w:val="0"/>
              <w:jc w:val="center"/>
              <w:rPr>
                <w:color w:val="auto"/>
                <w:szCs w:val="21"/>
              </w:rPr>
            </w:pPr>
          </w:p>
        </w:tc>
        <w:tc>
          <w:tcPr>
            <w:tcW w:w="0" w:type="auto"/>
            <w:tcBorders>
              <w:tl2br w:val="nil"/>
              <w:tr2bl w:val="nil"/>
            </w:tcBorders>
            <w:vAlign w:val="center"/>
          </w:tcPr>
          <w:p w14:paraId="6F4F1245">
            <w:pPr>
              <w:adjustRightInd w:val="0"/>
              <w:jc w:val="center"/>
              <w:rPr>
                <w:color w:val="auto"/>
                <w:szCs w:val="21"/>
              </w:rPr>
            </w:pPr>
          </w:p>
        </w:tc>
        <w:tc>
          <w:tcPr>
            <w:tcW w:w="0" w:type="auto"/>
            <w:tcBorders>
              <w:tl2br w:val="nil"/>
              <w:tr2bl w:val="nil"/>
            </w:tcBorders>
            <w:vAlign w:val="center"/>
          </w:tcPr>
          <w:p w14:paraId="477CD1E9">
            <w:pPr>
              <w:adjustRightInd w:val="0"/>
              <w:jc w:val="center"/>
              <w:rPr>
                <w:color w:val="auto"/>
                <w:szCs w:val="21"/>
              </w:rPr>
            </w:pPr>
          </w:p>
        </w:tc>
        <w:tc>
          <w:tcPr>
            <w:tcW w:w="0" w:type="auto"/>
            <w:tcBorders>
              <w:tl2br w:val="nil"/>
              <w:tr2bl w:val="nil"/>
            </w:tcBorders>
            <w:vAlign w:val="center"/>
          </w:tcPr>
          <w:p w14:paraId="1A8DA067">
            <w:pPr>
              <w:adjustRightInd w:val="0"/>
              <w:jc w:val="center"/>
              <w:rPr>
                <w:color w:val="auto"/>
                <w:szCs w:val="21"/>
              </w:rPr>
            </w:pPr>
          </w:p>
        </w:tc>
        <w:tc>
          <w:tcPr>
            <w:tcW w:w="0" w:type="auto"/>
            <w:tcBorders>
              <w:tl2br w:val="nil"/>
              <w:tr2bl w:val="nil"/>
            </w:tcBorders>
            <w:vAlign w:val="center"/>
          </w:tcPr>
          <w:p w14:paraId="464F5134">
            <w:pPr>
              <w:adjustRightInd w:val="0"/>
              <w:jc w:val="center"/>
              <w:rPr>
                <w:color w:val="auto"/>
                <w:szCs w:val="21"/>
              </w:rPr>
            </w:pPr>
          </w:p>
        </w:tc>
        <w:tc>
          <w:tcPr>
            <w:tcW w:w="0" w:type="auto"/>
            <w:tcBorders>
              <w:tl2br w:val="nil"/>
              <w:tr2bl w:val="nil"/>
            </w:tcBorders>
            <w:vAlign w:val="center"/>
          </w:tcPr>
          <w:p w14:paraId="6BEB2429">
            <w:pPr>
              <w:adjustRightInd w:val="0"/>
              <w:jc w:val="center"/>
              <w:rPr>
                <w:color w:val="auto"/>
                <w:szCs w:val="21"/>
              </w:rPr>
            </w:pPr>
          </w:p>
        </w:tc>
      </w:tr>
      <w:tr w14:paraId="2C724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6AB48CC">
            <w:pPr>
              <w:adjustRightInd w:val="0"/>
              <w:jc w:val="left"/>
              <w:rPr>
                <w:color w:val="auto"/>
                <w:szCs w:val="21"/>
              </w:rPr>
            </w:pPr>
            <w:r>
              <w:rPr>
                <w:color w:val="auto"/>
                <w:szCs w:val="21"/>
              </w:rPr>
              <w:t xml:space="preserve">70 白鹡鸰 </w:t>
            </w:r>
            <w:r>
              <w:rPr>
                <w:i/>
                <w:iCs/>
                <w:color w:val="auto"/>
                <w:szCs w:val="21"/>
              </w:rPr>
              <w:t>Motacilla alba</w:t>
            </w:r>
          </w:p>
        </w:tc>
        <w:tc>
          <w:tcPr>
            <w:tcW w:w="0" w:type="auto"/>
            <w:tcBorders>
              <w:tl2br w:val="nil"/>
              <w:tr2bl w:val="nil"/>
            </w:tcBorders>
            <w:vAlign w:val="center"/>
          </w:tcPr>
          <w:p w14:paraId="2414BE23">
            <w:pPr>
              <w:adjustRightInd w:val="0"/>
              <w:jc w:val="center"/>
              <w:rPr>
                <w:color w:val="auto"/>
                <w:szCs w:val="21"/>
              </w:rPr>
            </w:pPr>
            <w:r>
              <w:rPr>
                <w:color w:val="auto"/>
                <w:szCs w:val="21"/>
              </w:rPr>
              <w:t>R</w:t>
            </w:r>
          </w:p>
        </w:tc>
        <w:tc>
          <w:tcPr>
            <w:tcW w:w="0" w:type="auto"/>
            <w:tcBorders>
              <w:tl2br w:val="nil"/>
              <w:tr2bl w:val="nil"/>
            </w:tcBorders>
            <w:vAlign w:val="center"/>
          </w:tcPr>
          <w:p w14:paraId="4ACEFA4A">
            <w:pPr>
              <w:adjustRightInd w:val="0"/>
              <w:jc w:val="center"/>
              <w:rPr>
                <w:color w:val="auto"/>
                <w:szCs w:val="21"/>
              </w:rPr>
            </w:pPr>
            <w:r>
              <w:rPr>
                <w:color w:val="auto"/>
                <w:szCs w:val="21"/>
              </w:rPr>
              <w:t>P</w:t>
            </w:r>
          </w:p>
        </w:tc>
        <w:tc>
          <w:tcPr>
            <w:tcW w:w="0" w:type="auto"/>
            <w:tcBorders>
              <w:tl2br w:val="nil"/>
              <w:tr2bl w:val="nil"/>
            </w:tcBorders>
            <w:vAlign w:val="center"/>
          </w:tcPr>
          <w:p w14:paraId="0164BDDB">
            <w:pPr>
              <w:adjustRightInd w:val="0"/>
              <w:jc w:val="center"/>
              <w:rPr>
                <w:color w:val="auto"/>
                <w:szCs w:val="21"/>
              </w:rPr>
            </w:pPr>
          </w:p>
        </w:tc>
        <w:tc>
          <w:tcPr>
            <w:tcW w:w="0" w:type="auto"/>
            <w:tcBorders>
              <w:tl2br w:val="nil"/>
              <w:tr2bl w:val="nil"/>
            </w:tcBorders>
            <w:vAlign w:val="center"/>
          </w:tcPr>
          <w:p w14:paraId="10D42D4A">
            <w:pPr>
              <w:adjustRightInd w:val="0"/>
              <w:jc w:val="center"/>
              <w:rPr>
                <w:color w:val="auto"/>
                <w:szCs w:val="21"/>
              </w:rPr>
            </w:pPr>
            <w:r>
              <w:rPr>
                <w:color w:val="auto"/>
                <w:szCs w:val="21"/>
              </w:rPr>
              <w:t>三有</w:t>
            </w:r>
          </w:p>
        </w:tc>
        <w:tc>
          <w:tcPr>
            <w:tcW w:w="0" w:type="auto"/>
            <w:tcBorders>
              <w:tl2br w:val="nil"/>
              <w:tr2bl w:val="nil"/>
            </w:tcBorders>
            <w:vAlign w:val="center"/>
          </w:tcPr>
          <w:p w14:paraId="36DA223D">
            <w:pPr>
              <w:adjustRightInd w:val="0"/>
              <w:jc w:val="center"/>
              <w:rPr>
                <w:color w:val="auto"/>
                <w:szCs w:val="21"/>
              </w:rPr>
            </w:pPr>
            <w:r>
              <w:rPr>
                <w:color w:val="auto"/>
                <w:szCs w:val="21"/>
              </w:rPr>
              <w:t>LC</w:t>
            </w:r>
          </w:p>
        </w:tc>
        <w:tc>
          <w:tcPr>
            <w:tcW w:w="0" w:type="auto"/>
            <w:tcBorders>
              <w:tl2br w:val="nil"/>
              <w:tr2bl w:val="nil"/>
            </w:tcBorders>
            <w:vAlign w:val="center"/>
          </w:tcPr>
          <w:p w14:paraId="69603F88">
            <w:pPr>
              <w:adjustRightInd w:val="0"/>
              <w:jc w:val="center"/>
              <w:rPr>
                <w:color w:val="auto"/>
                <w:szCs w:val="21"/>
              </w:rPr>
            </w:pPr>
            <w:r>
              <w:rPr>
                <w:color w:val="auto"/>
                <w:szCs w:val="21"/>
              </w:rPr>
              <w:t>K</w:t>
            </w:r>
          </w:p>
        </w:tc>
      </w:tr>
      <w:tr w14:paraId="35644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6A50782">
            <w:pPr>
              <w:adjustRightInd w:val="0"/>
              <w:jc w:val="left"/>
              <w:rPr>
                <w:color w:val="auto"/>
                <w:szCs w:val="21"/>
              </w:rPr>
            </w:pPr>
            <w:r>
              <w:rPr>
                <w:color w:val="auto"/>
                <w:szCs w:val="21"/>
              </w:rPr>
              <w:t xml:space="preserve">71 灰鹡鸰 </w:t>
            </w:r>
            <w:r>
              <w:rPr>
                <w:i/>
                <w:iCs/>
                <w:color w:val="auto"/>
                <w:szCs w:val="21"/>
              </w:rPr>
              <w:t>Motacilla cinerea</w:t>
            </w:r>
          </w:p>
        </w:tc>
        <w:tc>
          <w:tcPr>
            <w:tcW w:w="0" w:type="auto"/>
            <w:tcBorders>
              <w:tl2br w:val="nil"/>
              <w:tr2bl w:val="nil"/>
            </w:tcBorders>
            <w:vAlign w:val="center"/>
          </w:tcPr>
          <w:p w14:paraId="741DDE57">
            <w:pPr>
              <w:adjustRightInd w:val="0"/>
              <w:jc w:val="center"/>
              <w:rPr>
                <w:color w:val="auto"/>
                <w:szCs w:val="21"/>
              </w:rPr>
            </w:pPr>
            <w:r>
              <w:rPr>
                <w:color w:val="auto"/>
                <w:szCs w:val="21"/>
              </w:rPr>
              <w:t>R</w:t>
            </w:r>
          </w:p>
        </w:tc>
        <w:tc>
          <w:tcPr>
            <w:tcW w:w="0" w:type="auto"/>
            <w:tcBorders>
              <w:tl2br w:val="nil"/>
              <w:tr2bl w:val="nil"/>
            </w:tcBorders>
            <w:vAlign w:val="center"/>
          </w:tcPr>
          <w:p w14:paraId="38E7A0D3">
            <w:pPr>
              <w:adjustRightInd w:val="0"/>
              <w:jc w:val="center"/>
              <w:rPr>
                <w:color w:val="auto"/>
                <w:szCs w:val="21"/>
              </w:rPr>
            </w:pPr>
            <w:r>
              <w:rPr>
                <w:color w:val="auto"/>
                <w:szCs w:val="21"/>
              </w:rPr>
              <w:t>C</w:t>
            </w:r>
          </w:p>
        </w:tc>
        <w:tc>
          <w:tcPr>
            <w:tcW w:w="0" w:type="auto"/>
            <w:tcBorders>
              <w:tl2br w:val="nil"/>
              <w:tr2bl w:val="nil"/>
            </w:tcBorders>
            <w:vAlign w:val="center"/>
          </w:tcPr>
          <w:p w14:paraId="291183D0">
            <w:pPr>
              <w:adjustRightInd w:val="0"/>
              <w:jc w:val="center"/>
              <w:rPr>
                <w:color w:val="auto"/>
                <w:szCs w:val="21"/>
              </w:rPr>
            </w:pPr>
          </w:p>
        </w:tc>
        <w:tc>
          <w:tcPr>
            <w:tcW w:w="0" w:type="auto"/>
            <w:tcBorders>
              <w:tl2br w:val="nil"/>
              <w:tr2bl w:val="nil"/>
            </w:tcBorders>
            <w:vAlign w:val="center"/>
          </w:tcPr>
          <w:p w14:paraId="1FFA8F24">
            <w:pPr>
              <w:adjustRightInd w:val="0"/>
              <w:jc w:val="center"/>
              <w:rPr>
                <w:color w:val="auto"/>
                <w:szCs w:val="21"/>
              </w:rPr>
            </w:pPr>
            <w:r>
              <w:rPr>
                <w:color w:val="auto"/>
                <w:szCs w:val="21"/>
              </w:rPr>
              <w:t>三有</w:t>
            </w:r>
          </w:p>
        </w:tc>
        <w:tc>
          <w:tcPr>
            <w:tcW w:w="0" w:type="auto"/>
            <w:tcBorders>
              <w:tl2br w:val="nil"/>
              <w:tr2bl w:val="nil"/>
            </w:tcBorders>
            <w:vAlign w:val="center"/>
          </w:tcPr>
          <w:p w14:paraId="6A5223FA">
            <w:pPr>
              <w:adjustRightInd w:val="0"/>
              <w:jc w:val="center"/>
              <w:rPr>
                <w:color w:val="auto"/>
                <w:szCs w:val="21"/>
              </w:rPr>
            </w:pPr>
            <w:r>
              <w:rPr>
                <w:color w:val="auto"/>
                <w:szCs w:val="21"/>
              </w:rPr>
              <w:t>LC</w:t>
            </w:r>
          </w:p>
        </w:tc>
        <w:tc>
          <w:tcPr>
            <w:tcW w:w="0" w:type="auto"/>
            <w:tcBorders>
              <w:tl2br w:val="nil"/>
              <w:tr2bl w:val="nil"/>
            </w:tcBorders>
            <w:vAlign w:val="center"/>
          </w:tcPr>
          <w:p w14:paraId="6C3B2E18">
            <w:pPr>
              <w:adjustRightInd w:val="0"/>
              <w:jc w:val="center"/>
              <w:rPr>
                <w:color w:val="auto"/>
                <w:szCs w:val="21"/>
              </w:rPr>
            </w:pPr>
            <w:r>
              <w:rPr>
                <w:color w:val="auto"/>
                <w:szCs w:val="21"/>
              </w:rPr>
              <w:t>K</w:t>
            </w:r>
          </w:p>
        </w:tc>
      </w:tr>
      <w:tr w14:paraId="6E04D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6406878C">
            <w:pPr>
              <w:adjustRightInd w:val="0"/>
              <w:jc w:val="left"/>
              <w:rPr>
                <w:color w:val="auto"/>
                <w:szCs w:val="21"/>
              </w:rPr>
            </w:pPr>
            <w:r>
              <w:rPr>
                <w:color w:val="auto"/>
                <w:szCs w:val="21"/>
              </w:rPr>
              <w:t xml:space="preserve">72 树鹨 </w:t>
            </w:r>
            <w:r>
              <w:rPr>
                <w:i/>
                <w:iCs/>
                <w:color w:val="auto"/>
                <w:szCs w:val="21"/>
              </w:rPr>
              <w:t>Anthus hodgsoni</w:t>
            </w:r>
          </w:p>
        </w:tc>
        <w:tc>
          <w:tcPr>
            <w:tcW w:w="0" w:type="auto"/>
            <w:tcBorders>
              <w:tl2br w:val="nil"/>
              <w:tr2bl w:val="nil"/>
            </w:tcBorders>
            <w:vAlign w:val="center"/>
          </w:tcPr>
          <w:p w14:paraId="698B01CA">
            <w:pPr>
              <w:adjustRightInd w:val="0"/>
              <w:jc w:val="center"/>
              <w:rPr>
                <w:color w:val="auto"/>
                <w:szCs w:val="21"/>
              </w:rPr>
            </w:pPr>
            <w:r>
              <w:rPr>
                <w:color w:val="auto"/>
                <w:szCs w:val="21"/>
              </w:rPr>
              <w:t>W</w:t>
            </w:r>
          </w:p>
        </w:tc>
        <w:tc>
          <w:tcPr>
            <w:tcW w:w="0" w:type="auto"/>
            <w:tcBorders>
              <w:tl2br w:val="nil"/>
              <w:tr2bl w:val="nil"/>
            </w:tcBorders>
            <w:vAlign w:val="center"/>
          </w:tcPr>
          <w:p w14:paraId="14D08CDC">
            <w:pPr>
              <w:adjustRightInd w:val="0"/>
              <w:jc w:val="center"/>
              <w:rPr>
                <w:color w:val="auto"/>
                <w:szCs w:val="21"/>
              </w:rPr>
            </w:pPr>
            <w:r>
              <w:rPr>
                <w:color w:val="auto"/>
                <w:szCs w:val="21"/>
              </w:rPr>
              <w:t>P</w:t>
            </w:r>
          </w:p>
        </w:tc>
        <w:tc>
          <w:tcPr>
            <w:tcW w:w="0" w:type="auto"/>
            <w:tcBorders>
              <w:tl2br w:val="nil"/>
              <w:tr2bl w:val="nil"/>
            </w:tcBorders>
            <w:vAlign w:val="center"/>
          </w:tcPr>
          <w:p w14:paraId="1FB88BAC">
            <w:pPr>
              <w:adjustRightInd w:val="0"/>
              <w:jc w:val="center"/>
              <w:rPr>
                <w:color w:val="auto"/>
                <w:szCs w:val="21"/>
              </w:rPr>
            </w:pPr>
          </w:p>
        </w:tc>
        <w:tc>
          <w:tcPr>
            <w:tcW w:w="0" w:type="auto"/>
            <w:tcBorders>
              <w:tl2br w:val="nil"/>
              <w:tr2bl w:val="nil"/>
            </w:tcBorders>
            <w:vAlign w:val="center"/>
          </w:tcPr>
          <w:p w14:paraId="05D2FE5C">
            <w:pPr>
              <w:adjustRightInd w:val="0"/>
              <w:jc w:val="center"/>
              <w:rPr>
                <w:color w:val="auto"/>
                <w:szCs w:val="21"/>
              </w:rPr>
            </w:pPr>
            <w:r>
              <w:rPr>
                <w:color w:val="auto"/>
                <w:szCs w:val="21"/>
              </w:rPr>
              <w:t>三有</w:t>
            </w:r>
          </w:p>
        </w:tc>
        <w:tc>
          <w:tcPr>
            <w:tcW w:w="0" w:type="auto"/>
            <w:tcBorders>
              <w:tl2br w:val="nil"/>
              <w:tr2bl w:val="nil"/>
            </w:tcBorders>
            <w:vAlign w:val="center"/>
          </w:tcPr>
          <w:p w14:paraId="0A74BDBB">
            <w:pPr>
              <w:adjustRightInd w:val="0"/>
              <w:jc w:val="center"/>
              <w:rPr>
                <w:color w:val="auto"/>
                <w:szCs w:val="21"/>
              </w:rPr>
            </w:pPr>
            <w:r>
              <w:rPr>
                <w:color w:val="auto"/>
                <w:szCs w:val="21"/>
              </w:rPr>
              <w:t>LC</w:t>
            </w:r>
          </w:p>
        </w:tc>
        <w:tc>
          <w:tcPr>
            <w:tcW w:w="0" w:type="auto"/>
            <w:tcBorders>
              <w:tl2br w:val="nil"/>
              <w:tr2bl w:val="nil"/>
            </w:tcBorders>
            <w:vAlign w:val="center"/>
          </w:tcPr>
          <w:p w14:paraId="3B9F6C27">
            <w:pPr>
              <w:adjustRightInd w:val="0"/>
              <w:jc w:val="center"/>
              <w:rPr>
                <w:color w:val="auto"/>
                <w:szCs w:val="21"/>
              </w:rPr>
            </w:pPr>
            <w:r>
              <w:rPr>
                <w:color w:val="auto"/>
                <w:szCs w:val="21"/>
              </w:rPr>
              <w:t>K</w:t>
            </w:r>
          </w:p>
        </w:tc>
      </w:tr>
      <w:tr w14:paraId="08554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AB91C1A">
            <w:pPr>
              <w:adjustRightInd w:val="0"/>
              <w:jc w:val="left"/>
              <w:rPr>
                <w:color w:val="auto"/>
                <w:szCs w:val="21"/>
              </w:rPr>
            </w:pPr>
            <w:r>
              <w:rPr>
                <w:b/>
                <w:bCs/>
                <w:color w:val="auto"/>
                <w:szCs w:val="21"/>
              </w:rPr>
              <w:t>（二十一）鹎科 Pycnonotidae</w:t>
            </w:r>
          </w:p>
        </w:tc>
        <w:tc>
          <w:tcPr>
            <w:tcW w:w="0" w:type="auto"/>
            <w:tcBorders>
              <w:tl2br w:val="nil"/>
              <w:tr2bl w:val="nil"/>
            </w:tcBorders>
            <w:vAlign w:val="center"/>
          </w:tcPr>
          <w:p w14:paraId="3A77EA16">
            <w:pPr>
              <w:adjustRightInd w:val="0"/>
              <w:jc w:val="center"/>
              <w:rPr>
                <w:color w:val="auto"/>
                <w:szCs w:val="21"/>
              </w:rPr>
            </w:pPr>
          </w:p>
        </w:tc>
        <w:tc>
          <w:tcPr>
            <w:tcW w:w="0" w:type="auto"/>
            <w:tcBorders>
              <w:tl2br w:val="nil"/>
              <w:tr2bl w:val="nil"/>
            </w:tcBorders>
            <w:vAlign w:val="center"/>
          </w:tcPr>
          <w:p w14:paraId="255C2343">
            <w:pPr>
              <w:adjustRightInd w:val="0"/>
              <w:jc w:val="center"/>
              <w:rPr>
                <w:color w:val="auto"/>
                <w:szCs w:val="21"/>
              </w:rPr>
            </w:pPr>
          </w:p>
        </w:tc>
        <w:tc>
          <w:tcPr>
            <w:tcW w:w="0" w:type="auto"/>
            <w:tcBorders>
              <w:tl2br w:val="nil"/>
              <w:tr2bl w:val="nil"/>
            </w:tcBorders>
            <w:vAlign w:val="center"/>
          </w:tcPr>
          <w:p w14:paraId="5AC18FF0">
            <w:pPr>
              <w:adjustRightInd w:val="0"/>
              <w:jc w:val="center"/>
              <w:rPr>
                <w:color w:val="auto"/>
                <w:szCs w:val="21"/>
              </w:rPr>
            </w:pPr>
          </w:p>
        </w:tc>
        <w:tc>
          <w:tcPr>
            <w:tcW w:w="0" w:type="auto"/>
            <w:tcBorders>
              <w:tl2br w:val="nil"/>
              <w:tr2bl w:val="nil"/>
            </w:tcBorders>
            <w:vAlign w:val="center"/>
          </w:tcPr>
          <w:p w14:paraId="4EBBD8C8">
            <w:pPr>
              <w:adjustRightInd w:val="0"/>
              <w:jc w:val="center"/>
              <w:rPr>
                <w:color w:val="auto"/>
                <w:szCs w:val="21"/>
              </w:rPr>
            </w:pPr>
          </w:p>
        </w:tc>
        <w:tc>
          <w:tcPr>
            <w:tcW w:w="0" w:type="auto"/>
            <w:tcBorders>
              <w:tl2br w:val="nil"/>
              <w:tr2bl w:val="nil"/>
            </w:tcBorders>
            <w:vAlign w:val="center"/>
          </w:tcPr>
          <w:p w14:paraId="17784E65">
            <w:pPr>
              <w:adjustRightInd w:val="0"/>
              <w:jc w:val="center"/>
              <w:rPr>
                <w:color w:val="auto"/>
                <w:szCs w:val="21"/>
              </w:rPr>
            </w:pPr>
          </w:p>
        </w:tc>
        <w:tc>
          <w:tcPr>
            <w:tcW w:w="0" w:type="auto"/>
            <w:tcBorders>
              <w:tl2br w:val="nil"/>
              <w:tr2bl w:val="nil"/>
            </w:tcBorders>
            <w:vAlign w:val="center"/>
          </w:tcPr>
          <w:p w14:paraId="7D643515">
            <w:pPr>
              <w:adjustRightInd w:val="0"/>
              <w:jc w:val="center"/>
              <w:rPr>
                <w:color w:val="auto"/>
                <w:szCs w:val="21"/>
              </w:rPr>
            </w:pPr>
          </w:p>
        </w:tc>
      </w:tr>
      <w:tr w14:paraId="7B834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BE732B3">
            <w:pPr>
              <w:adjustRightInd w:val="0"/>
              <w:jc w:val="left"/>
              <w:rPr>
                <w:color w:val="auto"/>
                <w:szCs w:val="21"/>
              </w:rPr>
            </w:pPr>
            <w:r>
              <w:rPr>
                <w:color w:val="auto"/>
                <w:szCs w:val="21"/>
              </w:rPr>
              <w:t xml:space="preserve">73 领雀嘴鹎 </w:t>
            </w:r>
            <w:r>
              <w:rPr>
                <w:i/>
                <w:iCs/>
                <w:color w:val="auto"/>
                <w:szCs w:val="21"/>
              </w:rPr>
              <w:t>Spizixos semitorques</w:t>
            </w:r>
          </w:p>
        </w:tc>
        <w:tc>
          <w:tcPr>
            <w:tcW w:w="0" w:type="auto"/>
            <w:tcBorders>
              <w:tl2br w:val="nil"/>
              <w:tr2bl w:val="nil"/>
            </w:tcBorders>
            <w:vAlign w:val="center"/>
          </w:tcPr>
          <w:p w14:paraId="7F90D870">
            <w:pPr>
              <w:adjustRightInd w:val="0"/>
              <w:jc w:val="center"/>
              <w:rPr>
                <w:color w:val="auto"/>
                <w:szCs w:val="21"/>
              </w:rPr>
            </w:pPr>
            <w:r>
              <w:rPr>
                <w:color w:val="auto"/>
                <w:szCs w:val="21"/>
              </w:rPr>
              <w:t>R</w:t>
            </w:r>
          </w:p>
        </w:tc>
        <w:tc>
          <w:tcPr>
            <w:tcW w:w="0" w:type="auto"/>
            <w:tcBorders>
              <w:tl2br w:val="nil"/>
              <w:tr2bl w:val="nil"/>
            </w:tcBorders>
            <w:vAlign w:val="center"/>
          </w:tcPr>
          <w:p w14:paraId="72CC319A">
            <w:pPr>
              <w:adjustRightInd w:val="0"/>
              <w:jc w:val="center"/>
              <w:rPr>
                <w:color w:val="auto"/>
                <w:szCs w:val="21"/>
              </w:rPr>
            </w:pPr>
            <w:r>
              <w:rPr>
                <w:color w:val="auto"/>
                <w:szCs w:val="21"/>
              </w:rPr>
              <w:t>O</w:t>
            </w:r>
          </w:p>
        </w:tc>
        <w:tc>
          <w:tcPr>
            <w:tcW w:w="0" w:type="auto"/>
            <w:tcBorders>
              <w:tl2br w:val="nil"/>
              <w:tr2bl w:val="nil"/>
            </w:tcBorders>
            <w:vAlign w:val="center"/>
          </w:tcPr>
          <w:p w14:paraId="1E97D6F6">
            <w:pPr>
              <w:adjustRightInd w:val="0"/>
              <w:jc w:val="center"/>
              <w:rPr>
                <w:color w:val="auto"/>
                <w:szCs w:val="21"/>
              </w:rPr>
            </w:pPr>
          </w:p>
        </w:tc>
        <w:tc>
          <w:tcPr>
            <w:tcW w:w="0" w:type="auto"/>
            <w:tcBorders>
              <w:tl2br w:val="nil"/>
              <w:tr2bl w:val="nil"/>
            </w:tcBorders>
            <w:vAlign w:val="center"/>
          </w:tcPr>
          <w:p w14:paraId="421E5224">
            <w:pPr>
              <w:adjustRightInd w:val="0"/>
              <w:jc w:val="center"/>
              <w:rPr>
                <w:color w:val="auto"/>
                <w:szCs w:val="21"/>
              </w:rPr>
            </w:pPr>
            <w:r>
              <w:rPr>
                <w:color w:val="auto"/>
                <w:szCs w:val="21"/>
              </w:rPr>
              <w:t>三有；湘</w:t>
            </w:r>
          </w:p>
        </w:tc>
        <w:tc>
          <w:tcPr>
            <w:tcW w:w="0" w:type="auto"/>
            <w:tcBorders>
              <w:tl2br w:val="nil"/>
              <w:tr2bl w:val="nil"/>
            </w:tcBorders>
            <w:vAlign w:val="center"/>
          </w:tcPr>
          <w:p w14:paraId="20420074">
            <w:pPr>
              <w:adjustRightInd w:val="0"/>
              <w:jc w:val="center"/>
              <w:rPr>
                <w:color w:val="auto"/>
                <w:szCs w:val="21"/>
              </w:rPr>
            </w:pPr>
            <w:r>
              <w:rPr>
                <w:color w:val="auto"/>
                <w:szCs w:val="21"/>
              </w:rPr>
              <w:t>LC</w:t>
            </w:r>
          </w:p>
        </w:tc>
        <w:tc>
          <w:tcPr>
            <w:tcW w:w="0" w:type="auto"/>
            <w:tcBorders>
              <w:tl2br w:val="nil"/>
              <w:tr2bl w:val="nil"/>
            </w:tcBorders>
            <w:vAlign w:val="center"/>
          </w:tcPr>
          <w:p w14:paraId="1F181FA9">
            <w:pPr>
              <w:adjustRightInd w:val="0"/>
              <w:jc w:val="center"/>
              <w:rPr>
                <w:color w:val="auto"/>
                <w:szCs w:val="21"/>
              </w:rPr>
            </w:pPr>
            <w:r>
              <w:rPr>
                <w:color w:val="auto"/>
                <w:szCs w:val="21"/>
              </w:rPr>
              <w:t>K</w:t>
            </w:r>
          </w:p>
        </w:tc>
      </w:tr>
      <w:tr w14:paraId="7967C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7709946">
            <w:pPr>
              <w:adjustRightInd w:val="0"/>
              <w:jc w:val="left"/>
              <w:rPr>
                <w:color w:val="auto"/>
                <w:szCs w:val="21"/>
              </w:rPr>
            </w:pPr>
            <w:r>
              <w:rPr>
                <w:color w:val="auto"/>
                <w:szCs w:val="21"/>
              </w:rPr>
              <w:t>74 白头鹎</w:t>
            </w:r>
            <w:r>
              <w:rPr>
                <w:i/>
                <w:iCs/>
                <w:color w:val="auto"/>
                <w:szCs w:val="21"/>
              </w:rPr>
              <w:t xml:space="preserve"> Pycnonotus sinensis</w:t>
            </w:r>
          </w:p>
        </w:tc>
        <w:tc>
          <w:tcPr>
            <w:tcW w:w="0" w:type="auto"/>
            <w:tcBorders>
              <w:tl2br w:val="nil"/>
              <w:tr2bl w:val="nil"/>
            </w:tcBorders>
            <w:vAlign w:val="center"/>
          </w:tcPr>
          <w:p w14:paraId="35B512EF">
            <w:pPr>
              <w:adjustRightInd w:val="0"/>
              <w:jc w:val="center"/>
              <w:rPr>
                <w:color w:val="auto"/>
                <w:szCs w:val="21"/>
              </w:rPr>
            </w:pPr>
            <w:r>
              <w:rPr>
                <w:color w:val="auto"/>
                <w:szCs w:val="21"/>
              </w:rPr>
              <w:t>R</w:t>
            </w:r>
          </w:p>
        </w:tc>
        <w:tc>
          <w:tcPr>
            <w:tcW w:w="0" w:type="auto"/>
            <w:tcBorders>
              <w:tl2br w:val="nil"/>
              <w:tr2bl w:val="nil"/>
            </w:tcBorders>
            <w:vAlign w:val="center"/>
          </w:tcPr>
          <w:p w14:paraId="7EA42214">
            <w:pPr>
              <w:adjustRightInd w:val="0"/>
              <w:jc w:val="center"/>
              <w:rPr>
                <w:color w:val="auto"/>
                <w:szCs w:val="21"/>
              </w:rPr>
            </w:pPr>
            <w:r>
              <w:rPr>
                <w:color w:val="auto"/>
                <w:szCs w:val="21"/>
              </w:rPr>
              <w:t>O</w:t>
            </w:r>
          </w:p>
        </w:tc>
        <w:tc>
          <w:tcPr>
            <w:tcW w:w="0" w:type="auto"/>
            <w:tcBorders>
              <w:tl2br w:val="nil"/>
              <w:tr2bl w:val="nil"/>
            </w:tcBorders>
            <w:vAlign w:val="center"/>
          </w:tcPr>
          <w:p w14:paraId="79BC4F80">
            <w:pPr>
              <w:adjustRightInd w:val="0"/>
              <w:jc w:val="center"/>
              <w:rPr>
                <w:color w:val="auto"/>
                <w:szCs w:val="21"/>
              </w:rPr>
            </w:pPr>
          </w:p>
        </w:tc>
        <w:tc>
          <w:tcPr>
            <w:tcW w:w="0" w:type="auto"/>
            <w:tcBorders>
              <w:tl2br w:val="nil"/>
              <w:tr2bl w:val="nil"/>
            </w:tcBorders>
            <w:vAlign w:val="center"/>
          </w:tcPr>
          <w:p w14:paraId="4842D39E">
            <w:pPr>
              <w:adjustRightInd w:val="0"/>
              <w:jc w:val="center"/>
              <w:rPr>
                <w:color w:val="auto"/>
                <w:szCs w:val="21"/>
              </w:rPr>
            </w:pPr>
            <w:r>
              <w:rPr>
                <w:color w:val="auto"/>
                <w:szCs w:val="21"/>
              </w:rPr>
              <w:t>三有；湘</w:t>
            </w:r>
          </w:p>
        </w:tc>
        <w:tc>
          <w:tcPr>
            <w:tcW w:w="0" w:type="auto"/>
            <w:tcBorders>
              <w:tl2br w:val="nil"/>
              <w:tr2bl w:val="nil"/>
            </w:tcBorders>
            <w:vAlign w:val="center"/>
          </w:tcPr>
          <w:p w14:paraId="46BD2073">
            <w:pPr>
              <w:adjustRightInd w:val="0"/>
              <w:jc w:val="center"/>
              <w:rPr>
                <w:color w:val="auto"/>
                <w:szCs w:val="21"/>
              </w:rPr>
            </w:pPr>
            <w:r>
              <w:rPr>
                <w:color w:val="auto"/>
                <w:szCs w:val="21"/>
              </w:rPr>
              <w:t>LC</w:t>
            </w:r>
          </w:p>
        </w:tc>
        <w:tc>
          <w:tcPr>
            <w:tcW w:w="0" w:type="auto"/>
            <w:tcBorders>
              <w:tl2br w:val="nil"/>
              <w:tr2bl w:val="nil"/>
            </w:tcBorders>
            <w:vAlign w:val="center"/>
          </w:tcPr>
          <w:p w14:paraId="6092C3A0">
            <w:pPr>
              <w:adjustRightInd w:val="0"/>
              <w:jc w:val="center"/>
              <w:rPr>
                <w:color w:val="auto"/>
                <w:szCs w:val="21"/>
              </w:rPr>
            </w:pPr>
            <w:r>
              <w:rPr>
                <w:color w:val="auto"/>
                <w:szCs w:val="21"/>
              </w:rPr>
              <w:t>K</w:t>
            </w:r>
          </w:p>
        </w:tc>
      </w:tr>
      <w:tr w14:paraId="55720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D6C257C">
            <w:pPr>
              <w:adjustRightInd w:val="0"/>
              <w:jc w:val="left"/>
              <w:rPr>
                <w:color w:val="auto"/>
                <w:szCs w:val="21"/>
              </w:rPr>
            </w:pPr>
            <w:r>
              <w:rPr>
                <w:color w:val="auto"/>
                <w:szCs w:val="21"/>
              </w:rPr>
              <w:t xml:space="preserve">75 黄臀鹎 </w:t>
            </w:r>
            <w:r>
              <w:rPr>
                <w:i/>
                <w:iCs/>
                <w:color w:val="auto"/>
                <w:szCs w:val="21"/>
              </w:rPr>
              <w:t>Pycnonotus xanthorrhous</w:t>
            </w:r>
          </w:p>
        </w:tc>
        <w:tc>
          <w:tcPr>
            <w:tcW w:w="0" w:type="auto"/>
            <w:tcBorders>
              <w:tl2br w:val="nil"/>
              <w:tr2bl w:val="nil"/>
            </w:tcBorders>
            <w:vAlign w:val="center"/>
          </w:tcPr>
          <w:p w14:paraId="58E6CD9A">
            <w:pPr>
              <w:adjustRightInd w:val="0"/>
              <w:jc w:val="center"/>
              <w:rPr>
                <w:color w:val="auto"/>
                <w:szCs w:val="21"/>
              </w:rPr>
            </w:pPr>
            <w:r>
              <w:rPr>
                <w:color w:val="auto"/>
                <w:szCs w:val="21"/>
              </w:rPr>
              <w:t>R</w:t>
            </w:r>
          </w:p>
        </w:tc>
        <w:tc>
          <w:tcPr>
            <w:tcW w:w="0" w:type="auto"/>
            <w:tcBorders>
              <w:tl2br w:val="nil"/>
              <w:tr2bl w:val="nil"/>
            </w:tcBorders>
            <w:vAlign w:val="center"/>
          </w:tcPr>
          <w:p w14:paraId="296A78B2">
            <w:pPr>
              <w:adjustRightInd w:val="0"/>
              <w:jc w:val="center"/>
              <w:rPr>
                <w:color w:val="auto"/>
                <w:szCs w:val="21"/>
              </w:rPr>
            </w:pPr>
            <w:r>
              <w:rPr>
                <w:color w:val="auto"/>
                <w:szCs w:val="21"/>
              </w:rPr>
              <w:t>O</w:t>
            </w:r>
          </w:p>
        </w:tc>
        <w:tc>
          <w:tcPr>
            <w:tcW w:w="0" w:type="auto"/>
            <w:tcBorders>
              <w:tl2br w:val="nil"/>
              <w:tr2bl w:val="nil"/>
            </w:tcBorders>
            <w:vAlign w:val="center"/>
          </w:tcPr>
          <w:p w14:paraId="74A4FFC8">
            <w:pPr>
              <w:adjustRightInd w:val="0"/>
              <w:jc w:val="center"/>
              <w:rPr>
                <w:color w:val="auto"/>
                <w:szCs w:val="21"/>
              </w:rPr>
            </w:pPr>
          </w:p>
        </w:tc>
        <w:tc>
          <w:tcPr>
            <w:tcW w:w="0" w:type="auto"/>
            <w:tcBorders>
              <w:tl2br w:val="nil"/>
              <w:tr2bl w:val="nil"/>
            </w:tcBorders>
            <w:vAlign w:val="center"/>
          </w:tcPr>
          <w:p w14:paraId="78F5818E">
            <w:pPr>
              <w:adjustRightInd w:val="0"/>
              <w:jc w:val="center"/>
              <w:rPr>
                <w:color w:val="auto"/>
                <w:szCs w:val="21"/>
              </w:rPr>
            </w:pPr>
            <w:r>
              <w:rPr>
                <w:color w:val="auto"/>
                <w:szCs w:val="21"/>
              </w:rPr>
              <w:t>三有；湘</w:t>
            </w:r>
          </w:p>
        </w:tc>
        <w:tc>
          <w:tcPr>
            <w:tcW w:w="0" w:type="auto"/>
            <w:tcBorders>
              <w:tl2br w:val="nil"/>
              <w:tr2bl w:val="nil"/>
            </w:tcBorders>
            <w:vAlign w:val="center"/>
          </w:tcPr>
          <w:p w14:paraId="7D7825FC">
            <w:pPr>
              <w:adjustRightInd w:val="0"/>
              <w:jc w:val="center"/>
              <w:rPr>
                <w:color w:val="auto"/>
                <w:szCs w:val="21"/>
              </w:rPr>
            </w:pPr>
            <w:r>
              <w:rPr>
                <w:color w:val="auto"/>
                <w:szCs w:val="21"/>
              </w:rPr>
              <w:t>LC</w:t>
            </w:r>
          </w:p>
        </w:tc>
        <w:tc>
          <w:tcPr>
            <w:tcW w:w="0" w:type="auto"/>
            <w:tcBorders>
              <w:tl2br w:val="nil"/>
              <w:tr2bl w:val="nil"/>
            </w:tcBorders>
            <w:vAlign w:val="center"/>
          </w:tcPr>
          <w:p w14:paraId="05562910">
            <w:pPr>
              <w:adjustRightInd w:val="0"/>
              <w:jc w:val="center"/>
              <w:rPr>
                <w:color w:val="auto"/>
                <w:szCs w:val="21"/>
              </w:rPr>
            </w:pPr>
            <w:r>
              <w:rPr>
                <w:color w:val="auto"/>
                <w:szCs w:val="21"/>
              </w:rPr>
              <w:t>K</w:t>
            </w:r>
          </w:p>
        </w:tc>
      </w:tr>
      <w:tr w14:paraId="4B374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3D0108E">
            <w:pPr>
              <w:adjustRightInd w:val="0"/>
              <w:jc w:val="left"/>
              <w:rPr>
                <w:color w:val="auto"/>
                <w:szCs w:val="21"/>
              </w:rPr>
            </w:pPr>
            <w:r>
              <w:rPr>
                <w:b/>
                <w:bCs/>
                <w:color w:val="auto"/>
                <w:szCs w:val="21"/>
              </w:rPr>
              <w:t>（二十二）伯劳科 Laniidae</w:t>
            </w:r>
          </w:p>
        </w:tc>
        <w:tc>
          <w:tcPr>
            <w:tcW w:w="0" w:type="auto"/>
            <w:tcBorders>
              <w:tl2br w:val="nil"/>
              <w:tr2bl w:val="nil"/>
            </w:tcBorders>
            <w:vAlign w:val="center"/>
          </w:tcPr>
          <w:p w14:paraId="3017CD9C">
            <w:pPr>
              <w:adjustRightInd w:val="0"/>
              <w:jc w:val="center"/>
              <w:rPr>
                <w:color w:val="auto"/>
                <w:szCs w:val="21"/>
              </w:rPr>
            </w:pPr>
          </w:p>
        </w:tc>
        <w:tc>
          <w:tcPr>
            <w:tcW w:w="0" w:type="auto"/>
            <w:tcBorders>
              <w:tl2br w:val="nil"/>
              <w:tr2bl w:val="nil"/>
            </w:tcBorders>
            <w:vAlign w:val="center"/>
          </w:tcPr>
          <w:p w14:paraId="1C37B217">
            <w:pPr>
              <w:adjustRightInd w:val="0"/>
              <w:jc w:val="center"/>
              <w:rPr>
                <w:color w:val="auto"/>
                <w:szCs w:val="21"/>
              </w:rPr>
            </w:pPr>
          </w:p>
        </w:tc>
        <w:tc>
          <w:tcPr>
            <w:tcW w:w="0" w:type="auto"/>
            <w:tcBorders>
              <w:tl2br w:val="nil"/>
              <w:tr2bl w:val="nil"/>
            </w:tcBorders>
            <w:vAlign w:val="center"/>
          </w:tcPr>
          <w:p w14:paraId="1FB7DCB9">
            <w:pPr>
              <w:adjustRightInd w:val="0"/>
              <w:jc w:val="center"/>
              <w:rPr>
                <w:color w:val="auto"/>
                <w:szCs w:val="21"/>
              </w:rPr>
            </w:pPr>
          </w:p>
        </w:tc>
        <w:tc>
          <w:tcPr>
            <w:tcW w:w="0" w:type="auto"/>
            <w:tcBorders>
              <w:tl2br w:val="nil"/>
              <w:tr2bl w:val="nil"/>
            </w:tcBorders>
            <w:vAlign w:val="center"/>
          </w:tcPr>
          <w:p w14:paraId="6B9B59CE">
            <w:pPr>
              <w:adjustRightInd w:val="0"/>
              <w:jc w:val="center"/>
              <w:rPr>
                <w:color w:val="auto"/>
                <w:szCs w:val="21"/>
              </w:rPr>
            </w:pPr>
          </w:p>
        </w:tc>
        <w:tc>
          <w:tcPr>
            <w:tcW w:w="0" w:type="auto"/>
            <w:tcBorders>
              <w:tl2br w:val="nil"/>
              <w:tr2bl w:val="nil"/>
            </w:tcBorders>
            <w:vAlign w:val="center"/>
          </w:tcPr>
          <w:p w14:paraId="41D1214E">
            <w:pPr>
              <w:adjustRightInd w:val="0"/>
              <w:jc w:val="center"/>
              <w:rPr>
                <w:color w:val="auto"/>
                <w:szCs w:val="21"/>
              </w:rPr>
            </w:pPr>
          </w:p>
        </w:tc>
        <w:tc>
          <w:tcPr>
            <w:tcW w:w="0" w:type="auto"/>
            <w:tcBorders>
              <w:tl2br w:val="nil"/>
              <w:tr2bl w:val="nil"/>
            </w:tcBorders>
            <w:vAlign w:val="center"/>
          </w:tcPr>
          <w:p w14:paraId="0EF795B7">
            <w:pPr>
              <w:adjustRightInd w:val="0"/>
              <w:jc w:val="center"/>
              <w:rPr>
                <w:color w:val="auto"/>
                <w:szCs w:val="21"/>
              </w:rPr>
            </w:pPr>
          </w:p>
        </w:tc>
      </w:tr>
      <w:tr w14:paraId="577E0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1E926FF">
            <w:pPr>
              <w:adjustRightInd w:val="0"/>
              <w:jc w:val="left"/>
              <w:rPr>
                <w:color w:val="auto"/>
                <w:szCs w:val="21"/>
              </w:rPr>
            </w:pPr>
            <w:r>
              <w:rPr>
                <w:color w:val="auto"/>
                <w:szCs w:val="21"/>
              </w:rPr>
              <w:t xml:space="preserve">76 棕背伯劳 </w:t>
            </w:r>
            <w:r>
              <w:rPr>
                <w:i/>
                <w:iCs/>
                <w:color w:val="auto"/>
                <w:szCs w:val="21"/>
              </w:rPr>
              <w:t>Lanius schach</w:t>
            </w:r>
          </w:p>
        </w:tc>
        <w:tc>
          <w:tcPr>
            <w:tcW w:w="0" w:type="auto"/>
            <w:tcBorders>
              <w:tl2br w:val="nil"/>
              <w:tr2bl w:val="nil"/>
            </w:tcBorders>
            <w:vAlign w:val="center"/>
          </w:tcPr>
          <w:p w14:paraId="0889CED2">
            <w:pPr>
              <w:adjustRightInd w:val="0"/>
              <w:jc w:val="center"/>
              <w:rPr>
                <w:color w:val="auto"/>
                <w:szCs w:val="21"/>
              </w:rPr>
            </w:pPr>
            <w:r>
              <w:rPr>
                <w:color w:val="auto"/>
                <w:szCs w:val="21"/>
              </w:rPr>
              <w:t>R</w:t>
            </w:r>
          </w:p>
        </w:tc>
        <w:tc>
          <w:tcPr>
            <w:tcW w:w="0" w:type="auto"/>
            <w:tcBorders>
              <w:tl2br w:val="nil"/>
              <w:tr2bl w:val="nil"/>
            </w:tcBorders>
            <w:vAlign w:val="center"/>
          </w:tcPr>
          <w:p w14:paraId="29CFFB06">
            <w:pPr>
              <w:adjustRightInd w:val="0"/>
              <w:jc w:val="center"/>
              <w:rPr>
                <w:color w:val="auto"/>
                <w:szCs w:val="21"/>
              </w:rPr>
            </w:pPr>
            <w:r>
              <w:rPr>
                <w:color w:val="auto"/>
                <w:szCs w:val="21"/>
              </w:rPr>
              <w:t>O</w:t>
            </w:r>
          </w:p>
        </w:tc>
        <w:tc>
          <w:tcPr>
            <w:tcW w:w="0" w:type="auto"/>
            <w:tcBorders>
              <w:tl2br w:val="nil"/>
              <w:tr2bl w:val="nil"/>
            </w:tcBorders>
            <w:vAlign w:val="center"/>
          </w:tcPr>
          <w:p w14:paraId="2ADDD984">
            <w:pPr>
              <w:adjustRightInd w:val="0"/>
              <w:jc w:val="center"/>
              <w:rPr>
                <w:color w:val="auto"/>
                <w:szCs w:val="21"/>
              </w:rPr>
            </w:pPr>
          </w:p>
        </w:tc>
        <w:tc>
          <w:tcPr>
            <w:tcW w:w="0" w:type="auto"/>
            <w:tcBorders>
              <w:tl2br w:val="nil"/>
              <w:tr2bl w:val="nil"/>
            </w:tcBorders>
            <w:vAlign w:val="center"/>
          </w:tcPr>
          <w:p w14:paraId="1BEE699B">
            <w:pPr>
              <w:adjustRightInd w:val="0"/>
              <w:jc w:val="center"/>
              <w:rPr>
                <w:color w:val="auto"/>
                <w:szCs w:val="21"/>
              </w:rPr>
            </w:pPr>
            <w:r>
              <w:rPr>
                <w:color w:val="auto"/>
                <w:szCs w:val="21"/>
              </w:rPr>
              <w:t>三有；湘</w:t>
            </w:r>
          </w:p>
        </w:tc>
        <w:tc>
          <w:tcPr>
            <w:tcW w:w="0" w:type="auto"/>
            <w:tcBorders>
              <w:tl2br w:val="nil"/>
              <w:tr2bl w:val="nil"/>
            </w:tcBorders>
            <w:vAlign w:val="center"/>
          </w:tcPr>
          <w:p w14:paraId="2456322E">
            <w:pPr>
              <w:adjustRightInd w:val="0"/>
              <w:jc w:val="center"/>
              <w:rPr>
                <w:color w:val="auto"/>
                <w:szCs w:val="21"/>
              </w:rPr>
            </w:pPr>
            <w:r>
              <w:rPr>
                <w:color w:val="auto"/>
                <w:szCs w:val="21"/>
              </w:rPr>
              <w:t>LC</w:t>
            </w:r>
          </w:p>
        </w:tc>
        <w:tc>
          <w:tcPr>
            <w:tcW w:w="0" w:type="auto"/>
            <w:tcBorders>
              <w:tl2br w:val="nil"/>
              <w:tr2bl w:val="nil"/>
            </w:tcBorders>
            <w:vAlign w:val="center"/>
          </w:tcPr>
          <w:p w14:paraId="19CFE482">
            <w:pPr>
              <w:adjustRightInd w:val="0"/>
              <w:jc w:val="center"/>
              <w:rPr>
                <w:color w:val="auto"/>
                <w:szCs w:val="21"/>
              </w:rPr>
            </w:pPr>
            <w:r>
              <w:rPr>
                <w:color w:val="auto"/>
                <w:szCs w:val="21"/>
              </w:rPr>
              <w:t>K</w:t>
            </w:r>
          </w:p>
        </w:tc>
      </w:tr>
      <w:tr w14:paraId="77287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81AE67D">
            <w:pPr>
              <w:adjustRightInd w:val="0"/>
              <w:jc w:val="left"/>
              <w:rPr>
                <w:color w:val="auto"/>
                <w:szCs w:val="21"/>
              </w:rPr>
            </w:pPr>
            <w:r>
              <w:rPr>
                <w:b/>
                <w:bCs/>
                <w:color w:val="auto"/>
                <w:szCs w:val="21"/>
              </w:rPr>
              <w:t>（二十三）卷尾科 Dicruridae</w:t>
            </w:r>
          </w:p>
        </w:tc>
        <w:tc>
          <w:tcPr>
            <w:tcW w:w="0" w:type="auto"/>
            <w:tcBorders>
              <w:tl2br w:val="nil"/>
              <w:tr2bl w:val="nil"/>
            </w:tcBorders>
            <w:vAlign w:val="center"/>
          </w:tcPr>
          <w:p w14:paraId="5B090367">
            <w:pPr>
              <w:adjustRightInd w:val="0"/>
              <w:jc w:val="center"/>
              <w:rPr>
                <w:color w:val="auto"/>
                <w:szCs w:val="21"/>
              </w:rPr>
            </w:pPr>
          </w:p>
        </w:tc>
        <w:tc>
          <w:tcPr>
            <w:tcW w:w="0" w:type="auto"/>
            <w:tcBorders>
              <w:tl2br w:val="nil"/>
              <w:tr2bl w:val="nil"/>
            </w:tcBorders>
            <w:vAlign w:val="center"/>
          </w:tcPr>
          <w:p w14:paraId="03D476E4">
            <w:pPr>
              <w:adjustRightInd w:val="0"/>
              <w:jc w:val="center"/>
              <w:rPr>
                <w:color w:val="auto"/>
                <w:szCs w:val="21"/>
              </w:rPr>
            </w:pPr>
          </w:p>
        </w:tc>
        <w:tc>
          <w:tcPr>
            <w:tcW w:w="0" w:type="auto"/>
            <w:tcBorders>
              <w:tl2br w:val="nil"/>
              <w:tr2bl w:val="nil"/>
            </w:tcBorders>
            <w:vAlign w:val="center"/>
          </w:tcPr>
          <w:p w14:paraId="08E1AE98">
            <w:pPr>
              <w:adjustRightInd w:val="0"/>
              <w:jc w:val="center"/>
              <w:rPr>
                <w:color w:val="auto"/>
                <w:szCs w:val="21"/>
              </w:rPr>
            </w:pPr>
          </w:p>
        </w:tc>
        <w:tc>
          <w:tcPr>
            <w:tcW w:w="0" w:type="auto"/>
            <w:tcBorders>
              <w:tl2br w:val="nil"/>
              <w:tr2bl w:val="nil"/>
            </w:tcBorders>
            <w:vAlign w:val="center"/>
          </w:tcPr>
          <w:p w14:paraId="54F3C5AC">
            <w:pPr>
              <w:adjustRightInd w:val="0"/>
              <w:jc w:val="center"/>
              <w:rPr>
                <w:color w:val="auto"/>
                <w:szCs w:val="21"/>
              </w:rPr>
            </w:pPr>
          </w:p>
        </w:tc>
        <w:tc>
          <w:tcPr>
            <w:tcW w:w="0" w:type="auto"/>
            <w:tcBorders>
              <w:tl2br w:val="nil"/>
              <w:tr2bl w:val="nil"/>
            </w:tcBorders>
            <w:vAlign w:val="center"/>
          </w:tcPr>
          <w:p w14:paraId="26F34A20">
            <w:pPr>
              <w:adjustRightInd w:val="0"/>
              <w:jc w:val="center"/>
              <w:rPr>
                <w:color w:val="auto"/>
                <w:szCs w:val="21"/>
              </w:rPr>
            </w:pPr>
          </w:p>
        </w:tc>
        <w:tc>
          <w:tcPr>
            <w:tcW w:w="0" w:type="auto"/>
            <w:tcBorders>
              <w:tl2br w:val="nil"/>
              <w:tr2bl w:val="nil"/>
            </w:tcBorders>
            <w:vAlign w:val="center"/>
          </w:tcPr>
          <w:p w14:paraId="5E6F8404">
            <w:pPr>
              <w:adjustRightInd w:val="0"/>
              <w:jc w:val="center"/>
              <w:rPr>
                <w:color w:val="auto"/>
                <w:szCs w:val="21"/>
              </w:rPr>
            </w:pPr>
          </w:p>
        </w:tc>
      </w:tr>
      <w:tr w14:paraId="0436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68ABD56">
            <w:pPr>
              <w:adjustRightInd w:val="0"/>
              <w:jc w:val="left"/>
              <w:rPr>
                <w:color w:val="auto"/>
                <w:szCs w:val="21"/>
              </w:rPr>
            </w:pPr>
            <w:r>
              <w:rPr>
                <w:color w:val="auto"/>
                <w:szCs w:val="21"/>
              </w:rPr>
              <w:t xml:space="preserve">77 黑卷尾 </w:t>
            </w:r>
            <w:r>
              <w:rPr>
                <w:i/>
                <w:iCs/>
                <w:color w:val="auto"/>
                <w:szCs w:val="21"/>
              </w:rPr>
              <w:t>Dicrurus macrocercus</w:t>
            </w:r>
          </w:p>
        </w:tc>
        <w:tc>
          <w:tcPr>
            <w:tcW w:w="0" w:type="auto"/>
            <w:tcBorders>
              <w:tl2br w:val="nil"/>
              <w:tr2bl w:val="nil"/>
            </w:tcBorders>
            <w:vAlign w:val="center"/>
          </w:tcPr>
          <w:p w14:paraId="738E6FAB">
            <w:pPr>
              <w:adjustRightInd w:val="0"/>
              <w:jc w:val="center"/>
              <w:rPr>
                <w:color w:val="auto"/>
                <w:szCs w:val="21"/>
              </w:rPr>
            </w:pPr>
            <w:r>
              <w:rPr>
                <w:color w:val="auto"/>
                <w:szCs w:val="21"/>
              </w:rPr>
              <w:t>S</w:t>
            </w:r>
          </w:p>
        </w:tc>
        <w:tc>
          <w:tcPr>
            <w:tcW w:w="0" w:type="auto"/>
            <w:tcBorders>
              <w:tl2br w:val="nil"/>
              <w:tr2bl w:val="nil"/>
            </w:tcBorders>
            <w:vAlign w:val="center"/>
          </w:tcPr>
          <w:p w14:paraId="3A5EF4BF">
            <w:pPr>
              <w:adjustRightInd w:val="0"/>
              <w:jc w:val="center"/>
              <w:rPr>
                <w:color w:val="auto"/>
                <w:szCs w:val="21"/>
              </w:rPr>
            </w:pPr>
            <w:r>
              <w:rPr>
                <w:color w:val="auto"/>
                <w:szCs w:val="21"/>
              </w:rPr>
              <w:t>O</w:t>
            </w:r>
          </w:p>
        </w:tc>
        <w:tc>
          <w:tcPr>
            <w:tcW w:w="0" w:type="auto"/>
            <w:tcBorders>
              <w:tl2br w:val="nil"/>
              <w:tr2bl w:val="nil"/>
            </w:tcBorders>
            <w:vAlign w:val="center"/>
          </w:tcPr>
          <w:p w14:paraId="67E02684">
            <w:pPr>
              <w:adjustRightInd w:val="0"/>
              <w:jc w:val="center"/>
              <w:rPr>
                <w:color w:val="auto"/>
                <w:szCs w:val="21"/>
              </w:rPr>
            </w:pPr>
          </w:p>
        </w:tc>
        <w:tc>
          <w:tcPr>
            <w:tcW w:w="0" w:type="auto"/>
            <w:tcBorders>
              <w:tl2br w:val="nil"/>
              <w:tr2bl w:val="nil"/>
            </w:tcBorders>
            <w:vAlign w:val="center"/>
          </w:tcPr>
          <w:p w14:paraId="1D327BB5">
            <w:pPr>
              <w:adjustRightInd w:val="0"/>
              <w:jc w:val="center"/>
              <w:rPr>
                <w:color w:val="auto"/>
                <w:szCs w:val="21"/>
              </w:rPr>
            </w:pPr>
            <w:r>
              <w:rPr>
                <w:color w:val="auto"/>
                <w:szCs w:val="21"/>
              </w:rPr>
              <w:t>三有；湘</w:t>
            </w:r>
          </w:p>
        </w:tc>
        <w:tc>
          <w:tcPr>
            <w:tcW w:w="0" w:type="auto"/>
            <w:tcBorders>
              <w:tl2br w:val="nil"/>
              <w:tr2bl w:val="nil"/>
            </w:tcBorders>
            <w:vAlign w:val="center"/>
          </w:tcPr>
          <w:p w14:paraId="34C09BDB">
            <w:pPr>
              <w:adjustRightInd w:val="0"/>
              <w:jc w:val="center"/>
              <w:rPr>
                <w:color w:val="auto"/>
                <w:szCs w:val="21"/>
              </w:rPr>
            </w:pPr>
            <w:r>
              <w:rPr>
                <w:color w:val="auto"/>
                <w:szCs w:val="21"/>
              </w:rPr>
              <w:t>LC</w:t>
            </w:r>
          </w:p>
        </w:tc>
        <w:tc>
          <w:tcPr>
            <w:tcW w:w="0" w:type="auto"/>
            <w:tcBorders>
              <w:tl2br w:val="nil"/>
              <w:tr2bl w:val="nil"/>
            </w:tcBorders>
            <w:vAlign w:val="center"/>
          </w:tcPr>
          <w:p w14:paraId="5C27F6E0">
            <w:pPr>
              <w:adjustRightInd w:val="0"/>
              <w:jc w:val="center"/>
              <w:rPr>
                <w:color w:val="auto"/>
                <w:szCs w:val="21"/>
              </w:rPr>
            </w:pPr>
            <w:r>
              <w:rPr>
                <w:color w:val="auto"/>
                <w:szCs w:val="21"/>
              </w:rPr>
              <w:t>K</w:t>
            </w:r>
          </w:p>
        </w:tc>
      </w:tr>
      <w:tr w14:paraId="19DA7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6420419">
            <w:pPr>
              <w:adjustRightInd w:val="0"/>
              <w:jc w:val="left"/>
              <w:rPr>
                <w:color w:val="auto"/>
                <w:szCs w:val="21"/>
              </w:rPr>
            </w:pPr>
            <w:r>
              <w:rPr>
                <w:b/>
                <w:bCs/>
                <w:color w:val="auto"/>
                <w:szCs w:val="21"/>
              </w:rPr>
              <w:t>（二十四）椋鸟科 Sturnidae</w:t>
            </w:r>
          </w:p>
        </w:tc>
        <w:tc>
          <w:tcPr>
            <w:tcW w:w="0" w:type="auto"/>
            <w:tcBorders>
              <w:tl2br w:val="nil"/>
              <w:tr2bl w:val="nil"/>
            </w:tcBorders>
            <w:vAlign w:val="center"/>
          </w:tcPr>
          <w:p w14:paraId="6DA4160F">
            <w:pPr>
              <w:adjustRightInd w:val="0"/>
              <w:jc w:val="center"/>
              <w:rPr>
                <w:color w:val="auto"/>
                <w:szCs w:val="21"/>
              </w:rPr>
            </w:pPr>
          </w:p>
        </w:tc>
        <w:tc>
          <w:tcPr>
            <w:tcW w:w="0" w:type="auto"/>
            <w:tcBorders>
              <w:tl2br w:val="nil"/>
              <w:tr2bl w:val="nil"/>
            </w:tcBorders>
            <w:vAlign w:val="center"/>
          </w:tcPr>
          <w:p w14:paraId="4AEF3BA1">
            <w:pPr>
              <w:adjustRightInd w:val="0"/>
              <w:jc w:val="center"/>
              <w:rPr>
                <w:color w:val="auto"/>
                <w:szCs w:val="21"/>
              </w:rPr>
            </w:pPr>
          </w:p>
        </w:tc>
        <w:tc>
          <w:tcPr>
            <w:tcW w:w="0" w:type="auto"/>
            <w:tcBorders>
              <w:tl2br w:val="nil"/>
              <w:tr2bl w:val="nil"/>
            </w:tcBorders>
            <w:vAlign w:val="center"/>
          </w:tcPr>
          <w:p w14:paraId="56CF64D5">
            <w:pPr>
              <w:adjustRightInd w:val="0"/>
              <w:jc w:val="center"/>
              <w:rPr>
                <w:color w:val="auto"/>
                <w:szCs w:val="21"/>
              </w:rPr>
            </w:pPr>
          </w:p>
        </w:tc>
        <w:tc>
          <w:tcPr>
            <w:tcW w:w="0" w:type="auto"/>
            <w:tcBorders>
              <w:tl2br w:val="nil"/>
              <w:tr2bl w:val="nil"/>
            </w:tcBorders>
            <w:vAlign w:val="center"/>
          </w:tcPr>
          <w:p w14:paraId="6D5C14F2">
            <w:pPr>
              <w:adjustRightInd w:val="0"/>
              <w:jc w:val="center"/>
              <w:rPr>
                <w:color w:val="auto"/>
                <w:szCs w:val="21"/>
              </w:rPr>
            </w:pPr>
          </w:p>
        </w:tc>
        <w:tc>
          <w:tcPr>
            <w:tcW w:w="0" w:type="auto"/>
            <w:tcBorders>
              <w:tl2br w:val="nil"/>
              <w:tr2bl w:val="nil"/>
            </w:tcBorders>
            <w:vAlign w:val="center"/>
          </w:tcPr>
          <w:p w14:paraId="009C7264">
            <w:pPr>
              <w:adjustRightInd w:val="0"/>
              <w:jc w:val="center"/>
              <w:rPr>
                <w:color w:val="auto"/>
                <w:szCs w:val="21"/>
              </w:rPr>
            </w:pPr>
          </w:p>
        </w:tc>
        <w:tc>
          <w:tcPr>
            <w:tcW w:w="0" w:type="auto"/>
            <w:tcBorders>
              <w:tl2br w:val="nil"/>
              <w:tr2bl w:val="nil"/>
            </w:tcBorders>
            <w:vAlign w:val="center"/>
          </w:tcPr>
          <w:p w14:paraId="0CDD1E27">
            <w:pPr>
              <w:adjustRightInd w:val="0"/>
              <w:jc w:val="center"/>
              <w:rPr>
                <w:color w:val="auto"/>
                <w:szCs w:val="21"/>
              </w:rPr>
            </w:pPr>
          </w:p>
        </w:tc>
      </w:tr>
      <w:tr w14:paraId="51E68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6E20EEC6">
            <w:pPr>
              <w:adjustRightInd w:val="0"/>
              <w:jc w:val="left"/>
              <w:rPr>
                <w:color w:val="auto"/>
                <w:szCs w:val="21"/>
              </w:rPr>
            </w:pPr>
            <w:r>
              <w:rPr>
                <w:color w:val="auto"/>
                <w:szCs w:val="21"/>
              </w:rPr>
              <w:t xml:space="preserve">78 灰椋鸟 </w:t>
            </w:r>
            <w:r>
              <w:rPr>
                <w:i/>
                <w:iCs/>
                <w:color w:val="auto"/>
                <w:szCs w:val="21"/>
              </w:rPr>
              <w:t>Sturnus cineraceus</w:t>
            </w:r>
          </w:p>
        </w:tc>
        <w:tc>
          <w:tcPr>
            <w:tcW w:w="0" w:type="auto"/>
            <w:tcBorders>
              <w:tl2br w:val="nil"/>
              <w:tr2bl w:val="nil"/>
            </w:tcBorders>
            <w:vAlign w:val="center"/>
          </w:tcPr>
          <w:p w14:paraId="00751489">
            <w:pPr>
              <w:adjustRightInd w:val="0"/>
              <w:jc w:val="center"/>
              <w:rPr>
                <w:color w:val="auto"/>
                <w:szCs w:val="21"/>
              </w:rPr>
            </w:pPr>
            <w:r>
              <w:rPr>
                <w:color w:val="auto"/>
                <w:szCs w:val="21"/>
              </w:rPr>
              <w:t>W</w:t>
            </w:r>
          </w:p>
        </w:tc>
        <w:tc>
          <w:tcPr>
            <w:tcW w:w="0" w:type="auto"/>
            <w:tcBorders>
              <w:tl2br w:val="nil"/>
              <w:tr2bl w:val="nil"/>
            </w:tcBorders>
            <w:vAlign w:val="center"/>
          </w:tcPr>
          <w:p w14:paraId="26A18B89">
            <w:pPr>
              <w:adjustRightInd w:val="0"/>
              <w:jc w:val="center"/>
              <w:rPr>
                <w:color w:val="auto"/>
                <w:szCs w:val="21"/>
              </w:rPr>
            </w:pPr>
            <w:r>
              <w:rPr>
                <w:color w:val="auto"/>
                <w:szCs w:val="21"/>
              </w:rPr>
              <w:t>P</w:t>
            </w:r>
          </w:p>
        </w:tc>
        <w:tc>
          <w:tcPr>
            <w:tcW w:w="0" w:type="auto"/>
            <w:tcBorders>
              <w:tl2br w:val="nil"/>
              <w:tr2bl w:val="nil"/>
            </w:tcBorders>
            <w:vAlign w:val="center"/>
          </w:tcPr>
          <w:p w14:paraId="1E72D05A">
            <w:pPr>
              <w:adjustRightInd w:val="0"/>
              <w:jc w:val="center"/>
              <w:rPr>
                <w:color w:val="auto"/>
                <w:szCs w:val="21"/>
              </w:rPr>
            </w:pPr>
          </w:p>
        </w:tc>
        <w:tc>
          <w:tcPr>
            <w:tcW w:w="0" w:type="auto"/>
            <w:tcBorders>
              <w:tl2br w:val="nil"/>
              <w:tr2bl w:val="nil"/>
            </w:tcBorders>
            <w:vAlign w:val="center"/>
          </w:tcPr>
          <w:p w14:paraId="35AFD9E9">
            <w:pPr>
              <w:adjustRightInd w:val="0"/>
              <w:jc w:val="center"/>
              <w:rPr>
                <w:color w:val="auto"/>
                <w:szCs w:val="21"/>
              </w:rPr>
            </w:pPr>
            <w:r>
              <w:rPr>
                <w:color w:val="auto"/>
                <w:szCs w:val="21"/>
              </w:rPr>
              <w:t>三有</w:t>
            </w:r>
          </w:p>
        </w:tc>
        <w:tc>
          <w:tcPr>
            <w:tcW w:w="0" w:type="auto"/>
            <w:tcBorders>
              <w:tl2br w:val="nil"/>
              <w:tr2bl w:val="nil"/>
            </w:tcBorders>
            <w:vAlign w:val="center"/>
          </w:tcPr>
          <w:p w14:paraId="36478D3C">
            <w:pPr>
              <w:adjustRightInd w:val="0"/>
              <w:jc w:val="center"/>
              <w:rPr>
                <w:color w:val="auto"/>
                <w:szCs w:val="21"/>
              </w:rPr>
            </w:pPr>
            <w:r>
              <w:rPr>
                <w:color w:val="auto"/>
                <w:szCs w:val="21"/>
              </w:rPr>
              <w:t>LC</w:t>
            </w:r>
          </w:p>
        </w:tc>
        <w:tc>
          <w:tcPr>
            <w:tcW w:w="0" w:type="auto"/>
            <w:tcBorders>
              <w:tl2br w:val="nil"/>
              <w:tr2bl w:val="nil"/>
            </w:tcBorders>
            <w:vAlign w:val="center"/>
          </w:tcPr>
          <w:p w14:paraId="720200D3">
            <w:pPr>
              <w:adjustRightInd w:val="0"/>
              <w:jc w:val="center"/>
              <w:rPr>
                <w:color w:val="auto"/>
                <w:szCs w:val="21"/>
              </w:rPr>
            </w:pPr>
            <w:r>
              <w:rPr>
                <w:color w:val="auto"/>
                <w:szCs w:val="21"/>
              </w:rPr>
              <w:t>K</w:t>
            </w:r>
          </w:p>
        </w:tc>
      </w:tr>
      <w:tr w14:paraId="3A6EC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144FAD01">
            <w:pPr>
              <w:adjustRightInd w:val="0"/>
              <w:jc w:val="left"/>
              <w:rPr>
                <w:color w:val="auto"/>
                <w:szCs w:val="21"/>
              </w:rPr>
            </w:pPr>
            <w:r>
              <w:rPr>
                <w:color w:val="auto"/>
                <w:szCs w:val="21"/>
              </w:rPr>
              <w:t xml:space="preserve">79 八哥 </w:t>
            </w:r>
            <w:r>
              <w:rPr>
                <w:i/>
                <w:iCs/>
                <w:color w:val="auto"/>
                <w:szCs w:val="21"/>
              </w:rPr>
              <w:t>Acridotheres cristatellus</w:t>
            </w:r>
          </w:p>
        </w:tc>
        <w:tc>
          <w:tcPr>
            <w:tcW w:w="0" w:type="auto"/>
            <w:tcBorders>
              <w:tl2br w:val="nil"/>
              <w:tr2bl w:val="nil"/>
            </w:tcBorders>
            <w:vAlign w:val="center"/>
          </w:tcPr>
          <w:p w14:paraId="4FACABDF">
            <w:pPr>
              <w:adjustRightInd w:val="0"/>
              <w:jc w:val="center"/>
              <w:rPr>
                <w:color w:val="auto"/>
                <w:szCs w:val="21"/>
              </w:rPr>
            </w:pPr>
            <w:r>
              <w:rPr>
                <w:color w:val="auto"/>
                <w:szCs w:val="21"/>
              </w:rPr>
              <w:t>R</w:t>
            </w:r>
          </w:p>
        </w:tc>
        <w:tc>
          <w:tcPr>
            <w:tcW w:w="0" w:type="auto"/>
            <w:tcBorders>
              <w:tl2br w:val="nil"/>
              <w:tr2bl w:val="nil"/>
            </w:tcBorders>
            <w:vAlign w:val="center"/>
          </w:tcPr>
          <w:p w14:paraId="2E4A5FCE">
            <w:pPr>
              <w:adjustRightInd w:val="0"/>
              <w:jc w:val="center"/>
              <w:rPr>
                <w:color w:val="auto"/>
                <w:szCs w:val="21"/>
              </w:rPr>
            </w:pPr>
            <w:r>
              <w:rPr>
                <w:color w:val="auto"/>
                <w:szCs w:val="21"/>
              </w:rPr>
              <w:t>O</w:t>
            </w:r>
          </w:p>
        </w:tc>
        <w:tc>
          <w:tcPr>
            <w:tcW w:w="0" w:type="auto"/>
            <w:tcBorders>
              <w:tl2br w:val="nil"/>
              <w:tr2bl w:val="nil"/>
            </w:tcBorders>
            <w:vAlign w:val="center"/>
          </w:tcPr>
          <w:p w14:paraId="764A3AD9">
            <w:pPr>
              <w:adjustRightInd w:val="0"/>
              <w:jc w:val="center"/>
              <w:rPr>
                <w:color w:val="auto"/>
                <w:szCs w:val="21"/>
              </w:rPr>
            </w:pPr>
          </w:p>
        </w:tc>
        <w:tc>
          <w:tcPr>
            <w:tcW w:w="0" w:type="auto"/>
            <w:tcBorders>
              <w:tl2br w:val="nil"/>
              <w:tr2bl w:val="nil"/>
            </w:tcBorders>
            <w:vAlign w:val="center"/>
          </w:tcPr>
          <w:p w14:paraId="18C08EF2">
            <w:pPr>
              <w:adjustRightInd w:val="0"/>
              <w:jc w:val="center"/>
              <w:rPr>
                <w:color w:val="auto"/>
                <w:szCs w:val="21"/>
              </w:rPr>
            </w:pPr>
            <w:r>
              <w:rPr>
                <w:color w:val="auto"/>
                <w:szCs w:val="21"/>
              </w:rPr>
              <w:t>三有；湘</w:t>
            </w:r>
          </w:p>
        </w:tc>
        <w:tc>
          <w:tcPr>
            <w:tcW w:w="0" w:type="auto"/>
            <w:tcBorders>
              <w:tl2br w:val="nil"/>
              <w:tr2bl w:val="nil"/>
            </w:tcBorders>
            <w:vAlign w:val="center"/>
          </w:tcPr>
          <w:p w14:paraId="2E3893FC">
            <w:pPr>
              <w:adjustRightInd w:val="0"/>
              <w:jc w:val="center"/>
              <w:rPr>
                <w:color w:val="auto"/>
                <w:szCs w:val="21"/>
              </w:rPr>
            </w:pPr>
            <w:r>
              <w:rPr>
                <w:color w:val="auto"/>
                <w:szCs w:val="21"/>
              </w:rPr>
              <w:t>LC</w:t>
            </w:r>
          </w:p>
        </w:tc>
        <w:tc>
          <w:tcPr>
            <w:tcW w:w="0" w:type="auto"/>
            <w:tcBorders>
              <w:tl2br w:val="nil"/>
              <w:tr2bl w:val="nil"/>
            </w:tcBorders>
            <w:vAlign w:val="center"/>
          </w:tcPr>
          <w:p w14:paraId="4B91FB9E">
            <w:pPr>
              <w:adjustRightInd w:val="0"/>
              <w:jc w:val="center"/>
              <w:rPr>
                <w:color w:val="auto"/>
                <w:szCs w:val="21"/>
              </w:rPr>
            </w:pPr>
            <w:r>
              <w:rPr>
                <w:color w:val="auto"/>
                <w:szCs w:val="21"/>
              </w:rPr>
              <w:t>K</w:t>
            </w:r>
          </w:p>
        </w:tc>
      </w:tr>
      <w:tr w14:paraId="6911C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765B066">
            <w:pPr>
              <w:adjustRightInd w:val="0"/>
              <w:jc w:val="left"/>
              <w:rPr>
                <w:color w:val="auto"/>
                <w:szCs w:val="21"/>
              </w:rPr>
            </w:pPr>
            <w:r>
              <w:rPr>
                <w:color w:val="auto"/>
                <w:szCs w:val="21"/>
              </w:rPr>
              <w:t xml:space="preserve">80 丝光椋鸟 </w:t>
            </w:r>
            <w:r>
              <w:rPr>
                <w:i/>
                <w:iCs/>
                <w:color w:val="auto"/>
                <w:szCs w:val="21"/>
              </w:rPr>
              <w:t>Sturnus sericeus</w:t>
            </w:r>
          </w:p>
        </w:tc>
        <w:tc>
          <w:tcPr>
            <w:tcW w:w="0" w:type="auto"/>
            <w:tcBorders>
              <w:tl2br w:val="nil"/>
              <w:tr2bl w:val="nil"/>
            </w:tcBorders>
            <w:vAlign w:val="center"/>
          </w:tcPr>
          <w:p w14:paraId="232D01D0">
            <w:pPr>
              <w:adjustRightInd w:val="0"/>
              <w:jc w:val="center"/>
              <w:rPr>
                <w:color w:val="auto"/>
                <w:szCs w:val="21"/>
              </w:rPr>
            </w:pPr>
            <w:r>
              <w:rPr>
                <w:color w:val="auto"/>
                <w:szCs w:val="21"/>
              </w:rPr>
              <w:t>R</w:t>
            </w:r>
          </w:p>
        </w:tc>
        <w:tc>
          <w:tcPr>
            <w:tcW w:w="0" w:type="auto"/>
            <w:tcBorders>
              <w:tl2br w:val="nil"/>
              <w:tr2bl w:val="nil"/>
            </w:tcBorders>
            <w:vAlign w:val="center"/>
          </w:tcPr>
          <w:p w14:paraId="10AB4A5A">
            <w:pPr>
              <w:adjustRightInd w:val="0"/>
              <w:jc w:val="center"/>
              <w:rPr>
                <w:color w:val="auto"/>
                <w:szCs w:val="21"/>
              </w:rPr>
            </w:pPr>
            <w:r>
              <w:rPr>
                <w:color w:val="auto"/>
                <w:szCs w:val="21"/>
              </w:rPr>
              <w:t>O</w:t>
            </w:r>
          </w:p>
        </w:tc>
        <w:tc>
          <w:tcPr>
            <w:tcW w:w="0" w:type="auto"/>
            <w:tcBorders>
              <w:tl2br w:val="nil"/>
              <w:tr2bl w:val="nil"/>
            </w:tcBorders>
            <w:vAlign w:val="center"/>
          </w:tcPr>
          <w:p w14:paraId="1650249B">
            <w:pPr>
              <w:adjustRightInd w:val="0"/>
              <w:jc w:val="center"/>
              <w:rPr>
                <w:color w:val="auto"/>
                <w:szCs w:val="21"/>
              </w:rPr>
            </w:pPr>
          </w:p>
        </w:tc>
        <w:tc>
          <w:tcPr>
            <w:tcW w:w="0" w:type="auto"/>
            <w:tcBorders>
              <w:tl2br w:val="nil"/>
              <w:tr2bl w:val="nil"/>
            </w:tcBorders>
            <w:vAlign w:val="center"/>
          </w:tcPr>
          <w:p w14:paraId="1B9913D8">
            <w:pPr>
              <w:adjustRightInd w:val="0"/>
              <w:jc w:val="center"/>
              <w:rPr>
                <w:color w:val="auto"/>
                <w:szCs w:val="21"/>
              </w:rPr>
            </w:pPr>
            <w:r>
              <w:rPr>
                <w:color w:val="auto"/>
                <w:szCs w:val="21"/>
              </w:rPr>
              <w:t>三有</w:t>
            </w:r>
          </w:p>
        </w:tc>
        <w:tc>
          <w:tcPr>
            <w:tcW w:w="0" w:type="auto"/>
            <w:tcBorders>
              <w:tl2br w:val="nil"/>
              <w:tr2bl w:val="nil"/>
            </w:tcBorders>
            <w:vAlign w:val="center"/>
          </w:tcPr>
          <w:p w14:paraId="5A9B0E86">
            <w:pPr>
              <w:adjustRightInd w:val="0"/>
              <w:jc w:val="center"/>
              <w:rPr>
                <w:color w:val="auto"/>
                <w:szCs w:val="21"/>
              </w:rPr>
            </w:pPr>
            <w:r>
              <w:rPr>
                <w:color w:val="auto"/>
                <w:szCs w:val="21"/>
              </w:rPr>
              <w:t>LC</w:t>
            </w:r>
          </w:p>
        </w:tc>
        <w:tc>
          <w:tcPr>
            <w:tcW w:w="0" w:type="auto"/>
            <w:tcBorders>
              <w:tl2br w:val="nil"/>
              <w:tr2bl w:val="nil"/>
            </w:tcBorders>
            <w:vAlign w:val="center"/>
          </w:tcPr>
          <w:p w14:paraId="09890858">
            <w:pPr>
              <w:adjustRightInd w:val="0"/>
              <w:jc w:val="center"/>
              <w:rPr>
                <w:color w:val="auto"/>
                <w:szCs w:val="21"/>
              </w:rPr>
            </w:pPr>
            <w:r>
              <w:rPr>
                <w:color w:val="auto"/>
                <w:szCs w:val="21"/>
              </w:rPr>
              <w:t>K</w:t>
            </w:r>
          </w:p>
        </w:tc>
      </w:tr>
      <w:tr w14:paraId="505B8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B0162B9">
            <w:pPr>
              <w:adjustRightInd w:val="0"/>
              <w:jc w:val="left"/>
              <w:rPr>
                <w:color w:val="auto"/>
                <w:szCs w:val="21"/>
              </w:rPr>
            </w:pPr>
            <w:r>
              <w:rPr>
                <w:b/>
                <w:bCs/>
                <w:color w:val="auto"/>
                <w:szCs w:val="21"/>
              </w:rPr>
              <w:t>（二十五）鸦科 Corvidae</w:t>
            </w:r>
          </w:p>
        </w:tc>
        <w:tc>
          <w:tcPr>
            <w:tcW w:w="0" w:type="auto"/>
            <w:tcBorders>
              <w:tl2br w:val="nil"/>
              <w:tr2bl w:val="nil"/>
            </w:tcBorders>
            <w:vAlign w:val="center"/>
          </w:tcPr>
          <w:p w14:paraId="2F35348A">
            <w:pPr>
              <w:adjustRightInd w:val="0"/>
              <w:jc w:val="center"/>
              <w:rPr>
                <w:color w:val="auto"/>
                <w:szCs w:val="21"/>
              </w:rPr>
            </w:pPr>
          </w:p>
        </w:tc>
        <w:tc>
          <w:tcPr>
            <w:tcW w:w="0" w:type="auto"/>
            <w:tcBorders>
              <w:tl2br w:val="nil"/>
              <w:tr2bl w:val="nil"/>
            </w:tcBorders>
            <w:vAlign w:val="center"/>
          </w:tcPr>
          <w:p w14:paraId="272D6A2D">
            <w:pPr>
              <w:adjustRightInd w:val="0"/>
              <w:jc w:val="center"/>
              <w:rPr>
                <w:color w:val="auto"/>
                <w:szCs w:val="21"/>
              </w:rPr>
            </w:pPr>
          </w:p>
        </w:tc>
        <w:tc>
          <w:tcPr>
            <w:tcW w:w="0" w:type="auto"/>
            <w:tcBorders>
              <w:tl2br w:val="nil"/>
              <w:tr2bl w:val="nil"/>
            </w:tcBorders>
            <w:vAlign w:val="center"/>
          </w:tcPr>
          <w:p w14:paraId="144F043C">
            <w:pPr>
              <w:adjustRightInd w:val="0"/>
              <w:jc w:val="center"/>
              <w:rPr>
                <w:color w:val="auto"/>
                <w:szCs w:val="21"/>
              </w:rPr>
            </w:pPr>
          </w:p>
        </w:tc>
        <w:tc>
          <w:tcPr>
            <w:tcW w:w="0" w:type="auto"/>
            <w:tcBorders>
              <w:tl2br w:val="nil"/>
              <w:tr2bl w:val="nil"/>
            </w:tcBorders>
            <w:vAlign w:val="center"/>
          </w:tcPr>
          <w:p w14:paraId="36623B01">
            <w:pPr>
              <w:adjustRightInd w:val="0"/>
              <w:jc w:val="center"/>
              <w:rPr>
                <w:color w:val="auto"/>
                <w:szCs w:val="21"/>
              </w:rPr>
            </w:pPr>
          </w:p>
        </w:tc>
        <w:tc>
          <w:tcPr>
            <w:tcW w:w="0" w:type="auto"/>
            <w:tcBorders>
              <w:tl2br w:val="nil"/>
              <w:tr2bl w:val="nil"/>
            </w:tcBorders>
            <w:vAlign w:val="center"/>
          </w:tcPr>
          <w:p w14:paraId="717E5A98">
            <w:pPr>
              <w:adjustRightInd w:val="0"/>
              <w:jc w:val="center"/>
              <w:rPr>
                <w:color w:val="auto"/>
                <w:szCs w:val="21"/>
              </w:rPr>
            </w:pPr>
          </w:p>
        </w:tc>
        <w:tc>
          <w:tcPr>
            <w:tcW w:w="0" w:type="auto"/>
            <w:tcBorders>
              <w:tl2br w:val="nil"/>
              <w:tr2bl w:val="nil"/>
            </w:tcBorders>
            <w:vAlign w:val="center"/>
          </w:tcPr>
          <w:p w14:paraId="17667321">
            <w:pPr>
              <w:adjustRightInd w:val="0"/>
              <w:jc w:val="center"/>
              <w:rPr>
                <w:color w:val="auto"/>
                <w:szCs w:val="21"/>
              </w:rPr>
            </w:pPr>
          </w:p>
        </w:tc>
      </w:tr>
      <w:tr w14:paraId="1DD95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16ABFB9">
            <w:pPr>
              <w:adjustRightInd w:val="0"/>
              <w:jc w:val="left"/>
              <w:rPr>
                <w:color w:val="auto"/>
                <w:szCs w:val="21"/>
              </w:rPr>
            </w:pPr>
            <w:r>
              <w:rPr>
                <w:color w:val="auto"/>
                <w:szCs w:val="21"/>
              </w:rPr>
              <w:t xml:space="preserve">81 喜鹊 </w:t>
            </w:r>
            <w:r>
              <w:rPr>
                <w:i/>
                <w:iCs/>
                <w:color w:val="auto"/>
                <w:szCs w:val="21"/>
              </w:rPr>
              <w:t>Pica pica</w:t>
            </w:r>
          </w:p>
        </w:tc>
        <w:tc>
          <w:tcPr>
            <w:tcW w:w="0" w:type="auto"/>
            <w:tcBorders>
              <w:tl2br w:val="nil"/>
              <w:tr2bl w:val="nil"/>
            </w:tcBorders>
            <w:vAlign w:val="center"/>
          </w:tcPr>
          <w:p w14:paraId="574A1391">
            <w:pPr>
              <w:adjustRightInd w:val="0"/>
              <w:jc w:val="center"/>
              <w:rPr>
                <w:color w:val="auto"/>
                <w:szCs w:val="21"/>
              </w:rPr>
            </w:pPr>
            <w:r>
              <w:rPr>
                <w:color w:val="auto"/>
                <w:szCs w:val="21"/>
              </w:rPr>
              <w:t>R</w:t>
            </w:r>
          </w:p>
        </w:tc>
        <w:tc>
          <w:tcPr>
            <w:tcW w:w="0" w:type="auto"/>
            <w:tcBorders>
              <w:tl2br w:val="nil"/>
              <w:tr2bl w:val="nil"/>
            </w:tcBorders>
            <w:vAlign w:val="center"/>
          </w:tcPr>
          <w:p w14:paraId="4FDD8914">
            <w:pPr>
              <w:adjustRightInd w:val="0"/>
              <w:jc w:val="center"/>
              <w:rPr>
                <w:color w:val="auto"/>
                <w:szCs w:val="21"/>
              </w:rPr>
            </w:pPr>
            <w:r>
              <w:rPr>
                <w:color w:val="auto"/>
                <w:szCs w:val="21"/>
              </w:rPr>
              <w:t>P</w:t>
            </w:r>
          </w:p>
        </w:tc>
        <w:tc>
          <w:tcPr>
            <w:tcW w:w="0" w:type="auto"/>
            <w:tcBorders>
              <w:tl2br w:val="nil"/>
              <w:tr2bl w:val="nil"/>
            </w:tcBorders>
            <w:vAlign w:val="center"/>
          </w:tcPr>
          <w:p w14:paraId="00E09139">
            <w:pPr>
              <w:adjustRightInd w:val="0"/>
              <w:jc w:val="center"/>
              <w:rPr>
                <w:color w:val="auto"/>
                <w:szCs w:val="21"/>
              </w:rPr>
            </w:pPr>
          </w:p>
        </w:tc>
        <w:tc>
          <w:tcPr>
            <w:tcW w:w="0" w:type="auto"/>
            <w:tcBorders>
              <w:tl2br w:val="nil"/>
              <w:tr2bl w:val="nil"/>
            </w:tcBorders>
            <w:vAlign w:val="center"/>
          </w:tcPr>
          <w:p w14:paraId="422FD9BA">
            <w:pPr>
              <w:adjustRightInd w:val="0"/>
              <w:jc w:val="center"/>
              <w:rPr>
                <w:color w:val="auto"/>
                <w:szCs w:val="21"/>
              </w:rPr>
            </w:pPr>
            <w:r>
              <w:rPr>
                <w:color w:val="auto"/>
                <w:szCs w:val="21"/>
              </w:rPr>
              <w:t>三有；湘</w:t>
            </w:r>
          </w:p>
        </w:tc>
        <w:tc>
          <w:tcPr>
            <w:tcW w:w="0" w:type="auto"/>
            <w:tcBorders>
              <w:tl2br w:val="nil"/>
              <w:tr2bl w:val="nil"/>
            </w:tcBorders>
            <w:vAlign w:val="center"/>
          </w:tcPr>
          <w:p w14:paraId="40C079E1">
            <w:pPr>
              <w:adjustRightInd w:val="0"/>
              <w:jc w:val="center"/>
              <w:rPr>
                <w:color w:val="auto"/>
                <w:szCs w:val="21"/>
              </w:rPr>
            </w:pPr>
            <w:r>
              <w:rPr>
                <w:color w:val="auto"/>
                <w:szCs w:val="21"/>
              </w:rPr>
              <w:t>LC</w:t>
            </w:r>
          </w:p>
        </w:tc>
        <w:tc>
          <w:tcPr>
            <w:tcW w:w="0" w:type="auto"/>
            <w:tcBorders>
              <w:tl2br w:val="nil"/>
              <w:tr2bl w:val="nil"/>
            </w:tcBorders>
            <w:vAlign w:val="center"/>
          </w:tcPr>
          <w:p w14:paraId="331092B8">
            <w:pPr>
              <w:adjustRightInd w:val="0"/>
              <w:jc w:val="center"/>
              <w:rPr>
                <w:color w:val="auto"/>
                <w:szCs w:val="21"/>
              </w:rPr>
            </w:pPr>
            <w:r>
              <w:rPr>
                <w:color w:val="auto"/>
                <w:szCs w:val="21"/>
              </w:rPr>
              <w:t>K</w:t>
            </w:r>
          </w:p>
        </w:tc>
      </w:tr>
      <w:tr w14:paraId="498B4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6247D5E">
            <w:pPr>
              <w:adjustRightInd w:val="0"/>
              <w:jc w:val="left"/>
              <w:rPr>
                <w:color w:val="auto"/>
                <w:szCs w:val="21"/>
              </w:rPr>
            </w:pPr>
            <w:r>
              <w:rPr>
                <w:color w:val="auto"/>
                <w:szCs w:val="21"/>
              </w:rPr>
              <w:t xml:space="preserve">82 红嘴蓝鹊 </w:t>
            </w:r>
            <w:r>
              <w:rPr>
                <w:i/>
                <w:iCs/>
                <w:color w:val="auto"/>
                <w:szCs w:val="21"/>
              </w:rPr>
              <w:t>Urocissa erythrorhyncha</w:t>
            </w:r>
          </w:p>
        </w:tc>
        <w:tc>
          <w:tcPr>
            <w:tcW w:w="0" w:type="auto"/>
            <w:tcBorders>
              <w:tl2br w:val="nil"/>
              <w:tr2bl w:val="nil"/>
            </w:tcBorders>
            <w:vAlign w:val="center"/>
          </w:tcPr>
          <w:p w14:paraId="30EA3D57">
            <w:pPr>
              <w:adjustRightInd w:val="0"/>
              <w:jc w:val="center"/>
              <w:rPr>
                <w:color w:val="auto"/>
                <w:szCs w:val="21"/>
              </w:rPr>
            </w:pPr>
            <w:r>
              <w:rPr>
                <w:color w:val="auto"/>
                <w:szCs w:val="21"/>
              </w:rPr>
              <w:t>R</w:t>
            </w:r>
          </w:p>
        </w:tc>
        <w:tc>
          <w:tcPr>
            <w:tcW w:w="0" w:type="auto"/>
            <w:tcBorders>
              <w:tl2br w:val="nil"/>
              <w:tr2bl w:val="nil"/>
            </w:tcBorders>
            <w:vAlign w:val="center"/>
          </w:tcPr>
          <w:p w14:paraId="2540034E">
            <w:pPr>
              <w:adjustRightInd w:val="0"/>
              <w:jc w:val="center"/>
              <w:rPr>
                <w:color w:val="auto"/>
                <w:szCs w:val="21"/>
              </w:rPr>
            </w:pPr>
            <w:r>
              <w:rPr>
                <w:color w:val="auto"/>
                <w:szCs w:val="21"/>
              </w:rPr>
              <w:t>O</w:t>
            </w:r>
          </w:p>
        </w:tc>
        <w:tc>
          <w:tcPr>
            <w:tcW w:w="0" w:type="auto"/>
            <w:tcBorders>
              <w:tl2br w:val="nil"/>
              <w:tr2bl w:val="nil"/>
            </w:tcBorders>
            <w:vAlign w:val="center"/>
          </w:tcPr>
          <w:p w14:paraId="23CB92DE">
            <w:pPr>
              <w:adjustRightInd w:val="0"/>
              <w:jc w:val="center"/>
              <w:rPr>
                <w:color w:val="auto"/>
                <w:szCs w:val="21"/>
              </w:rPr>
            </w:pPr>
          </w:p>
        </w:tc>
        <w:tc>
          <w:tcPr>
            <w:tcW w:w="0" w:type="auto"/>
            <w:tcBorders>
              <w:tl2br w:val="nil"/>
              <w:tr2bl w:val="nil"/>
            </w:tcBorders>
            <w:vAlign w:val="center"/>
          </w:tcPr>
          <w:p w14:paraId="53CE05B8">
            <w:pPr>
              <w:adjustRightInd w:val="0"/>
              <w:jc w:val="center"/>
              <w:rPr>
                <w:color w:val="auto"/>
                <w:szCs w:val="21"/>
              </w:rPr>
            </w:pPr>
            <w:r>
              <w:rPr>
                <w:color w:val="auto"/>
                <w:szCs w:val="21"/>
              </w:rPr>
              <w:t>三有；湘</w:t>
            </w:r>
          </w:p>
        </w:tc>
        <w:tc>
          <w:tcPr>
            <w:tcW w:w="0" w:type="auto"/>
            <w:tcBorders>
              <w:tl2br w:val="nil"/>
              <w:tr2bl w:val="nil"/>
            </w:tcBorders>
            <w:vAlign w:val="center"/>
          </w:tcPr>
          <w:p w14:paraId="21BE5117">
            <w:pPr>
              <w:adjustRightInd w:val="0"/>
              <w:jc w:val="center"/>
              <w:rPr>
                <w:color w:val="auto"/>
                <w:szCs w:val="21"/>
              </w:rPr>
            </w:pPr>
            <w:r>
              <w:rPr>
                <w:color w:val="auto"/>
                <w:szCs w:val="21"/>
              </w:rPr>
              <w:t>LC</w:t>
            </w:r>
          </w:p>
        </w:tc>
        <w:tc>
          <w:tcPr>
            <w:tcW w:w="0" w:type="auto"/>
            <w:tcBorders>
              <w:tl2br w:val="nil"/>
              <w:tr2bl w:val="nil"/>
            </w:tcBorders>
            <w:vAlign w:val="center"/>
          </w:tcPr>
          <w:p w14:paraId="1D39B2C1">
            <w:pPr>
              <w:adjustRightInd w:val="0"/>
              <w:jc w:val="center"/>
              <w:rPr>
                <w:color w:val="auto"/>
                <w:szCs w:val="21"/>
              </w:rPr>
            </w:pPr>
            <w:r>
              <w:rPr>
                <w:color w:val="auto"/>
                <w:szCs w:val="21"/>
              </w:rPr>
              <w:t>K</w:t>
            </w:r>
          </w:p>
        </w:tc>
      </w:tr>
      <w:tr w14:paraId="237FC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0874C8A">
            <w:pPr>
              <w:adjustRightInd w:val="0"/>
              <w:jc w:val="left"/>
              <w:rPr>
                <w:color w:val="auto"/>
                <w:szCs w:val="21"/>
              </w:rPr>
            </w:pPr>
            <w:r>
              <w:rPr>
                <w:color w:val="auto"/>
                <w:szCs w:val="21"/>
              </w:rPr>
              <w:t>83 灰喜鹊</w:t>
            </w:r>
            <w:r>
              <w:rPr>
                <w:i/>
                <w:iCs/>
                <w:color w:val="auto"/>
                <w:szCs w:val="21"/>
              </w:rPr>
              <w:t xml:space="preserve"> Cyanopica cyanus</w:t>
            </w:r>
          </w:p>
        </w:tc>
        <w:tc>
          <w:tcPr>
            <w:tcW w:w="0" w:type="auto"/>
            <w:tcBorders>
              <w:tl2br w:val="nil"/>
              <w:tr2bl w:val="nil"/>
            </w:tcBorders>
            <w:vAlign w:val="center"/>
          </w:tcPr>
          <w:p w14:paraId="618FF823">
            <w:pPr>
              <w:adjustRightInd w:val="0"/>
              <w:jc w:val="center"/>
              <w:rPr>
                <w:color w:val="auto"/>
                <w:szCs w:val="21"/>
              </w:rPr>
            </w:pPr>
            <w:r>
              <w:rPr>
                <w:color w:val="auto"/>
                <w:szCs w:val="21"/>
              </w:rPr>
              <w:t>R</w:t>
            </w:r>
          </w:p>
        </w:tc>
        <w:tc>
          <w:tcPr>
            <w:tcW w:w="0" w:type="auto"/>
            <w:tcBorders>
              <w:tl2br w:val="nil"/>
              <w:tr2bl w:val="nil"/>
            </w:tcBorders>
            <w:vAlign w:val="center"/>
          </w:tcPr>
          <w:p w14:paraId="6B2F44C9">
            <w:pPr>
              <w:adjustRightInd w:val="0"/>
              <w:jc w:val="center"/>
              <w:rPr>
                <w:color w:val="auto"/>
                <w:szCs w:val="21"/>
              </w:rPr>
            </w:pPr>
            <w:r>
              <w:rPr>
                <w:color w:val="auto"/>
                <w:szCs w:val="21"/>
              </w:rPr>
              <w:t>O</w:t>
            </w:r>
          </w:p>
        </w:tc>
        <w:tc>
          <w:tcPr>
            <w:tcW w:w="0" w:type="auto"/>
            <w:tcBorders>
              <w:tl2br w:val="nil"/>
              <w:tr2bl w:val="nil"/>
            </w:tcBorders>
            <w:vAlign w:val="center"/>
          </w:tcPr>
          <w:p w14:paraId="0F6EB1CF">
            <w:pPr>
              <w:adjustRightInd w:val="0"/>
              <w:jc w:val="center"/>
              <w:rPr>
                <w:color w:val="auto"/>
                <w:szCs w:val="21"/>
              </w:rPr>
            </w:pPr>
          </w:p>
        </w:tc>
        <w:tc>
          <w:tcPr>
            <w:tcW w:w="0" w:type="auto"/>
            <w:tcBorders>
              <w:tl2br w:val="nil"/>
              <w:tr2bl w:val="nil"/>
            </w:tcBorders>
            <w:vAlign w:val="center"/>
          </w:tcPr>
          <w:p w14:paraId="24A7FD23">
            <w:pPr>
              <w:adjustRightInd w:val="0"/>
              <w:jc w:val="center"/>
              <w:rPr>
                <w:color w:val="auto"/>
                <w:szCs w:val="21"/>
              </w:rPr>
            </w:pPr>
            <w:r>
              <w:rPr>
                <w:color w:val="auto"/>
                <w:szCs w:val="21"/>
              </w:rPr>
              <w:t>三有；湘</w:t>
            </w:r>
          </w:p>
        </w:tc>
        <w:tc>
          <w:tcPr>
            <w:tcW w:w="0" w:type="auto"/>
            <w:tcBorders>
              <w:tl2br w:val="nil"/>
              <w:tr2bl w:val="nil"/>
            </w:tcBorders>
            <w:vAlign w:val="center"/>
          </w:tcPr>
          <w:p w14:paraId="5BA6DE43">
            <w:pPr>
              <w:adjustRightInd w:val="0"/>
              <w:jc w:val="center"/>
              <w:rPr>
                <w:color w:val="auto"/>
                <w:szCs w:val="21"/>
              </w:rPr>
            </w:pPr>
            <w:r>
              <w:rPr>
                <w:color w:val="auto"/>
                <w:szCs w:val="21"/>
              </w:rPr>
              <w:t>LC</w:t>
            </w:r>
          </w:p>
        </w:tc>
        <w:tc>
          <w:tcPr>
            <w:tcW w:w="0" w:type="auto"/>
            <w:tcBorders>
              <w:tl2br w:val="nil"/>
              <w:tr2bl w:val="nil"/>
            </w:tcBorders>
            <w:vAlign w:val="center"/>
          </w:tcPr>
          <w:p w14:paraId="2BA9932C">
            <w:pPr>
              <w:adjustRightInd w:val="0"/>
              <w:jc w:val="center"/>
              <w:rPr>
                <w:color w:val="auto"/>
                <w:szCs w:val="21"/>
              </w:rPr>
            </w:pPr>
            <w:r>
              <w:rPr>
                <w:color w:val="auto"/>
                <w:szCs w:val="21"/>
              </w:rPr>
              <w:t>K</w:t>
            </w:r>
          </w:p>
        </w:tc>
      </w:tr>
      <w:tr w14:paraId="4973F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849A3DE">
            <w:pPr>
              <w:adjustRightInd w:val="0"/>
              <w:jc w:val="left"/>
              <w:rPr>
                <w:color w:val="auto"/>
                <w:szCs w:val="21"/>
              </w:rPr>
            </w:pPr>
            <w:r>
              <w:rPr>
                <w:b/>
                <w:bCs/>
                <w:color w:val="auto"/>
                <w:szCs w:val="21"/>
              </w:rPr>
              <w:t>（二十六）鸫科 Turdidae</w:t>
            </w:r>
          </w:p>
        </w:tc>
        <w:tc>
          <w:tcPr>
            <w:tcW w:w="0" w:type="auto"/>
            <w:tcBorders>
              <w:tl2br w:val="nil"/>
              <w:tr2bl w:val="nil"/>
            </w:tcBorders>
            <w:vAlign w:val="center"/>
          </w:tcPr>
          <w:p w14:paraId="3C2076D5">
            <w:pPr>
              <w:adjustRightInd w:val="0"/>
              <w:jc w:val="center"/>
              <w:rPr>
                <w:color w:val="auto"/>
                <w:szCs w:val="21"/>
              </w:rPr>
            </w:pPr>
          </w:p>
        </w:tc>
        <w:tc>
          <w:tcPr>
            <w:tcW w:w="0" w:type="auto"/>
            <w:tcBorders>
              <w:tl2br w:val="nil"/>
              <w:tr2bl w:val="nil"/>
            </w:tcBorders>
            <w:vAlign w:val="center"/>
          </w:tcPr>
          <w:p w14:paraId="447B9488">
            <w:pPr>
              <w:adjustRightInd w:val="0"/>
              <w:jc w:val="center"/>
              <w:rPr>
                <w:color w:val="auto"/>
                <w:szCs w:val="21"/>
              </w:rPr>
            </w:pPr>
          </w:p>
        </w:tc>
        <w:tc>
          <w:tcPr>
            <w:tcW w:w="0" w:type="auto"/>
            <w:tcBorders>
              <w:tl2br w:val="nil"/>
              <w:tr2bl w:val="nil"/>
            </w:tcBorders>
            <w:vAlign w:val="center"/>
          </w:tcPr>
          <w:p w14:paraId="53FE065D">
            <w:pPr>
              <w:adjustRightInd w:val="0"/>
              <w:jc w:val="center"/>
              <w:rPr>
                <w:color w:val="auto"/>
                <w:szCs w:val="21"/>
              </w:rPr>
            </w:pPr>
          </w:p>
        </w:tc>
        <w:tc>
          <w:tcPr>
            <w:tcW w:w="0" w:type="auto"/>
            <w:tcBorders>
              <w:tl2br w:val="nil"/>
              <w:tr2bl w:val="nil"/>
            </w:tcBorders>
            <w:vAlign w:val="center"/>
          </w:tcPr>
          <w:p w14:paraId="5346F946">
            <w:pPr>
              <w:adjustRightInd w:val="0"/>
              <w:jc w:val="center"/>
              <w:rPr>
                <w:color w:val="auto"/>
                <w:szCs w:val="21"/>
              </w:rPr>
            </w:pPr>
          </w:p>
        </w:tc>
        <w:tc>
          <w:tcPr>
            <w:tcW w:w="0" w:type="auto"/>
            <w:tcBorders>
              <w:tl2br w:val="nil"/>
              <w:tr2bl w:val="nil"/>
            </w:tcBorders>
            <w:vAlign w:val="center"/>
          </w:tcPr>
          <w:p w14:paraId="64D5C3F3">
            <w:pPr>
              <w:adjustRightInd w:val="0"/>
              <w:jc w:val="center"/>
              <w:rPr>
                <w:color w:val="auto"/>
                <w:szCs w:val="21"/>
              </w:rPr>
            </w:pPr>
          </w:p>
        </w:tc>
        <w:tc>
          <w:tcPr>
            <w:tcW w:w="0" w:type="auto"/>
            <w:tcBorders>
              <w:tl2br w:val="nil"/>
              <w:tr2bl w:val="nil"/>
            </w:tcBorders>
            <w:vAlign w:val="center"/>
          </w:tcPr>
          <w:p w14:paraId="77CB3317">
            <w:pPr>
              <w:adjustRightInd w:val="0"/>
              <w:jc w:val="center"/>
              <w:rPr>
                <w:color w:val="auto"/>
                <w:szCs w:val="21"/>
              </w:rPr>
            </w:pPr>
          </w:p>
        </w:tc>
      </w:tr>
      <w:tr w14:paraId="522E0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0B85A98">
            <w:pPr>
              <w:adjustRightInd w:val="0"/>
              <w:jc w:val="left"/>
              <w:rPr>
                <w:color w:val="auto"/>
                <w:szCs w:val="21"/>
              </w:rPr>
            </w:pPr>
            <w:r>
              <w:rPr>
                <w:color w:val="auto"/>
                <w:szCs w:val="21"/>
              </w:rPr>
              <w:t>84 鹊鸲</w:t>
            </w:r>
            <w:r>
              <w:rPr>
                <w:i/>
                <w:iCs/>
                <w:color w:val="auto"/>
                <w:szCs w:val="21"/>
              </w:rPr>
              <w:t xml:space="preserve"> Copsychus saularis</w:t>
            </w:r>
          </w:p>
        </w:tc>
        <w:tc>
          <w:tcPr>
            <w:tcW w:w="0" w:type="auto"/>
            <w:tcBorders>
              <w:tl2br w:val="nil"/>
              <w:tr2bl w:val="nil"/>
            </w:tcBorders>
            <w:vAlign w:val="center"/>
          </w:tcPr>
          <w:p w14:paraId="3B7833D0">
            <w:pPr>
              <w:adjustRightInd w:val="0"/>
              <w:jc w:val="center"/>
              <w:rPr>
                <w:color w:val="auto"/>
                <w:szCs w:val="21"/>
              </w:rPr>
            </w:pPr>
            <w:r>
              <w:rPr>
                <w:color w:val="auto"/>
                <w:szCs w:val="21"/>
              </w:rPr>
              <w:t>R</w:t>
            </w:r>
          </w:p>
        </w:tc>
        <w:tc>
          <w:tcPr>
            <w:tcW w:w="0" w:type="auto"/>
            <w:tcBorders>
              <w:tl2br w:val="nil"/>
              <w:tr2bl w:val="nil"/>
            </w:tcBorders>
            <w:vAlign w:val="center"/>
          </w:tcPr>
          <w:p w14:paraId="0D688E0E">
            <w:pPr>
              <w:adjustRightInd w:val="0"/>
              <w:jc w:val="center"/>
              <w:rPr>
                <w:color w:val="auto"/>
                <w:szCs w:val="21"/>
              </w:rPr>
            </w:pPr>
            <w:r>
              <w:rPr>
                <w:color w:val="auto"/>
                <w:szCs w:val="21"/>
              </w:rPr>
              <w:t>O</w:t>
            </w:r>
          </w:p>
        </w:tc>
        <w:tc>
          <w:tcPr>
            <w:tcW w:w="0" w:type="auto"/>
            <w:tcBorders>
              <w:tl2br w:val="nil"/>
              <w:tr2bl w:val="nil"/>
            </w:tcBorders>
            <w:vAlign w:val="center"/>
          </w:tcPr>
          <w:p w14:paraId="7F1E65B5">
            <w:pPr>
              <w:adjustRightInd w:val="0"/>
              <w:jc w:val="center"/>
              <w:rPr>
                <w:color w:val="auto"/>
                <w:szCs w:val="21"/>
              </w:rPr>
            </w:pPr>
          </w:p>
        </w:tc>
        <w:tc>
          <w:tcPr>
            <w:tcW w:w="0" w:type="auto"/>
            <w:tcBorders>
              <w:tl2br w:val="nil"/>
              <w:tr2bl w:val="nil"/>
            </w:tcBorders>
            <w:vAlign w:val="center"/>
          </w:tcPr>
          <w:p w14:paraId="4C30BA8D">
            <w:pPr>
              <w:adjustRightInd w:val="0"/>
              <w:jc w:val="center"/>
              <w:rPr>
                <w:color w:val="auto"/>
                <w:szCs w:val="21"/>
              </w:rPr>
            </w:pPr>
            <w:r>
              <w:rPr>
                <w:color w:val="auto"/>
                <w:szCs w:val="21"/>
              </w:rPr>
              <w:t>三有</w:t>
            </w:r>
          </w:p>
        </w:tc>
        <w:tc>
          <w:tcPr>
            <w:tcW w:w="0" w:type="auto"/>
            <w:tcBorders>
              <w:tl2br w:val="nil"/>
              <w:tr2bl w:val="nil"/>
            </w:tcBorders>
            <w:vAlign w:val="center"/>
          </w:tcPr>
          <w:p w14:paraId="04719F59">
            <w:pPr>
              <w:adjustRightInd w:val="0"/>
              <w:jc w:val="center"/>
              <w:rPr>
                <w:color w:val="auto"/>
                <w:szCs w:val="21"/>
              </w:rPr>
            </w:pPr>
            <w:r>
              <w:rPr>
                <w:color w:val="auto"/>
                <w:szCs w:val="21"/>
              </w:rPr>
              <w:t>LC</w:t>
            </w:r>
          </w:p>
        </w:tc>
        <w:tc>
          <w:tcPr>
            <w:tcW w:w="0" w:type="auto"/>
            <w:tcBorders>
              <w:tl2br w:val="nil"/>
              <w:tr2bl w:val="nil"/>
            </w:tcBorders>
            <w:vAlign w:val="center"/>
          </w:tcPr>
          <w:p w14:paraId="15FAD0EF">
            <w:pPr>
              <w:adjustRightInd w:val="0"/>
              <w:jc w:val="center"/>
              <w:rPr>
                <w:color w:val="auto"/>
                <w:szCs w:val="21"/>
              </w:rPr>
            </w:pPr>
            <w:r>
              <w:rPr>
                <w:color w:val="auto"/>
                <w:szCs w:val="21"/>
              </w:rPr>
              <w:t>K</w:t>
            </w:r>
          </w:p>
        </w:tc>
      </w:tr>
      <w:tr w14:paraId="13CED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B85EE63">
            <w:pPr>
              <w:adjustRightInd w:val="0"/>
              <w:jc w:val="left"/>
              <w:rPr>
                <w:color w:val="auto"/>
                <w:szCs w:val="21"/>
              </w:rPr>
            </w:pPr>
            <w:r>
              <w:rPr>
                <w:color w:val="auto"/>
                <w:szCs w:val="21"/>
              </w:rPr>
              <w:t>85 北红尾鸲</w:t>
            </w:r>
            <w:r>
              <w:rPr>
                <w:i/>
                <w:iCs/>
                <w:color w:val="auto"/>
                <w:szCs w:val="21"/>
              </w:rPr>
              <w:t xml:space="preserve"> Phoenicurus auroreus</w:t>
            </w:r>
          </w:p>
        </w:tc>
        <w:tc>
          <w:tcPr>
            <w:tcW w:w="0" w:type="auto"/>
            <w:tcBorders>
              <w:tl2br w:val="nil"/>
              <w:tr2bl w:val="nil"/>
            </w:tcBorders>
            <w:vAlign w:val="center"/>
          </w:tcPr>
          <w:p w14:paraId="6C172ECB">
            <w:pPr>
              <w:adjustRightInd w:val="0"/>
              <w:jc w:val="center"/>
              <w:rPr>
                <w:color w:val="auto"/>
                <w:szCs w:val="21"/>
              </w:rPr>
            </w:pPr>
            <w:r>
              <w:rPr>
                <w:color w:val="auto"/>
                <w:szCs w:val="21"/>
              </w:rPr>
              <w:t>W</w:t>
            </w:r>
          </w:p>
        </w:tc>
        <w:tc>
          <w:tcPr>
            <w:tcW w:w="0" w:type="auto"/>
            <w:tcBorders>
              <w:tl2br w:val="nil"/>
              <w:tr2bl w:val="nil"/>
            </w:tcBorders>
            <w:vAlign w:val="center"/>
          </w:tcPr>
          <w:p w14:paraId="506B11FD">
            <w:pPr>
              <w:adjustRightInd w:val="0"/>
              <w:jc w:val="center"/>
              <w:rPr>
                <w:color w:val="auto"/>
                <w:szCs w:val="21"/>
              </w:rPr>
            </w:pPr>
            <w:r>
              <w:rPr>
                <w:color w:val="auto"/>
                <w:szCs w:val="21"/>
              </w:rPr>
              <w:t>P</w:t>
            </w:r>
          </w:p>
        </w:tc>
        <w:tc>
          <w:tcPr>
            <w:tcW w:w="0" w:type="auto"/>
            <w:tcBorders>
              <w:tl2br w:val="nil"/>
              <w:tr2bl w:val="nil"/>
            </w:tcBorders>
            <w:vAlign w:val="center"/>
          </w:tcPr>
          <w:p w14:paraId="369DF4A5">
            <w:pPr>
              <w:adjustRightInd w:val="0"/>
              <w:jc w:val="center"/>
              <w:rPr>
                <w:color w:val="auto"/>
                <w:szCs w:val="21"/>
              </w:rPr>
            </w:pPr>
          </w:p>
        </w:tc>
        <w:tc>
          <w:tcPr>
            <w:tcW w:w="0" w:type="auto"/>
            <w:tcBorders>
              <w:tl2br w:val="nil"/>
              <w:tr2bl w:val="nil"/>
            </w:tcBorders>
            <w:vAlign w:val="center"/>
          </w:tcPr>
          <w:p w14:paraId="64BF40B2">
            <w:pPr>
              <w:adjustRightInd w:val="0"/>
              <w:jc w:val="center"/>
              <w:rPr>
                <w:color w:val="auto"/>
                <w:szCs w:val="21"/>
              </w:rPr>
            </w:pPr>
            <w:r>
              <w:rPr>
                <w:color w:val="auto"/>
                <w:szCs w:val="21"/>
              </w:rPr>
              <w:t>三有</w:t>
            </w:r>
          </w:p>
        </w:tc>
        <w:tc>
          <w:tcPr>
            <w:tcW w:w="0" w:type="auto"/>
            <w:tcBorders>
              <w:tl2br w:val="nil"/>
              <w:tr2bl w:val="nil"/>
            </w:tcBorders>
            <w:vAlign w:val="center"/>
          </w:tcPr>
          <w:p w14:paraId="1821D5F1">
            <w:pPr>
              <w:adjustRightInd w:val="0"/>
              <w:jc w:val="center"/>
              <w:rPr>
                <w:color w:val="auto"/>
                <w:szCs w:val="21"/>
              </w:rPr>
            </w:pPr>
            <w:r>
              <w:rPr>
                <w:color w:val="auto"/>
                <w:szCs w:val="21"/>
              </w:rPr>
              <w:t>LC</w:t>
            </w:r>
          </w:p>
        </w:tc>
        <w:tc>
          <w:tcPr>
            <w:tcW w:w="0" w:type="auto"/>
            <w:tcBorders>
              <w:tl2br w:val="nil"/>
              <w:tr2bl w:val="nil"/>
            </w:tcBorders>
            <w:vAlign w:val="center"/>
          </w:tcPr>
          <w:p w14:paraId="651939E4">
            <w:pPr>
              <w:adjustRightInd w:val="0"/>
              <w:jc w:val="center"/>
              <w:rPr>
                <w:color w:val="auto"/>
                <w:szCs w:val="21"/>
              </w:rPr>
            </w:pPr>
            <w:r>
              <w:rPr>
                <w:color w:val="auto"/>
                <w:szCs w:val="21"/>
              </w:rPr>
              <w:t>K</w:t>
            </w:r>
          </w:p>
        </w:tc>
      </w:tr>
      <w:tr w14:paraId="553AE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1A66DE5">
            <w:pPr>
              <w:adjustRightInd w:val="0"/>
              <w:jc w:val="left"/>
              <w:rPr>
                <w:color w:val="auto"/>
                <w:szCs w:val="21"/>
              </w:rPr>
            </w:pPr>
            <w:r>
              <w:rPr>
                <w:color w:val="auto"/>
                <w:szCs w:val="21"/>
              </w:rPr>
              <w:t xml:space="preserve">86 红尾水鸲 </w:t>
            </w:r>
            <w:r>
              <w:rPr>
                <w:i/>
                <w:iCs/>
                <w:color w:val="auto"/>
                <w:szCs w:val="21"/>
              </w:rPr>
              <w:t>Rhyacornis fuliginosa</w:t>
            </w:r>
          </w:p>
        </w:tc>
        <w:tc>
          <w:tcPr>
            <w:tcW w:w="0" w:type="auto"/>
            <w:tcBorders>
              <w:tl2br w:val="nil"/>
              <w:tr2bl w:val="nil"/>
            </w:tcBorders>
            <w:vAlign w:val="center"/>
          </w:tcPr>
          <w:p w14:paraId="68D29306">
            <w:pPr>
              <w:adjustRightInd w:val="0"/>
              <w:jc w:val="center"/>
              <w:rPr>
                <w:color w:val="auto"/>
                <w:szCs w:val="21"/>
              </w:rPr>
            </w:pPr>
            <w:r>
              <w:rPr>
                <w:color w:val="auto"/>
                <w:szCs w:val="21"/>
              </w:rPr>
              <w:t>R</w:t>
            </w:r>
          </w:p>
        </w:tc>
        <w:tc>
          <w:tcPr>
            <w:tcW w:w="0" w:type="auto"/>
            <w:tcBorders>
              <w:tl2br w:val="nil"/>
              <w:tr2bl w:val="nil"/>
            </w:tcBorders>
            <w:vAlign w:val="center"/>
          </w:tcPr>
          <w:p w14:paraId="715F4D28">
            <w:pPr>
              <w:adjustRightInd w:val="0"/>
              <w:jc w:val="center"/>
              <w:rPr>
                <w:color w:val="auto"/>
                <w:szCs w:val="21"/>
              </w:rPr>
            </w:pPr>
            <w:r>
              <w:rPr>
                <w:color w:val="auto"/>
                <w:szCs w:val="21"/>
              </w:rPr>
              <w:t>O</w:t>
            </w:r>
          </w:p>
        </w:tc>
        <w:tc>
          <w:tcPr>
            <w:tcW w:w="0" w:type="auto"/>
            <w:tcBorders>
              <w:tl2br w:val="nil"/>
              <w:tr2bl w:val="nil"/>
            </w:tcBorders>
            <w:vAlign w:val="center"/>
          </w:tcPr>
          <w:p w14:paraId="701FE61F">
            <w:pPr>
              <w:adjustRightInd w:val="0"/>
              <w:jc w:val="center"/>
              <w:rPr>
                <w:color w:val="auto"/>
                <w:szCs w:val="21"/>
              </w:rPr>
            </w:pPr>
          </w:p>
        </w:tc>
        <w:tc>
          <w:tcPr>
            <w:tcW w:w="0" w:type="auto"/>
            <w:tcBorders>
              <w:tl2br w:val="nil"/>
              <w:tr2bl w:val="nil"/>
            </w:tcBorders>
            <w:vAlign w:val="center"/>
          </w:tcPr>
          <w:p w14:paraId="12CC375D">
            <w:pPr>
              <w:adjustRightInd w:val="0"/>
              <w:jc w:val="center"/>
              <w:rPr>
                <w:color w:val="auto"/>
                <w:szCs w:val="21"/>
              </w:rPr>
            </w:pPr>
            <w:r>
              <w:rPr>
                <w:color w:val="auto"/>
                <w:szCs w:val="21"/>
              </w:rPr>
              <w:t>三有</w:t>
            </w:r>
          </w:p>
        </w:tc>
        <w:tc>
          <w:tcPr>
            <w:tcW w:w="0" w:type="auto"/>
            <w:tcBorders>
              <w:tl2br w:val="nil"/>
              <w:tr2bl w:val="nil"/>
            </w:tcBorders>
            <w:vAlign w:val="center"/>
          </w:tcPr>
          <w:p w14:paraId="3F74A741">
            <w:pPr>
              <w:adjustRightInd w:val="0"/>
              <w:jc w:val="center"/>
              <w:rPr>
                <w:color w:val="auto"/>
                <w:szCs w:val="21"/>
              </w:rPr>
            </w:pPr>
            <w:r>
              <w:rPr>
                <w:color w:val="auto"/>
                <w:szCs w:val="21"/>
              </w:rPr>
              <w:t>LC</w:t>
            </w:r>
          </w:p>
        </w:tc>
        <w:tc>
          <w:tcPr>
            <w:tcW w:w="0" w:type="auto"/>
            <w:tcBorders>
              <w:tl2br w:val="nil"/>
              <w:tr2bl w:val="nil"/>
            </w:tcBorders>
            <w:vAlign w:val="center"/>
          </w:tcPr>
          <w:p w14:paraId="7941327D">
            <w:pPr>
              <w:adjustRightInd w:val="0"/>
              <w:jc w:val="center"/>
              <w:rPr>
                <w:color w:val="auto"/>
                <w:szCs w:val="21"/>
              </w:rPr>
            </w:pPr>
            <w:r>
              <w:rPr>
                <w:color w:val="auto"/>
                <w:szCs w:val="21"/>
              </w:rPr>
              <w:t>K</w:t>
            </w:r>
          </w:p>
        </w:tc>
      </w:tr>
      <w:tr w14:paraId="0BE19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0174351">
            <w:pPr>
              <w:adjustRightInd w:val="0"/>
              <w:jc w:val="left"/>
              <w:rPr>
                <w:color w:val="auto"/>
                <w:szCs w:val="21"/>
              </w:rPr>
            </w:pPr>
            <w:r>
              <w:rPr>
                <w:color w:val="auto"/>
                <w:szCs w:val="21"/>
              </w:rPr>
              <w:t>87 红胁蓝尾鸲</w:t>
            </w:r>
            <w:r>
              <w:rPr>
                <w:i/>
                <w:iCs/>
                <w:color w:val="auto"/>
                <w:szCs w:val="21"/>
              </w:rPr>
              <w:t xml:space="preserve"> Tarsiger cyanurus</w:t>
            </w:r>
          </w:p>
        </w:tc>
        <w:tc>
          <w:tcPr>
            <w:tcW w:w="0" w:type="auto"/>
            <w:tcBorders>
              <w:tl2br w:val="nil"/>
              <w:tr2bl w:val="nil"/>
            </w:tcBorders>
            <w:vAlign w:val="center"/>
          </w:tcPr>
          <w:p w14:paraId="277E4C8D">
            <w:pPr>
              <w:adjustRightInd w:val="0"/>
              <w:jc w:val="center"/>
              <w:rPr>
                <w:color w:val="auto"/>
                <w:szCs w:val="21"/>
              </w:rPr>
            </w:pPr>
            <w:r>
              <w:rPr>
                <w:color w:val="auto"/>
                <w:szCs w:val="21"/>
              </w:rPr>
              <w:t>W</w:t>
            </w:r>
          </w:p>
        </w:tc>
        <w:tc>
          <w:tcPr>
            <w:tcW w:w="0" w:type="auto"/>
            <w:tcBorders>
              <w:tl2br w:val="nil"/>
              <w:tr2bl w:val="nil"/>
            </w:tcBorders>
            <w:vAlign w:val="center"/>
          </w:tcPr>
          <w:p w14:paraId="334B73B2">
            <w:pPr>
              <w:adjustRightInd w:val="0"/>
              <w:jc w:val="center"/>
              <w:rPr>
                <w:color w:val="auto"/>
                <w:szCs w:val="21"/>
              </w:rPr>
            </w:pPr>
            <w:r>
              <w:rPr>
                <w:color w:val="auto"/>
                <w:szCs w:val="21"/>
              </w:rPr>
              <w:t>P</w:t>
            </w:r>
          </w:p>
        </w:tc>
        <w:tc>
          <w:tcPr>
            <w:tcW w:w="0" w:type="auto"/>
            <w:tcBorders>
              <w:tl2br w:val="nil"/>
              <w:tr2bl w:val="nil"/>
            </w:tcBorders>
            <w:vAlign w:val="center"/>
          </w:tcPr>
          <w:p w14:paraId="70A24F86">
            <w:pPr>
              <w:adjustRightInd w:val="0"/>
              <w:jc w:val="center"/>
              <w:rPr>
                <w:color w:val="auto"/>
                <w:szCs w:val="21"/>
              </w:rPr>
            </w:pPr>
          </w:p>
        </w:tc>
        <w:tc>
          <w:tcPr>
            <w:tcW w:w="0" w:type="auto"/>
            <w:tcBorders>
              <w:tl2br w:val="nil"/>
              <w:tr2bl w:val="nil"/>
            </w:tcBorders>
            <w:vAlign w:val="center"/>
          </w:tcPr>
          <w:p w14:paraId="1DD1BC0C">
            <w:pPr>
              <w:adjustRightInd w:val="0"/>
              <w:jc w:val="center"/>
              <w:rPr>
                <w:color w:val="auto"/>
                <w:szCs w:val="21"/>
              </w:rPr>
            </w:pPr>
            <w:r>
              <w:rPr>
                <w:color w:val="auto"/>
                <w:szCs w:val="21"/>
              </w:rPr>
              <w:t>三有；湘</w:t>
            </w:r>
          </w:p>
        </w:tc>
        <w:tc>
          <w:tcPr>
            <w:tcW w:w="0" w:type="auto"/>
            <w:tcBorders>
              <w:tl2br w:val="nil"/>
              <w:tr2bl w:val="nil"/>
            </w:tcBorders>
            <w:vAlign w:val="center"/>
          </w:tcPr>
          <w:p w14:paraId="1227CF49">
            <w:pPr>
              <w:adjustRightInd w:val="0"/>
              <w:jc w:val="center"/>
              <w:rPr>
                <w:color w:val="auto"/>
                <w:szCs w:val="21"/>
              </w:rPr>
            </w:pPr>
            <w:r>
              <w:rPr>
                <w:color w:val="auto"/>
                <w:szCs w:val="21"/>
              </w:rPr>
              <w:t>LC</w:t>
            </w:r>
          </w:p>
        </w:tc>
        <w:tc>
          <w:tcPr>
            <w:tcW w:w="0" w:type="auto"/>
            <w:tcBorders>
              <w:tl2br w:val="nil"/>
              <w:tr2bl w:val="nil"/>
            </w:tcBorders>
            <w:vAlign w:val="center"/>
          </w:tcPr>
          <w:p w14:paraId="1C47DC78">
            <w:pPr>
              <w:adjustRightInd w:val="0"/>
              <w:jc w:val="center"/>
              <w:rPr>
                <w:color w:val="auto"/>
                <w:szCs w:val="21"/>
              </w:rPr>
            </w:pPr>
            <w:r>
              <w:rPr>
                <w:color w:val="auto"/>
                <w:szCs w:val="21"/>
              </w:rPr>
              <w:t>K</w:t>
            </w:r>
          </w:p>
        </w:tc>
      </w:tr>
      <w:tr w14:paraId="21BC0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94BD01B">
            <w:pPr>
              <w:adjustRightInd w:val="0"/>
              <w:jc w:val="left"/>
              <w:rPr>
                <w:color w:val="auto"/>
                <w:szCs w:val="21"/>
              </w:rPr>
            </w:pPr>
            <w:r>
              <w:rPr>
                <w:color w:val="auto"/>
                <w:szCs w:val="21"/>
              </w:rPr>
              <w:t xml:space="preserve">88 乌鸫 </w:t>
            </w:r>
            <w:r>
              <w:rPr>
                <w:i/>
                <w:iCs/>
                <w:color w:val="auto"/>
                <w:szCs w:val="21"/>
              </w:rPr>
              <w:t>Turdus merula*</w:t>
            </w:r>
          </w:p>
        </w:tc>
        <w:tc>
          <w:tcPr>
            <w:tcW w:w="0" w:type="auto"/>
            <w:tcBorders>
              <w:tl2br w:val="nil"/>
              <w:tr2bl w:val="nil"/>
            </w:tcBorders>
            <w:vAlign w:val="center"/>
          </w:tcPr>
          <w:p w14:paraId="1C7B8563">
            <w:pPr>
              <w:adjustRightInd w:val="0"/>
              <w:jc w:val="center"/>
              <w:rPr>
                <w:color w:val="auto"/>
                <w:szCs w:val="21"/>
              </w:rPr>
            </w:pPr>
            <w:r>
              <w:rPr>
                <w:color w:val="auto"/>
                <w:szCs w:val="21"/>
              </w:rPr>
              <w:t>R</w:t>
            </w:r>
          </w:p>
        </w:tc>
        <w:tc>
          <w:tcPr>
            <w:tcW w:w="0" w:type="auto"/>
            <w:tcBorders>
              <w:tl2br w:val="nil"/>
              <w:tr2bl w:val="nil"/>
            </w:tcBorders>
            <w:vAlign w:val="center"/>
          </w:tcPr>
          <w:p w14:paraId="49B8D7D1">
            <w:pPr>
              <w:adjustRightInd w:val="0"/>
              <w:jc w:val="center"/>
              <w:rPr>
                <w:color w:val="auto"/>
                <w:szCs w:val="21"/>
              </w:rPr>
            </w:pPr>
            <w:r>
              <w:rPr>
                <w:color w:val="auto"/>
                <w:szCs w:val="21"/>
              </w:rPr>
              <w:t>O</w:t>
            </w:r>
          </w:p>
        </w:tc>
        <w:tc>
          <w:tcPr>
            <w:tcW w:w="0" w:type="auto"/>
            <w:tcBorders>
              <w:tl2br w:val="nil"/>
              <w:tr2bl w:val="nil"/>
            </w:tcBorders>
            <w:vAlign w:val="center"/>
          </w:tcPr>
          <w:p w14:paraId="533C5740">
            <w:pPr>
              <w:adjustRightInd w:val="0"/>
              <w:jc w:val="center"/>
              <w:rPr>
                <w:color w:val="auto"/>
                <w:szCs w:val="21"/>
              </w:rPr>
            </w:pPr>
          </w:p>
        </w:tc>
        <w:tc>
          <w:tcPr>
            <w:tcW w:w="0" w:type="auto"/>
            <w:tcBorders>
              <w:tl2br w:val="nil"/>
              <w:tr2bl w:val="nil"/>
            </w:tcBorders>
            <w:vAlign w:val="center"/>
          </w:tcPr>
          <w:p w14:paraId="4CEC026C">
            <w:pPr>
              <w:adjustRightInd w:val="0"/>
              <w:jc w:val="center"/>
              <w:rPr>
                <w:color w:val="auto"/>
                <w:szCs w:val="21"/>
              </w:rPr>
            </w:pPr>
            <w:r>
              <w:rPr>
                <w:color w:val="auto"/>
                <w:szCs w:val="21"/>
              </w:rPr>
              <w:t>三有；湘</w:t>
            </w:r>
          </w:p>
        </w:tc>
        <w:tc>
          <w:tcPr>
            <w:tcW w:w="0" w:type="auto"/>
            <w:tcBorders>
              <w:tl2br w:val="nil"/>
              <w:tr2bl w:val="nil"/>
            </w:tcBorders>
            <w:vAlign w:val="center"/>
          </w:tcPr>
          <w:p w14:paraId="1525D0B7">
            <w:pPr>
              <w:adjustRightInd w:val="0"/>
              <w:jc w:val="center"/>
              <w:rPr>
                <w:color w:val="auto"/>
                <w:szCs w:val="21"/>
              </w:rPr>
            </w:pPr>
            <w:r>
              <w:rPr>
                <w:color w:val="auto"/>
                <w:szCs w:val="21"/>
              </w:rPr>
              <w:t>LC</w:t>
            </w:r>
          </w:p>
        </w:tc>
        <w:tc>
          <w:tcPr>
            <w:tcW w:w="0" w:type="auto"/>
            <w:tcBorders>
              <w:tl2br w:val="nil"/>
              <w:tr2bl w:val="nil"/>
            </w:tcBorders>
            <w:vAlign w:val="center"/>
          </w:tcPr>
          <w:p w14:paraId="66C4AA09">
            <w:pPr>
              <w:adjustRightInd w:val="0"/>
              <w:jc w:val="center"/>
              <w:rPr>
                <w:color w:val="auto"/>
                <w:szCs w:val="21"/>
              </w:rPr>
            </w:pPr>
            <w:r>
              <w:rPr>
                <w:color w:val="auto"/>
                <w:szCs w:val="21"/>
              </w:rPr>
              <w:t>K</w:t>
            </w:r>
          </w:p>
        </w:tc>
      </w:tr>
      <w:tr w14:paraId="28149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53AE7E0">
            <w:pPr>
              <w:adjustRightInd w:val="0"/>
              <w:jc w:val="left"/>
              <w:rPr>
                <w:color w:val="auto"/>
                <w:szCs w:val="21"/>
              </w:rPr>
            </w:pPr>
            <w:r>
              <w:rPr>
                <w:b/>
                <w:bCs/>
                <w:color w:val="auto"/>
                <w:szCs w:val="21"/>
              </w:rPr>
              <w:t>（二十七）画眉科 Timaliidae</w:t>
            </w:r>
          </w:p>
        </w:tc>
        <w:tc>
          <w:tcPr>
            <w:tcW w:w="0" w:type="auto"/>
            <w:tcBorders>
              <w:tl2br w:val="nil"/>
              <w:tr2bl w:val="nil"/>
            </w:tcBorders>
            <w:vAlign w:val="center"/>
          </w:tcPr>
          <w:p w14:paraId="7FDE535D">
            <w:pPr>
              <w:adjustRightInd w:val="0"/>
              <w:jc w:val="center"/>
              <w:rPr>
                <w:color w:val="auto"/>
                <w:szCs w:val="21"/>
              </w:rPr>
            </w:pPr>
          </w:p>
        </w:tc>
        <w:tc>
          <w:tcPr>
            <w:tcW w:w="0" w:type="auto"/>
            <w:tcBorders>
              <w:tl2br w:val="nil"/>
              <w:tr2bl w:val="nil"/>
            </w:tcBorders>
            <w:vAlign w:val="center"/>
          </w:tcPr>
          <w:p w14:paraId="0F311292">
            <w:pPr>
              <w:adjustRightInd w:val="0"/>
              <w:jc w:val="center"/>
              <w:rPr>
                <w:color w:val="auto"/>
                <w:szCs w:val="21"/>
              </w:rPr>
            </w:pPr>
          </w:p>
        </w:tc>
        <w:tc>
          <w:tcPr>
            <w:tcW w:w="0" w:type="auto"/>
            <w:tcBorders>
              <w:tl2br w:val="nil"/>
              <w:tr2bl w:val="nil"/>
            </w:tcBorders>
            <w:vAlign w:val="center"/>
          </w:tcPr>
          <w:p w14:paraId="68A22136">
            <w:pPr>
              <w:adjustRightInd w:val="0"/>
              <w:jc w:val="center"/>
              <w:rPr>
                <w:color w:val="auto"/>
                <w:szCs w:val="21"/>
              </w:rPr>
            </w:pPr>
          </w:p>
        </w:tc>
        <w:tc>
          <w:tcPr>
            <w:tcW w:w="0" w:type="auto"/>
            <w:tcBorders>
              <w:tl2br w:val="nil"/>
              <w:tr2bl w:val="nil"/>
            </w:tcBorders>
            <w:vAlign w:val="center"/>
          </w:tcPr>
          <w:p w14:paraId="2EE0FAF8">
            <w:pPr>
              <w:adjustRightInd w:val="0"/>
              <w:jc w:val="center"/>
              <w:rPr>
                <w:color w:val="auto"/>
                <w:szCs w:val="21"/>
              </w:rPr>
            </w:pPr>
          </w:p>
        </w:tc>
        <w:tc>
          <w:tcPr>
            <w:tcW w:w="0" w:type="auto"/>
            <w:tcBorders>
              <w:tl2br w:val="nil"/>
              <w:tr2bl w:val="nil"/>
            </w:tcBorders>
            <w:vAlign w:val="center"/>
          </w:tcPr>
          <w:p w14:paraId="0808DA95">
            <w:pPr>
              <w:adjustRightInd w:val="0"/>
              <w:jc w:val="center"/>
              <w:rPr>
                <w:color w:val="auto"/>
                <w:szCs w:val="21"/>
              </w:rPr>
            </w:pPr>
          </w:p>
        </w:tc>
        <w:tc>
          <w:tcPr>
            <w:tcW w:w="0" w:type="auto"/>
            <w:tcBorders>
              <w:tl2br w:val="nil"/>
              <w:tr2bl w:val="nil"/>
            </w:tcBorders>
            <w:vAlign w:val="center"/>
          </w:tcPr>
          <w:p w14:paraId="56B63B7A">
            <w:pPr>
              <w:adjustRightInd w:val="0"/>
              <w:jc w:val="center"/>
              <w:rPr>
                <w:color w:val="auto"/>
                <w:szCs w:val="21"/>
              </w:rPr>
            </w:pPr>
          </w:p>
        </w:tc>
      </w:tr>
      <w:tr w14:paraId="6BF8C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9F48DD7">
            <w:pPr>
              <w:adjustRightInd w:val="0"/>
              <w:jc w:val="left"/>
              <w:rPr>
                <w:color w:val="auto"/>
                <w:szCs w:val="21"/>
              </w:rPr>
            </w:pPr>
            <w:r>
              <w:rPr>
                <w:color w:val="auto"/>
                <w:szCs w:val="21"/>
              </w:rPr>
              <w:t xml:space="preserve">89 白颊噪鹛 </w:t>
            </w:r>
            <w:r>
              <w:rPr>
                <w:i/>
                <w:iCs/>
                <w:color w:val="auto"/>
                <w:szCs w:val="21"/>
              </w:rPr>
              <w:t>Garrulax sannio</w:t>
            </w:r>
          </w:p>
        </w:tc>
        <w:tc>
          <w:tcPr>
            <w:tcW w:w="0" w:type="auto"/>
            <w:tcBorders>
              <w:tl2br w:val="nil"/>
              <w:tr2bl w:val="nil"/>
            </w:tcBorders>
            <w:vAlign w:val="center"/>
          </w:tcPr>
          <w:p w14:paraId="75F248B2">
            <w:pPr>
              <w:adjustRightInd w:val="0"/>
              <w:jc w:val="center"/>
              <w:rPr>
                <w:color w:val="auto"/>
                <w:szCs w:val="21"/>
              </w:rPr>
            </w:pPr>
            <w:r>
              <w:rPr>
                <w:color w:val="auto"/>
                <w:szCs w:val="21"/>
              </w:rPr>
              <w:t>R</w:t>
            </w:r>
          </w:p>
        </w:tc>
        <w:tc>
          <w:tcPr>
            <w:tcW w:w="0" w:type="auto"/>
            <w:tcBorders>
              <w:tl2br w:val="nil"/>
              <w:tr2bl w:val="nil"/>
            </w:tcBorders>
            <w:vAlign w:val="center"/>
          </w:tcPr>
          <w:p w14:paraId="6ADBBB77">
            <w:pPr>
              <w:adjustRightInd w:val="0"/>
              <w:jc w:val="center"/>
              <w:rPr>
                <w:color w:val="auto"/>
                <w:szCs w:val="21"/>
              </w:rPr>
            </w:pPr>
            <w:r>
              <w:rPr>
                <w:color w:val="auto"/>
                <w:szCs w:val="21"/>
              </w:rPr>
              <w:t>O</w:t>
            </w:r>
          </w:p>
        </w:tc>
        <w:tc>
          <w:tcPr>
            <w:tcW w:w="0" w:type="auto"/>
            <w:tcBorders>
              <w:tl2br w:val="nil"/>
              <w:tr2bl w:val="nil"/>
            </w:tcBorders>
            <w:vAlign w:val="center"/>
          </w:tcPr>
          <w:p w14:paraId="0AB3A62A">
            <w:pPr>
              <w:adjustRightInd w:val="0"/>
              <w:jc w:val="center"/>
              <w:rPr>
                <w:color w:val="auto"/>
                <w:szCs w:val="21"/>
              </w:rPr>
            </w:pPr>
          </w:p>
        </w:tc>
        <w:tc>
          <w:tcPr>
            <w:tcW w:w="0" w:type="auto"/>
            <w:tcBorders>
              <w:tl2br w:val="nil"/>
              <w:tr2bl w:val="nil"/>
            </w:tcBorders>
            <w:vAlign w:val="center"/>
          </w:tcPr>
          <w:p w14:paraId="28FA5C52">
            <w:pPr>
              <w:adjustRightInd w:val="0"/>
              <w:jc w:val="center"/>
              <w:rPr>
                <w:color w:val="auto"/>
                <w:szCs w:val="21"/>
              </w:rPr>
            </w:pPr>
            <w:r>
              <w:rPr>
                <w:color w:val="auto"/>
                <w:szCs w:val="21"/>
              </w:rPr>
              <w:t>三有</w:t>
            </w:r>
          </w:p>
        </w:tc>
        <w:tc>
          <w:tcPr>
            <w:tcW w:w="0" w:type="auto"/>
            <w:tcBorders>
              <w:tl2br w:val="nil"/>
              <w:tr2bl w:val="nil"/>
            </w:tcBorders>
            <w:vAlign w:val="center"/>
          </w:tcPr>
          <w:p w14:paraId="27B47F12">
            <w:pPr>
              <w:adjustRightInd w:val="0"/>
              <w:jc w:val="center"/>
              <w:rPr>
                <w:color w:val="auto"/>
                <w:szCs w:val="21"/>
              </w:rPr>
            </w:pPr>
            <w:r>
              <w:rPr>
                <w:color w:val="auto"/>
                <w:szCs w:val="21"/>
              </w:rPr>
              <w:t>LC</w:t>
            </w:r>
          </w:p>
        </w:tc>
        <w:tc>
          <w:tcPr>
            <w:tcW w:w="0" w:type="auto"/>
            <w:tcBorders>
              <w:tl2br w:val="nil"/>
              <w:tr2bl w:val="nil"/>
            </w:tcBorders>
            <w:vAlign w:val="center"/>
          </w:tcPr>
          <w:p w14:paraId="527BA1BE">
            <w:pPr>
              <w:adjustRightInd w:val="0"/>
              <w:jc w:val="center"/>
              <w:rPr>
                <w:color w:val="auto"/>
                <w:szCs w:val="21"/>
              </w:rPr>
            </w:pPr>
            <w:r>
              <w:rPr>
                <w:color w:val="auto"/>
                <w:szCs w:val="21"/>
              </w:rPr>
              <w:t>K</w:t>
            </w:r>
          </w:p>
        </w:tc>
      </w:tr>
      <w:tr w14:paraId="0C60F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1BB94EF">
            <w:pPr>
              <w:adjustRightInd w:val="0"/>
              <w:jc w:val="left"/>
              <w:rPr>
                <w:color w:val="auto"/>
                <w:szCs w:val="21"/>
              </w:rPr>
            </w:pPr>
            <w:r>
              <w:rPr>
                <w:color w:val="auto"/>
                <w:szCs w:val="21"/>
              </w:rPr>
              <w:t xml:space="preserve">90 画眉 </w:t>
            </w:r>
            <w:r>
              <w:rPr>
                <w:i/>
                <w:iCs/>
                <w:color w:val="auto"/>
                <w:szCs w:val="21"/>
              </w:rPr>
              <w:t>Garrulax canorus</w:t>
            </w:r>
          </w:p>
        </w:tc>
        <w:tc>
          <w:tcPr>
            <w:tcW w:w="0" w:type="auto"/>
            <w:tcBorders>
              <w:tl2br w:val="nil"/>
              <w:tr2bl w:val="nil"/>
            </w:tcBorders>
            <w:vAlign w:val="center"/>
          </w:tcPr>
          <w:p w14:paraId="544D6BAA">
            <w:pPr>
              <w:adjustRightInd w:val="0"/>
              <w:jc w:val="center"/>
              <w:rPr>
                <w:color w:val="auto"/>
                <w:szCs w:val="21"/>
              </w:rPr>
            </w:pPr>
            <w:r>
              <w:rPr>
                <w:color w:val="auto"/>
                <w:szCs w:val="21"/>
              </w:rPr>
              <w:t>R</w:t>
            </w:r>
          </w:p>
        </w:tc>
        <w:tc>
          <w:tcPr>
            <w:tcW w:w="0" w:type="auto"/>
            <w:tcBorders>
              <w:tl2br w:val="nil"/>
              <w:tr2bl w:val="nil"/>
            </w:tcBorders>
            <w:vAlign w:val="center"/>
          </w:tcPr>
          <w:p w14:paraId="3928469A">
            <w:pPr>
              <w:adjustRightInd w:val="0"/>
              <w:jc w:val="center"/>
              <w:rPr>
                <w:color w:val="auto"/>
                <w:szCs w:val="21"/>
              </w:rPr>
            </w:pPr>
            <w:r>
              <w:rPr>
                <w:color w:val="auto"/>
                <w:szCs w:val="21"/>
              </w:rPr>
              <w:t>O</w:t>
            </w:r>
          </w:p>
        </w:tc>
        <w:tc>
          <w:tcPr>
            <w:tcW w:w="0" w:type="auto"/>
            <w:tcBorders>
              <w:tl2br w:val="nil"/>
              <w:tr2bl w:val="nil"/>
            </w:tcBorders>
            <w:vAlign w:val="center"/>
          </w:tcPr>
          <w:p w14:paraId="592966B9">
            <w:pPr>
              <w:adjustRightInd w:val="0"/>
              <w:jc w:val="center"/>
              <w:rPr>
                <w:color w:val="auto"/>
                <w:szCs w:val="21"/>
              </w:rPr>
            </w:pPr>
            <w:r>
              <w:rPr>
                <w:color w:val="auto"/>
                <w:szCs w:val="21"/>
              </w:rPr>
              <w:t>附录</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2456ACD0">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2C3066BB">
            <w:pPr>
              <w:adjustRightInd w:val="0"/>
              <w:jc w:val="center"/>
              <w:rPr>
                <w:color w:val="auto"/>
                <w:szCs w:val="21"/>
              </w:rPr>
            </w:pPr>
            <w:r>
              <w:rPr>
                <w:color w:val="auto"/>
                <w:szCs w:val="21"/>
              </w:rPr>
              <w:t>NT</w:t>
            </w:r>
          </w:p>
        </w:tc>
        <w:tc>
          <w:tcPr>
            <w:tcW w:w="0" w:type="auto"/>
            <w:tcBorders>
              <w:tl2br w:val="nil"/>
              <w:tr2bl w:val="nil"/>
            </w:tcBorders>
            <w:vAlign w:val="center"/>
          </w:tcPr>
          <w:p w14:paraId="57E1CC21">
            <w:pPr>
              <w:adjustRightInd w:val="0"/>
              <w:jc w:val="center"/>
              <w:rPr>
                <w:color w:val="auto"/>
                <w:szCs w:val="21"/>
              </w:rPr>
            </w:pPr>
            <w:r>
              <w:rPr>
                <w:color w:val="auto"/>
                <w:szCs w:val="21"/>
              </w:rPr>
              <w:t>K</w:t>
            </w:r>
          </w:p>
        </w:tc>
      </w:tr>
      <w:tr w14:paraId="42839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DFDB26C">
            <w:pPr>
              <w:adjustRightInd w:val="0"/>
              <w:jc w:val="left"/>
              <w:rPr>
                <w:color w:val="auto"/>
                <w:szCs w:val="21"/>
              </w:rPr>
            </w:pPr>
            <w:r>
              <w:rPr>
                <w:color w:val="auto"/>
                <w:szCs w:val="21"/>
              </w:rPr>
              <w:t>91 黑脸噪鹛</w:t>
            </w:r>
            <w:r>
              <w:rPr>
                <w:i/>
                <w:iCs/>
                <w:color w:val="auto"/>
                <w:szCs w:val="21"/>
              </w:rPr>
              <w:t xml:space="preserve"> Garrulax perspicillatus</w:t>
            </w:r>
          </w:p>
        </w:tc>
        <w:tc>
          <w:tcPr>
            <w:tcW w:w="0" w:type="auto"/>
            <w:tcBorders>
              <w:tl2br w:val="nil"/>
              <w:tr2bl w:val="nil"/>
            </w:tcBorders>
            <w:vAlign w:val="center"/>
          </w:tcPr>
          <w:p w14:paraId="08B2E56E">
            <w:pPr>
              <w:adjustRightInd w:val="0"/>
              <w:jc w:val="center"/>
              <w:rPr>
                <w:color w:val="auto"/>
                <w:szCs w:val="21"/>
              </w:rPr>
            </w:pPr>
            <w:r>
              <w:rPr>
                <w:color w:val="auto"/>
                <w:szCs w:val="21"/>
              </w:rPr>
              <w:t>R</w:t>
            </w:r>
          </w:p>
        </w:tc>
        <w:tc>
          <w:tcPr>
            <w:tcW w:w="0" w:type="auto"/>
            <w:tcBorders>
              <w:tl2br w:val="nil"/>
              <w:tr2bl w:val="nil"/>
            </w:tcBorders>
            <w:vAlign w:val="center"/>
          </w:tcPr>
          <w:p w14:paraId="52185ABE">
            <w:pPr>
              <w:adjustRightInd w:val="0"/>
              <w:jc w:val="center"/>
              <w:rPr>
                <w:color w:val="auto"/>
                <w:szCs w:val="21"/>
              </w:rPr>
            </w:pPr>
            <w:r>
              <w:rPr>
                <w:color w:val="auto"/>
                <w:szCs w:val="21"/>
              </w:rPr>
              <w:t>O</w:t>
            </w:r>
          </w:p>
        </w:tc>
        <w:tc>
          <w:tcPr>
            <w:tcW w:w="0" w:type="auto"/>
            <w:tcBorders>
              <w:tl2br w:val="nil"/>
              <w:tr2bl w:val="nil"/>
            </w:tcBorders>
            <w:vAlign w:val="center"/>
          </w:tcPr>
          <w:p w14:paraId="0B5E0431">
            <w:pPr>
              <w:adjustRightInd w:val="0"/>
              <w:jc w:val="center"/>
              <w:rPr>
                <w:color w:val="auto"/>
                <w:szCs w:val="21"/>
              </w:rPr>
            </w:pPr>
          </w:p>
        </w:tc>
        <w:tc>
          <w:tcPr>
            <w:tcW w:w="0" w:type="auto"/>
            <w:tcBorders>
              <w:tl2br w:val="nil"/>
              <w:tr2bl w:val="nil"/>
            </w:tcBorders>
            <w:vAlign w:val="center"/>
          </w:tcPr>
          <w:p w14:paraId="30D3851F">
            <w:pPr>
              <w:adjustRightInd w:val="0"/>
              <w:jc w:val="center"/>
              <w:rPr>
                <w:color w:val="auto"/>
                <w:szCs w:val="21"/>
              </w:rPr>
            </w:pPr>
            <w:r>
              <w:rPr>
                <w:color w:val="auto"/>
                <w:szCs w:val="21"/>
              </w:rPr>
              <w:t>三有；湘</w:t>
            </w:r>
          </w:p>
        </w:tc>
        <w:tc>
          <w:tcPr>
            <w:tcW w:w="0" w:type="auto"/>
            <w:tcBorders>
              <w:tl2br w:val="nil"/>
              <w:tr2bl w:val="nil"/>
            </w:tcBorders>
            <w:vAlign w:val="center"/>
          </w:tcPr>
          <w:p w14:paraId="3DA6CE61">
            <w:pPr>
              <w:adjustRightInd w:val="0"/>
              <w:jc w:val="center"/>
              <w:rPr>
                <w:color w:val="auto"/>
                <w:szCs w:val="21"/>
              </w:rPr>
            </w:pPr>
            <w:r>
              <w:rPr>
                <w:color w:val="auto"/>
                <w:szCs w:val="21"/>
              </w:rPr>
              <w:t>LC</w:t>
            </w:r>
          </w:p>
        </w:tc>
        <w:tc>
          <w:tcPr>
            <w:tcW w:w="0" w:type="auto"/>
            <w:tcBorders>
              <w:tl2br w:val="nil"/>
              <w:tr2bl w:val="nil"/>
            </w:tcBorders>
            <w:vAlign w:val="center"/>
          </w:tcPr>
          <w:p w14:paraId="43482A17">
            <w:pPr>
              <w:adjustRightInd w:val="0"/>
              <w:jc w:val="center"/>
              <w:rPr>
                <w:color w:val="auto"/>
                <w:szCs w:val="21"/>
              </w:rPr>
            </w:pPr>
            <w:r>
              <w:rPr>
                <w:color w:val="auto"/>
                <w:szCs w:val="21"/>
              </w:rPr>
              <w:t>K</w:t>
            </w:r>
          </w:p>
        </w:tc>
      </w:tr>
      <w:tr w14:paraId="290F4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E966772">
            <w:pPr>
              <w:adjustRightInd w:val="0"/>
              <w:jc w:val="left"/>
              <w:rPr>
                <w:color w:val="auto"/>
                <w:szCs w:val="21"/>
              </w:rPr>
            </w:pPr>
            <w:r>
              <w:rPr>
                <w:b/>
                <w:bCs/>
                <w:color w:val="auto"/>
                <w:szCs w:val="21"/>
              </w:rPr>
              <w:t>（二十八）鸦雀科 Paradoxornithidae</w:t>
            </w:r>
          </w:p>
        </w:tc>
        <w:tc>
          <w:tcPr>
            <w:tcW w:w="0" w:type="auto"/>
            <w:tcBorders>
              <w:tl2br w:val="nil"/>
              <w:tr2bl w:val="nil"/>
            </w:tcBorders>
            <w:vAlign w:val="center"/>
          </w:tcPr>
          <w:p w14:paraId="7B0B506F">
            <w:pPr>
              <w:adjustRightInd w:val="0"/>
              <w:jc w:val="center"/>
              <w:rPr>
                <w:color w:val="auto"/>
                <w:szCs w:val="21"/>
              </w:rPr>
            </w:pPr>
          </w:p>
        </w:tc>
        <w:tc>
          <w:tcPr>
            <w:tcW w:w="0" w:type="auto"/>
            <w:tcBorders>
              <w:tl2br w:val="nil"/>
              <w:tr2bl w:val="nil"/>
            </w:tcBorders>
            <w:vAlign w:val="center"/>
          </w:tcPr>
          <w:p w14:paraId="7C19B239">
            <w:pPr>
              <w:adjustRightInd w:val="0"/>
              <w:jc w:val="center"/>
              <w:rPr>
                <w:color w:val="auto"/>
                <w:szCs w:val="21"/>
              </w:rPr>
            </w:pPr>
          </w:p>
        </w:tc>
        <w:tc>
          <w:tcPr>
            <w:tcW w:w="0" w:type="auto"/>
            <w:tcBorders>
              <w:tl2br w:val="nil"/>
              <w:tr2bl w:val="nil"/>
            </w:tcBorders>
            <w:vAlign w:val="center"/>
          </w:tcPr>
          <w:p w14:paraId="00D73750">
            <w:pPr>
              <w:adjustRightInd w:val="0"/>
              <w:jc w:val="center"/>
              <w:rPr>
                <w:color w:val="auto"/>
                <w:szCs w:val="21"/>
              </w:rPr>
            </w:pPr>
          </w:p>
        </w:tc>
        <w:tc>
          <w:tcPr>
            <w:tcW w:w="0" w:type="auto"/>
            <w:tcBorders>
              <w:tl2br w:val="nil"/>
              <w:tr2bl w:val="nil"/>
            </w:tcBorders>
            <w:vAlign w:val="center"/>
          </w:tcPr>
          <w:p w14:paraId="5B719C40">
            <w:pPr>
              <w:adjustRightInd w:val="0"/>
              <w:jc w:val="center"/>
              <w:rPr>
                <w:color w:val="auto"/>
                <w:szCs w:val="21"/>
              </w:rPr>
            </w:pPr>
          </w:p>
        </w:tc>
        <w:tc>
          <w:tcPr>
            <w:tcW w:w="0" w:type="auto"/>
            <w:tcBorders>
              <w:tl2br w:val="nil"/>
              <w:tr2bl w:val="nil"/>
            </w:tcBorders>
            <w:vAlign w:val="center"/>
          </w:tcPr>
          <w:p w14:paraId="30843931">
            <w:pPr>
              <w:adjustRightInd w:val="0"/>
              <w:jc w:val="center"/>
              <w:rPr>
                <w:color w:val="auto"/>
                <w:szCs w:val="21"/>
              </w:rPr>
            </w:pPr>
          </w:p>
        </w:tc>
        <w:tc>
          <w:tcPr>
            <w:tcW w:w="0" w:type="auto"/>
            <w:tcBorders>
              <w:tl2br w:val="nil"/>
              <w:tr2bl w:val="nil"/>
            </w:tcBorders>
            <w:vAlign w:val="center"/>
          </w:tcPr>
          <w:p w14:paraId="5B92C7FE">
            <w:pPr>
              <w:adjustRightInd w:val="0"/>
              <w:jc w:val="center"/>
              <w:rPr>
                <w:color w:val="auto"/>
                <w:szCs w:val="21"/>
              </w:rPr>
            </w:pPr>
          </w:p>
        </w:tc>
      </w:tr>
      <w:tr w14:paraId="3EF8F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A4F8A5C">
            <w:pPr>
              <w:adjustRightInd w:val="0"/>
              <w:jc w:val="left"/>
              <w:rPr>
                <w:color w:val="auto"/>
                <w:szCs w:val="21"/>
              </w:rPr>
            </w:pPr>
            <w:r>
              <w:rPr>
                <w:color w:val="auto"/>
                <w:szCs w:val="21"/>
              </w:rPr>
              <w:t xml:space="preserve">92 棕头鸦雀 </w:t>
            </w:r>
            <w:r>
              <w:rPr>
                <w:i/>
                <w:iCs/>
                <w:color w:val="auto"/>
                <w:szCs w:val="21"/>
              </w:rPr>
              <w:t>Paradoxornis webbianus</w:t>
            </w:r>
          </w:p>
        </w:tc>
        <w:tc>
          <w:tcPr>
            <w:tcW w:w="0" w:type="auto"/>
            <w:tcBorders>
              <w:tl2br w:val="nil"/>
              <w:tr2bl w:val="nil"/>
            </w:tcBorders>
            <w:vAlign w:val="center"/>
          </w:tcPr>
          <w:p w14:paraId="687BB9DF">
            <w:pPr>
              <w:adjustRightInd w:val="0"/>
              <w:jc w:val="center"/>
              <w:rPr>
                <w:color w:val="auto"/>
                <w:szCs w:val="21"/>
              </w:rPr>
            </w:pPr>
            <w:r>
              <w:rPr>
                <w:color w:val="auto"/>
                <w:szCs w:val="21"/>
              </w:rPr>
              <w:t>R</w:t>
            </w:r>
          </w:p>
        </w:tc>
        <w:tc>
          <w:tcPr>
            <w:tcW w:w="0" w:type="auto"/>
            <w:tcBorders>
              <w:tl2br w:val="nil"/>
              <w:tr2bl w:val="nil"/>
            </w:tcBorders>
            <w:vAlign w:val="center"/>
          </w:tcPr>
          <w:p w14:paraId="6D9680AB">
            <w:pPr>
              <w:adjustRightInd w:val="0"/>
              <w:jc w:val="center"/>
              <w:rPr>
                <w:color w:val="auto"/>
                <w:szCs w:val="21"/>
              </w:rPr>
            </w:pPr>
            <w:r>
              <w:rPr>
                <w:color w:val="auto"/>
                <w:szCs w:val="21"/>
              </w:rPr>
              <w:t>O</w:t>
            </w:r>
          </w:p>
        </w:tc>
        <w:tc>
          <w:tcPr>
            <w:tcW w:w="0" w:type="auto"/>
            <w:tcBorders>
              <w:tl2br w:val="nil"/>
              <w:tr2bl w:val="nil"/>
            </w:tcBorders>
            <w:vAlign w:val="center"/>
          </w:tcPr>
          <w:p w14:paraId="41D30619">
            <w:pPr>
              <w:adjustRightInd w:val="0"/>
              <w:jc w:val="center"/>
              <w:rPr>
                <w:color w:val="auto"/>
                <w:szCs w:val="21"/>
              </w:rPr>
            </w:pPr>
          </w:p>
        </w:tc>
        <w:tc>
          <w:tcPr>
            <w:tcW w:w="0" w:type="auto"/>
            <w:tcBorders>
              <w:tl2br w:val="nil"/>
              <w:tr2bl w:val="nil"/>
            </w:tcBorders>
            <w:vAlign w:val="center"/>
          </w:tcPr>
          <w:p w14:paraId="579DCF29">
            <w:pPr>
              <w:adjustRightInd w:val="0"/>
              <w:jc w:val="center"/>
              <w:rPr>
                <w:color w:val="auto"/>
                <w:szCs w:val="21"/>
              </w:rPr>
            </w:pPr>
            <w:r>
              <w:rPr>
                <w:color w:val="auto"/>
                <w:szCs w:val="21"/>
              </w:rPr>
              <w:t>三有</w:t>
            </w:r>
          </w:p>
        </w:tc>
        <w:tc>
          <w:tcPr>
            <w:tcW w:w="0" w:type="auto"/>
            <w:tcBorders>
              <w:tl2br w:val="nil"/>
              <w:tr2bl w:val="nil"/>
            </w:tcBorders>
            <w:vAlign w:val="center"/>
          </w:tcPr>
          <w:p w14:paraId="5C214F2E">
            <w:pPr>
              <w:adjustRightInd w:val="0"/>
              <w:jc w:val="center"/>
              <w:rPr>
                <w:color w:val="auto"/>
                <w:szCs w:val="21"/>
              </w:rPr>
            </w:pPr>
            <w:r>
              <w:rPr>
                <w:color w:val="auto"/>
                <w:szCs w:val="21"/>
              </w:rPr>
              <w:t>LC</w:t>
            </w:r>
          </w:p>
        </w:tc>
        <w:tc>
          <w:tcPr>
            <w:tcW w:w="0" w:type="auto"/>
            <w:tcBorders>
              <w:tl2br w:val="nil"/>
              <w:tr2bl w:val="nil"/>
            </w:tcBorders>
            <w:vAlign w:val="center"/>
          </w:tcPr>
          <w:p w14:paraId="04E77826">
            <w:pPr>
              <w:adjustRightInd w:val="0"/>
              <w:jc w:val="center"/>
              <w:rPr>
                <w:color w:val="auto"/>
                <w:szCs w:val="21"/>
              </w:rPr>
            </w:pPr>
            <w:r>
              <w:rPr>
                <w:color w:val="auto"/>
                <w:szCs w:val="21"/>
              </w:rPr>
              <w:t>K</w:t>
            </w:r>
          </w:p>
        </w:tc>
      </w:tr>
      <w:tr w14:paraId="41E9C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FC933F5">
            <w:pPr>
              <w:adjustRightInd w:val="0"/>
              <w:jc w:val="left"/>
              <w:rPr>
                <w:color w:val="auto"/>
                <w:szCs w:val="21"/>
              </w:rPr>
            </w:pPr>
            <w:r>
              <w:rPr>
                <w:b/>
                <w:bCs/>
                <w:color w:val="auto"/>
                <w:szCs w:val="21"/>
              </w:rPr>
              <w:t>（二十九）莺科 Sylviidae</w:t>
            </w:r>
          </w:p>
        </w:tc>
        <w:tc>
          <w:tcPr>
            <w:tcW w:w="0" w:type="auto"/>
            <w:tcBorders>
              <w:tl2br w:val="nil"/>
              <w:tr2bl w:val="nil"/>
            </w:tcBorders>
            <w:vAlign w:val="center"/>
          </w:tcPr>
          <w:p w14:paraId="14DB2D33">
            <w:pPr>
              <w:adjustRightInd w:val="0"/>
              <w:jc w:val="center"/>
              <w:rPr>
                <w:color w:val="auto"/>
                <w:szCs w:val="21"/>
              </w:rPr>
            </w:pPr>
          </w:p>
        </w:tc>
        <w:tc>
          <w:tcPr>
            <w:tcW w:w="0" w:type="auto"/>
            <w:tcBorders>
              <w:tl2br w:val="nil"/>
              <w:tr2bl w:val="nil"/>
            </w:tcBorders>
            <w:vAlign w:val="center"/>
          </w:tcPr>
          <w:p w14:paraId="3761C649">
            <w:pPr>
              <w:adjustRightInd w:val="0"/>
              <w:jc w:val="center"/>
              <w:rPr>
                <w:color w:val="auto"/>
                <w:szCs w:val="21"/>
              </w:rPr>
            </w:pPr>
          </w:p>
        </w:tc>
        <w:tc>
          <w:tcPr>
            <w:tcW w:w="0" w:type="auto"/>
            <w:tcBorders>
              <w:tl2br w:val="nil"/>
              <w:tr2bl w:val="nil"/>
            </w:tcBorders>
            <w:vAlign w:val="center"/>
          </w:tcPr>
          <w:p w14:paraId="3D00A04F">
            <w:pPr>
              <w:adjustRightInd w:val="0"/>
              <w:jc w:val="center"/>
              <w:rPr>
                <w:color w:val="auto"/>
                <w:szCs w:val="21"/>
              </w:rPr>
            </w:pPr>
          </w:p>
        </w:tc>
        <w:tc>
          <w:tcPr>
            <w:tcW w:w="0" w:type="auto"/>
            <w:tcBorders>
              <w:tl2br w:val="nil"/>
              <w:tr2bl w:val="nil"/>
            </w:tcBorders>
            <w:vAlign w:val="center"/>
          </w:tcPr>
          <w:p w14:paraId="5C12BC9B">
            <w:pPr>
              <w:adjustRightInd w:val="0"/>
              <w:jc w:val="center"/>
              <w:rPr>
                <w:color w:val="auto"/>
                <w:szCs w:val="21"/>
              </w:rPr>
            </w:pPr>
          </w:p>
        </w:tc>
        <w:tc>
          <w:tcPr>
            <w:tcW w:w="0" w:type="auto"/>
            <w:tcBorders>
              <w:tl2br w:val="nil"/>
              <w:tr2bl w:val="nil"/>
            </w:tcBorders>
            <w:vAlign w:val="center"/>
          </w:tcPr>
          <w:p w14:paraId="55DA7234">
            <w:pPr>
              <w:adjustRightInd w:val="0"/>
              <w:jc w:val="center"/>
              <w:rPr>
                <w:color w:val="auto"/>
                <w:szCs w:val="21"/>
              </w:rPr>
            </w:pPr>
          </w:p>
        </w:tc>
        <w:tc>
          <w:tcPr>
            <w:tcW w:w="0" w:type="auto"/>
            <w:tcBorders>
              <w:tl2br w:val="nil"/>
              <w:tr2bl w:val="nil"/>
            </w:tcBorders>
            <w:vAlign w:val="center"/>
          </w:tcPr>
          <w:p w14:paraId="385C244F">
            <w:pPr>
              <w:adjustRightInd w:val="0"/>
              <w:jc w:val="center"/>
              <w:rPr>
                <w:color w:val="auto"/>
                <w:szCs w:val="21"/>
              </w:rPr>
            </w:pPr>
          </w:p>
        </w:tc>
      </w:tr>
      <w:tr w14:paraId="0B006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0B84D36">
            <w:pPr>
              <w:adjustRightInd w:val="0"/>
              <w:jc w:val="left"/>
              <w:rPr>
                <w:color w:val="auto"/>
                <w:szCs w:val="21"/>
              </w:rPr>
            </w:pPr>
            <w:r>
              <w:rPr>
                <w:color w:val="auto"/>
                <w:szCs w:val="21"/>
              </w:rPr>
              <w:t xml:space="preserve">93 强脚树莺 </w:t>
            </w:r>
            <w:r>
              <w:rPr>
                <w:i/>
                <w:iCs/>
                <w:color w:val="auto"/>
                <w:szCs w:val="21"/>
              </w:rPr>
              <w:t>Cettia fortipes</w:t>
            </w:r>
          </w:p>
        </w:tc>
        <w:tc>
          <w:tcPr>
            <w:tcW w:w="0" w:type="auto"/>
            <w:tcBorders>
              <w:tl2br w:val="nil"/>
              <w:tr2bl w:val="nil"/>
            </w:tcBorders>
            <w:vAlign w:val="center"/>
          </w:tcPr>
          <w:p w14:paraId="7976D7A5">
            <w:pPr>
              <w:adjustRightInd w:val="0"/>
              <w:jc w:val="center"/>
              <w:rPr>
                <w:color w:val="auto"/>
                <w:szCs w:val="21"/>
              </w:rPr>
            </w:pPr>
            <w:r>
              <w:rPr>
                <w:color w:val="auto"/>
                <w:szCs w:val="21"/>
              </w:rPr>
              <w:t>R</w:t>
            </w:r>
          </w:p>
        </w:tc>
        <w:tc>
          <w:tcPr>
            <w:tcW w:w="0" w:type="auto"/>
            <w:tcBorders>
              <w:tl2br w:val="nil"/>
              <w:tr2bl w:val="nil"/>
            </w:tcBorders>
            <w:vAlign w:val="center"/>
          </w:tcPr>
          <w:p w14:paraId="5F3BDCA3">
            <w:pPr>
              <w:adjustRightInd w:val="0"/>
              <w:jc w:val="center"/>
              <w:rPr>
                <w:color w:val="auto"/>
                <w:szCs w:val="21"/>
              </w:rPr>
            </w:pPr>
            <w:r>
              <w:rPr>
                <w:color w:val="auto"/>
                <w:szCs w:val="21"/>
              </w:rPr>
              <w:t>O</w:t>
            </w:r>
          </w:p>
        </w:tc>
        <w:tc>
          <w:tcPr>
            <w:tcW w:w="0" w:type="auto"/>
            <w:tcBorders>
              <w:tl2br w:val="nil"/>
              <w:tr2bl w:val="nil"/>
            </w:tcBorders>
            <w:vAlign w:val="center"/>
          </w:tcPr>
          <w:p w14:paraId="168C3142">
            <w:pPr>
              <w:adjustRightInd w:val="0"/>
              <w:jc w:val="center"/>
              <w:rPr>
                <w:color w:val="auto"/>
                <w:szCs w:val="21"/>
              </w:rPr>
            </w:pPr>
          </w:p>
        </w:tc>
        <w:tc>
          <w:tcPr>
            <w:tcW w:w="0" w:type="auto"/>
            <w:tcBorders>
              <w:tl2br w:val="nil"/>
              <w:tr2bl w:val="nil"/>
            </w:tcBorders>
            <w:vAlign w:val="center"/>
          </w:tcPr>
          <w:p w14:paraId="1B4A74DD">
            <w:pPr>
              <w:adjustRightInd w:val="0"/>
              <w:jc w:val="center"/>
              <w:rPr>
                <w:color w:val="auto"/>
                <w:szCs w:val="21"/>
              </w:rPr>
            </w:pPr>
            <w:r>
              <w:rPr>
                <w:color w:val="auto"/>
                <w:szCs w:val="21"/>
              </w:rPr>
              <w:t>三有</w:t>
            </w:r>
          </w:p>
        </w:tc>
        <w:tc>
          <w:tcPr>
            <w:tcW w:w="0" w:type="auto"/>
            <w:tcBorders>
              <w:tl2br w:val="nil"/>
              <w:tr2bl w:val="nil"/>
            </w:tcBorders>
            <w:vAlign w:val="center"/>
          </w:tcPr>
          <w:p w14:paraId="12720B7E">
            <w:pPr>
              <w:adjustRightInd w:val="0"/>
              <w:jc w:val="center"/>
              <w:rPr>
                <w:color w:val="auto"/>
                <w:szCs w:val="21"/>
              </w:rPr>
            </w:pPr>
            <w:r>
              <w:rPr>
                <w:color w:val="auto"/>
                <w:szCs w:val="21"/>
              </w:rPr>
              <w:t>LC</w:t>
            </w:r>
          </w:p>
        </w:tc>
        <w:tc>
          <w:tcPr>
            <w:tcW w:w="0" w:type="auto"/>
            <w:tcBorders>
              <w:tl2br w:val="nil"/>
              <w:tr2bl w:val="nil"/>
            </w:tcBorders>
            <w:vAlign w:val="center"/>
          </w:tcPr>
          <w:p w14:paraId="3C2FA602">
            <w:pPr>
              <w:adjustRightInd w:val="0"/>
              <w:jc w:val="center"/>
              <w:rPr>
                <w:color w:val="auto"/>
                <w:szCs w:val="21"/>
              </w:rPr>
            </w:pPr>
            <w:r>
              <w:rPr>
                <w:color w:val="auto"/>
                <w:szCs w:val="21"/>
              </w:rPr>
              <w:t>K</w:t>
            </w:r>
          </w:p>
        </w:tc>
      </w:tr>
      <w:tr w14:paraId="529C0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A933B36">
            <w:pPr>
              <w:adjustRightInd w:val="0"/>
              <w:jc w:val="left"/>
              <w:rPr>
                <w:color w:val="auto"/>
                <w:szCs w:val="21"/>
              </w:rPr>
            </w:pPr>
            <w:r>
              <w:rPr>
                <w:color w:val="auto"/>
                <w:szCs w:val="21"/>
              </w:rPr>
              <w:t>94 纯色山鹪莺</w:t>
            </w:r>
            <w:r>
              <w:rPr>
                <w:i/>
                <w:iCs/>
                <w:color w:val="auto"/>
                <w:szCs w:val="21"/>
              </w:rPr>
              <w:t xml:space="preserve"> Prinia inornata</w:t>
            </w:r>
          </w:p>
        </w:tc>
        <w:tc>
          <w:tcPr>
            <w:tcW w:w="0" w:type="auto"/>
            <w:tcBorders>
              <w:tl2br w:val="nil"/>
              <w:tr2bl w:val="nil"/>
            </w:tcBorders>
            <w:vAlign w:val="center"/>
          </w:tcPr>
          <w:p w14:paraId="6D5360E7">
            <w:pPr>
              <w:adjustRightInd w:val="0"/>
              <w:jc w:val="center"/>
              <w:rPr>
                <w:color w:val="auto"/>
                <w:szCs w:val="21"/>
              </w:rPr>
            </w:pPr>
            <w:r>
              <w:rPr>
                <w:color w:val="auto"/>
                <w:szCs w:val="21"/>
              </w:rPr>
              <w:t>R</w:t>
            </w:r>
          </w:p>
        </w:tc>
        <w:tc>
          <w:tcPr>
            <w:tcW w:w="0" w:type="auto"/>
            <w:tcBorders>
              <w:tl2br w:val="nil"/>
              <w:tr2bl w:val="nil"/>
            </w:tcBorders>
            <w:vAlign w:val="center"/>
          </w:tcPr>
          <w:p w14:paraId="32B97967">
            <w:pPr>
              <w:adjustRightInd w:val="0"/>
              <w:jc w:val="center"/>
              <w:rPr>
                <w:color w:val="auto"/>
                <w:szCs w:val="21"/>
              </w:rPr>
            </w:pPr>
            <w:r>
              <w:rPr>
                <w:color w:val="auto"/>
                <w:szCs w:val="21"/>
              </w:rPr>
              <w:t>O</w:t>
            </w:r>
          </w:p>
        </w:tc>
        <w:tc>
          <w:tcPr>
            <w:tcW w:w="0" w:type="auto"/>
            <w:tcBorders>
              <w:tl2br w:val="nil"/>
              <w:tr2bl w:val="nil"/>
            </w:tcBorders>
            <w:vAlign w:val="center"/>
          </w:tcPr>
          <w:p w14:paraId="10732516">
            <w:pPr>
              <w:adjustRightInd w:val="0"/>
              <w:jc w:val="center"/>
              <w:rPr>
                <w:color w:val="auto"/>
                <w:szCs w:val="21"/>
              </w:rPr>
            </w:pPr>
          </w:p>
        </w:tc>
        <w:tc>
          <w:tcPr>
            <w:tcW w:w="0" w:type="auto"/>
            <w:tcBorders>
              <w:tl2br w:val="nil"/>
              <w:tr2bl w:val="nil"/>
            </w:tcBorders>
            <w:vAlign w:val="center"/>
          </w:tcPr>
          <w:p w14:paraId="2C62671A">
            <w:pPr>
              <w:adjustRightInd w:val="0"/>
              <w:jc w:val="center"/>
              <w:rPr>
                <w:color w:val="auto"/>
                <w:szCs w:val="21"/>
              </w:rPr>
            </w:pPr>
            <w:r>
              <w:rPr>
                <w:color w:val="auto"/>
                <w:szCs w:val="21"/>
              </w:rPr>
              <w:t>三有</w:t>
            </w:r>
          </w:p>
        </w:tc>
        <w:tc>
          <w:tcPr>
            <w:tcW w:w="0" w:type="auto"/>
            <w:tcBorders>
              <w:tl2br w:val="nil"/>
              <w:tr2bl w:val="nil"/>
            </w:tcBorders>
            <w:vAlign w:val="center"/>
          </w:tcPr>
          <w:p w14:paraId="561A2D6E">
            <w:pPr>
              <w:adjustRightInd w:val="0"/>
              <w:jc w:val="center"/>
              <w:rPr>
                <w:color w:val="auto"/>
                <w:szCs w:val="21"/>
              </w:rPr>
            </w:pPr>
            <w:r>
              <w:rPr>
                <w:color w:val="auto"/>
                <w:szCs w:val="21"/>
              </w:rPr>
              <w:t>LC</w:t>
            </w:r>
          </w:p>
        </w:tc>
        <w:tc>
          <w:tcPr>
            <w:tcW w:w="0" w:type="auto"/>
            <w:tcBorders>
              <w:tl2br w:val="nil"/>
              <w:tr2bl w:val="nil"/>
            </w:tcBorders>
            <w:vAlign w:val="center"/>
          </w:tcPr>
          <w:p w14:paraId="454DBEC2">
            <w:pPr>
              <w:adjustRightInd w:val="0"/>
              <w:jc w:val="center"/>
              <w:rPr>
                <w:color w:val="auto"/>
                <w:szCs w:val="21"/>
              </w:rPr>
            </w:pPr>
            <w:r>
              <w:rPr>
                <w:color w:val="auto"/>
                <w:szCs w:val="21"/>
              </w:rPr>
              <w:t>K</w:t>
            </w:r>
          </w:p>
        </w:tc>
      </w:tr>
      <w:tr w14:paraId="3F92D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46693F8B">
            <w:pPr>
              <w:adjustRightInd w:val="0"/>
              <w:jc w:val="left"/>
              <w:rPr>
                <w:color w:val="auto"/>
                <w:szCs w:val="21"/>
              </w:rPr>
            </w:pPr>
            <w:r>
              <w:rPr>
                <w:b/>
                <w:bCs/>
                <w:color w:val="auto"/>
                <w:szCs w:val="21"/>
              </w:rPr>
              <w:t>（三十）绣眼鸟科 Zosteropidae</w:t>
            </w:r>
          </w:p>
        </w:tc>
        <w:tc>
          <w:tcPr>
            <w:tcW w:w="0" w:type="auto"/>
            <w:tcBorders>
              <w:tl2br w:val="nil"/>
              <w:tr2bl w:val="nil"/>
            </w:tcBorders>
            <w:vAlign w:val="center"/>
          </w:tcPr>
          <w:p w14:paraId="4EB788CB">
            <w:pPr>
              <w:adjustRightInd w:val="0"/>
              <w:jc w:val="center"/>
              <w:rPr>
                <w:color w:val="auto"/>
                <w:szCs w:val="21"/>
              </w:rPr>
            </w:pPr>
          </w:p>
        </w:tc>
        <w:tc>
          <w:tcPr>
            <w:tcW w:w="0" w:type="auto"/>
            <w:tcBorders>
              <w:tl2br w:val="nil"/>
              <w:tr2bl w:val="nil"/>
            </w:tcBorders>
            <w:vAlign w:val="center"/>
          </w:tcPr>
          <w:p w14:paraId="7207B0A8">
            <w:pPr>
              <w:adjustRightInd w:val="0"/>
              <w:jc w:val="center"/>
              <w:rPr>
                <w:color w:val="auto"/>
                <w:szCs w:val="21"/>
              </w:rPr>
            </w:pPr>
          </w:p>
        </w:tc>
        <w:tc>
          <w:tcPr>
            <w:tcW w:w="0" w:type="auto"/>
            <w:tcBorders>
              <w:tl2br w:val="nil"/>
              <w:tr2bl w:val="nil"/>
            </w:tcBorders>
            <w:vAlign w:val="center"/>
          </w:tcPr>
          <w:p w14:paraId="2C10FFDD">
            <w:pPr>
              <w:adjustRightInd w:val="0"/>
              <w:jc w:val="center"/>
              <w:rPr>
                <w:color w:val="auto"/>
                <w:szCs w:val="21"/>
              </w:rPr>
            </w:pPr>
          </w:p>
        </w:tc>
        <w:tc>
          <w:tcPr>
            <w:tcW w:w="0" w:type="auto"/>
            <w:tcBorders>
              <w:tl2br w:val="nil"/>
              <w:tr2bl w:val="nil"/>
            </w:tcBorders>
            <w:vAlign w:val="center"/>
          </w:tcPr>
          <w:p w14:paraId="23348B3E">
            <w:pPr>
              <w:adjustRightInd w:val="0"/>
              <w:jc w:val="center"/>
              <w:rPr>
                <w:color w:val="auto"/>
                <w:szCs w:val="21"/>
              </w:rPr>
            </w:pPr>
          </w:p>
        </w:tc>
        <w:tc>
          <w:tcPr>
            <w:tcW w:w="0" w:type="auto"/>
            <w:tcBorders>
              <w:tl2br w:val="nil"/>
              <w:tr2bl w:val="nil"/>
            </w:tcBorders>
            <w:vAlign w:val="center"/>
          </w:tcPr>
          <w:p w14:paraId="31CE87B7">
            <w:pPr>
              <w:adjustRightInd w:val="0"/>
              <w:jc w:val="center"/>
              <w:rPr>
                <w:color w:val="auto"/>
                <w:szCs w:val="21"/>
              </w:rPr>
            </w:pPr>
          </w:p>
        </w:tc>
        <w:tc>
          <w:tcPr>
            <w:tcW w:w="0" w:type="auto"/>
            <w:tcBorders>
              <w:tl2br w:val="nil"/>
              <w:tr2bl w:val="nil"/>
            </w:tcBorders>
            <w:vAlign w:val="center"/>
          </w:tcPr>
          <w:p w14:paraId="5B39482D">
            <w:pPr>
              <w:adjustRightInd w:val="0"/>
              <w:jc w:val="center"/>
              <w:rPr>
                <w:color w:val="auto"/>
                <w:szCs w:val="21"/>
              </w:rPr>
            </w:pPr>
          </w:p>
        </w:tc>
      </w:tr>
      <w:tr w14:paraId="7B9EB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F7E7998">
            <w:pPr>
              <w:adjustRightInd w:val="0"/>
              <w:jc w:val="left"/>
              <w:rPr>
                <w:color w:val="auto"/>
                <w:szCs w:val="21"/>
              </w:rPr>
            </w:pPr>
            <w:r>
              <w:rPr>
                <w:color w:val="auto"/>
                <w:szCs w:val="21"/>
              </w:rPr>
              <w:t xml:space="preserve">95 暗绿绣眼鸟 </w:t>
            </w:r>
            <w:r>
              <w:rPr>
                <w:i/>
                <w:iCs/>
                <w:color w:val="auto"/>
                <w:szCs w:val="21"/>
              </w:rPr>
              <w:t>Zosterops japonica</w:t>
            </w:r>
          </w:p>
        </w:tc>
        <w:tc>
          <w:tcPr>
            <w:tcW w:w="0" w:type="auto"/>
            <w:tcBorders>
              <w:tl2br w:val="nil"/>
              <w:tr2bl w:val="nil"/>
            </w:tcBorders>
            <w:vAlign w:val="center"/>
          </w:tcPr>
          <w:p w14:paraId="320BA977">
            <w:pPr>
              <w:adjustRightInd w:val="0"/>
              <w:jc w:val="center"/>
              <w:rPr>
                <w:color w:val="auto"/>
                <w:szCs w:val="21"/>
              </w:rPr>
            </w:pPr>
            <w:r>
              <w:rPr>
                <w:color w:val="auto"/>
                <w:szCs w:val="21"/>
              </w:rPr>
              <w:t>S</w:t>
            </w:r>
          </w:p>
        </w:tc>
        <w:tc>
          <w:tcPr>
            <w:tcW w:w="0" w:type="auto"/>
            <w:tcBorders>
              <w:tl2br w:val="nil"/>
              <w:tr2bl w:val="nil"/>
            </w:tcBorders>
            <w:vAlign w:val="center"/>
          </w:tcPr>
          <w:p w14:paraId="04710DC8">
            <w:pPr>
              <w:adjustRightInd w:val="0"/>
              <w:jc w:val="center"/>
              <w:rPr>
                <w:color w:val="auto"/>
                <w:szCs w:val="21"/>
              </w:rPr>
            </w:pPr>
            <w:r>
              <w:rPr>
                <w:color w:val="auto"/>
                <w:szCs w:val="21"/>
              </w:rPr>
              <w:t>O</w:t>
            </w:r>
          </w:p>
        </w:tc>
        <w:tc>
          <w:tcPr>
            <w:tcW w:w="0" w:type="auto"/>
            <w:tcBorders>
              <w:tl2br w:val="nil"/>
              <w:tr2bl w:val="nil"/>
            </w:tcBorders>
            <w:vAlign w:val="center"/>
          </w:tcPr>
          <w:p w14:paraId="002A5314">
            <w:pPr>
              <w:adjustRightInd w:val="0"/>
              <w:jc w:val="center"/>
              <w:rPr>
                <w:color w:val="auto"/>
                <w:szCs w:val="21"/>
              </w:rPr>
            </w:pPr>
          </w:p>
        </w:tc>
        <w:tc>
          <w:tcPr>
            <w:tcW w:w="0" w:type="auto"/>
            <w:tcBorders>
              <w:tl2br w:val="nil"/>
              <w:tr2bl w:val="nil"/>
            </w:tcBorders>
            <w:vAlign w:val="center"/>
          </w:tcPr>
          <w:p w14:paraId="72C1DA30">
            <w:pPr>
              <w:adjustRightInd w:val="0"/>
              <w:jc w:val="center"/>
              <w:rPr>
                <w:color w:val="auto"/>
                <w:szCs w:val="21"/>
              </w:rPr>
            </w:pPr>
            <w:r>
              <w:rPr>
                <w:color w:val="auto"/>
                <w:szCs w:val="21"/>
              </w:rPr>
              <w:t>三有；湘</w:t>
            </w:r>
          </w:p>
        </w:tc>
        <w:tc>
          <w:tcPr>
            <w:tcW w:w="0" w:type="auto"/>
            <w:tcBorders>
              <w:tl2br w:val="nil"/>
              <w:tr2bl w:val="nil"/>
            </w:tcBorders>
            <w:vAlign w:val="center"/>
          </w:tcPr>
          <w:p w14:paraId="11DC5EED">
            <w:pPr>
              <w:adjustRightInd w:val="0"/>
              <w:jc w:val="center"/>
              <w:rPr>
                <w:color w:val="auto"/>
                <w:szCs w:val="21"/>
              </w:rPr>
            </w:pPr>
            <w:r>
              <w:rPr>
                <w:color w:val="auto"/>
                <w:szCs w:val="21"/>
              </w:rPr>
              <w:t>LC</w:t>
            </w:r>
          </w:p>
        </w:tc>
        <w:tc>
          <w:tcPr>
            <w:tcW w:w="0" w:type="auto"/>
            <w:tcBorders>
              <w:tl2br w:val="nil"/>
              <w:tr2bl w:val="nil"/>
            </w:tcBorders>
            <w:vAlign w:val="center"/>
          </w:tcPr>
          <w:p w14:paraId="4E3252C8">
            <w:pPr>
              <w:adjustRightInd w:val="0"/>
              <w:jc w:val="center"/>
              <w:rPr>
                <w:color w:val="auto"/>
                <w:szCs w:val="21"/>
              </w:rPr>
            </w:pPr>
            <w:r>
              <w:rPr>
                <w:color w:val="auto"/>
                <w:szCs w:val="21"/>
              </w:rPr>
              <w:t>K</w:t>
            </w:r>
          </w:p>
        </w:tc>
      </w:tr>
      <w:tr w14:paraId="02480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1286FC0A">
            <w:pPr>
              <w:adjustRightInd w:val="0"/>
              <w:jc w:val="left"/>
              <w:rPr>
                <w:color w:val="auto"/>
                <w:szCs w:val="21"/>
              </w:rPr>
            </w:pPr>
            <w:r>
              <w:rPr>
                <w:b/>
                <w:bCs/>
                <w:color w:val="auto"/>
                <w:szCs w:val="21"/>
              </w:rPr>
              <w:t>（三十一）长尾山雀科 Aegithalidae</w:t>
            </w:r>
          </w:p>
        </w:tc>
        <w:tc>
          <w:tcPr>
            <w:tcW w:w="0" w:type="auto"/>
            <w:tcBorders>
              <w:tl2br w:val="nil"/>
              <w:tr2bl w:val="nil"/>
            </w:tcBorders>
            <w:vAlign w:val="center"/>
          </w:tcPr>
          <w:p w14:paraId="5F7FCA59">
            <w:pPr>
              <w:adjustRightInd w:val="0"/>
              <w:jc w:val="center"/>
              <w:rPr>
                <w:color w:val="auto"/>
                <w:szCs w:val="21"/>
              </w:rPr>
            </w:pPr>
          </w:p>
        </w:tc>
        <w:tc>
          <w:tcPr>
            <w:tcW w:w="0" w:type="auto"/>
            <w:tcBorders>
              <w:tl2br w:val="nil"/>
              <w:tr2bl w:val="nil"/>
            </w:tcBorders>
            <w:vAlign w:val="center"/>
          </w:tcPr>
          <w:p w14:paraId="44829372">
            <w:pPr>
              <w:adjustRightInd w:val="0"/>
              <w:jc w:val="center"/>
              <w:rPr>
                <w:color w:val="auto"/>
                <w:szCs w:val="21"/>
              </w:rPr>
            </w:pPr>
          </w:p>
        </w:tc>
        <w:tc>
          <w:tcPr>
            <w:tcW w:w="0" w:type="auto"/>
            <w:tcBorders>
              <w:tl2br w:val="nil"/>
              <w:tr2bl w:val="nil"/>
            </w:tcBorders>
            <w:vAlign w:val="center"/>
          </w:tcPr>
          <w:p w14:paraId="605F5175">
            <w:pPr>
              <w:adjustRightInd w:val="0"/>
              <w:jc w:val="center"/>
              <w:rPr>
                <w:color w:val="auto"/>
                <w:szCs w:val="21"/>
              </w:rPr>
            </w:pPr>
          </w:p>
        </w:tc>
        <w:tc>
          <w:tcPr>
            <w:tcW w:w="0" w:type="auto"/>
            <w:tcBorders>
              <w:tl2br w:val="nil"/>
              <w:tr2bl w:val="nil"/>
            </w:tcBorders>
            <w:vAlign w:val="center"/>
          </w:tcPr>
          <w:p w14:paraId="43C4D590">
            <w:pPr>
              <w:adjustRightInd w:val="0"/>
              <w:jc w:val="center"/>
              <w:rPr>
                <w:color w:val="auto"/>
                <w:szCs w:val="21"/>
              </w:rPr>
            </w:pPr>
          </w:p>
        </w:tc>
        <w:tc>
          <w:tcPr>
            <w:tcW w:w="0" w:type="auto"/>
            <w:tcBorders>
              <w:tl2br w:val="nil"/>
              <w:tr2bl w:val="nil"/>
            </w:tcBorders>
            <w:vAlign w:val="center"/>
          </w:tcPr>
          <w:p w14:paraId="7141C9E7">
            <w:pPr>
              <w:adjustRightInd w:val="0"/>
              <w:jc w:val="center"/>
              <w:rPr>
                <w:color w:val="auto"/>
                <w:szCs w:val="21"/>
              </w:rPr>
            </w:pPr>
          </w:p>
        </w:tc>
        <w:tc>
          <w:tcPr>
            <w:tcW w:w="0" w:type="auto"/>
            <w:tcBorders>
              <w:tl2br w:val="nil"/>
              <w:tr2bl w:val="nil"/>
            </w:tcBorders>
            <w:vAlign w:val="center"/>
          </w:tcPr>
          <w:p w14:paraId="03EBA5E6">
            <w:pPr>
              <w:adjustRightInd w:val="0"/>
              <w:jc w:val="center"/>
              <w:rPr>
                <w:color w:val="auto"/>
                <w:szCs w:val="21"/>
              </w:rPr>
            </w:pPr>
          </w:p>
        </w:tc>
      </w:tr>
      <w:tr w14:paraId="49A18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093D12C">
            <w:pPr>
              <w:adjustRightInd w:val="0"/>
              <w:jc w:val="left"/>
              <w:rPr>
                <w:color w:val="auto"/>
                <w:szCs w:val="21"/>
              </w:rPr>
            </w:pPr>
            <w:r>
              <w:rPr>
                <w:color w:val="auto"/>
                <w:szCs w:val="21"/>
              </w:rPr>
              <w:t xml:space="preserve">96 红头长尾山雀 </w:t>
            </w:r>
            <w:r>
              <w:rPr>
                <w:i/>
                <w:iCs/>
                <w:color w:val="auto"/>
                <w:szCs w:val="21"/>
              </w:rPr>
              <w:t>Aegithalos concinnus</w:t>
            </w:r>
          </w:p>
        </w:tc>
        <w:tc>
          <w:tcPr>
            <w:tcW w:w="0" w:type="auto"/>
            <w:tcBorders>
              <w:tl2br w:val="nil"/>
              <w:tr2bl w:val="nil"/>
            </w:tcBorders>
            <w:vAlign w:val="center"/>
          </w:tcPr>
          <w:p w14:paraId="61CC3AB5">
            <w:pPr>
              <w:adjustRightInd w:val="0"/>
              <w:jc w:val="center"/>
              <w:rPr>
                <w:color w:val="auto"/>
                <w:szCs w:val="21"/>
              </w:rPr>
            </w:pPr>
            <w:r>
              <w:rPr>
                <w:color w:val="auto"/>
                <w:szCs w:val="21"/>
              </w:rPr>
              <w:t>S</w:t>
            </w:r>
          </w:p>
        </w:tc>
        <w:tc>
          <w:tcPr>
            <w:tcW w:w="0" w:type="auto"/>
            <w:tcBorders>
              <w:tl2br w:val="nil"/>
              <w:tr2bl w:val="nil"/>
            </w:tcBorders>
            <w:vAlign w:val="center"/>
          </w:tcPr>
          <w:p w14:paraId="72F52BA9">
            <w:pPr>
              <w:adjustRightInd w:val="0"/>
              <w:jc w:val="center"/>
              <w:rPr>
                <w:color w:val="auto"/>
                <w:szCs w:val="21"/>
              </w:rPr>
            </w:pPr>
            <w:r>
              <w:rPr>
                <w:color w:val="auto"/>
                <w:szCs w:val="21"/>
              </w:rPr>
              <w:t>O</w:t>
            </w:r>
          </w:p>
        </w:tc>
        <w:tc>
          <w:tcPr>
            <w:tcW w:w="0" w:type="auto"/>
            <w:tcBorders>
              <w:tl2br w:val="nil"/>
              <w:tr2bl w:val="nil"/>
            </w:tcBorders>
            <w:vAlign w:val="center"/>
          </w:tcPr>
          <w:p w14:paraId="4298E08A">
            <w:pPr>
              <w:adjustRightInd w:val="0"/>
              <w:jc w:val="center"/>
              <w:rPr>
                <w:color w:val="auto"/>
                <w:szCs w:val="21"/>
              </w:rPr>
            </w:pPr>
          </w:p>
        </w:tc>
        <w:tc>
          <w:tcPr>
            <w:tcW w:w="0" w:type="auto"/>
            <w:tcBorders>
              <w:tl2br w:val="nil"/>
              <w:tr2bl w:val="nil"/>
            </w:tcBorders>
            <w:vAlign w:val="center"/>
          </w:tcPr>
          <w:p w14:paraId="7DEAE891">
            <w:pPr>
              <w:adjustRightInd w:val="0"/>
              <w:jc w:val="center"/>
              <w:rPr>
                <w:color w:val="auto"/>
                <w:szCs w:val="21"/>
              </w:rPr>
            </w:pPr>
            <w:r>
              <w:rPr>
                <w:color w:val="auto"/>
                <w:szCs w:val="21"/>
              </w:rPr>
              <w:t>三有；湘</w:t>
            </w:r>
          </w:p>
        </w:tc>
        <w:tc>
          <w:tcPr>
            <w:tcW w:w="0" w:type="auto"/>
            <w:tcBorders>
              <w:tl2br w:val="nil"/>
              <w:tr2bl w:val="nil"/>
            </w:tcBorders>
            <w:vAlign w:val="center"/>
          </w:tcPr>
          <w:p w14:paraId="37E90C18">
            <w:pPr>
              <w:adjustRightInd w:val="0"/>
              <w:jc w:val="center"/>
              <w:rPr>
                <w:color w:val="auto"/>
                <w:szCs w:val="21"/>
              </w:rPr>
            </w:pPr>
            <w:r>
              <w:rPr>
                <w:color w:val="auto"/>
                <w:szCs w:val="21"/>
              </w:rPr>
              <w:t>LC</w:t>
            </w:r>
          </w:p>
        </w:tc>
        <w:tc>
          <w:tcPr>
            <w:tcW w:w="0" w:type="auto"/>
            <w:tcBorders>
              <w:tl2br w:val="nil"/>
              <w:tr2bl w:val="nil"/>
            </w:tcBorders>
            <w:vAlign w:val="center"/>
          </w:tcPr>
          <w:p w14:paraId="0281D3A8">
            <w:pPr>
              <w:adjustRightInd w:val="0"/>
              <w:jc w:val="center"/>
              <w:rPr>
                <w:color w:val="auto"/>
                <w:szCs w:val="21"/>
              </w:rPr>
            </w:pPr>
            <w:r>
              <w:rPr>
                <w:color w:val="auto"/>
                <w:szCs w:val="21"/>
              </w:rPr>
              <w:t>K</w:t>
            </w:r>
          </w:p>
        </w:tc>
      </w:tr>
      <w:tr w14:paraId="3CCED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5A46EB8">
            <w:pPr>
              <w:adjustRightInd w:val="0"/>
              <w:jc w:val="left"/>
              <w:rPr>
                <w:color w:val="auto"/>
                <w:szCs w:val="21"/>
              </w:rPr>
            </w:pPr>
            <w:r>
              <w:rPr>
                <w:b/>
                <w:bCs/>
                <w:color w:val="auto"/>
                <w:szCs w:val="21"/>
              </w:rPr>
              <w:t>（三十二）山雀科 Paridae</w:t>
            </w:r>
          </w:p>
        </w:tc>
        <w:tc>
          <w:tcPr>
            <w:tcW w:w="0" w:type="auto"/>
            <w:tcBorders>
              <w:tl2br w:val="nil"/>
              <w:tr2bl w:val="nil"/>
            </w:tcBorders>
            <w:vAlign w:val="center"/>
          </w:tcPr>
          <w:p w14:paraId="20386130">
            <w:pPr>
              <w:adjustRightInd w:val="0"/>
              <w:jc w:val="center"/>
              <w:rPr>
                <w:color w:val="auto"/>
                <w:szCs w:val="21"/>
              </w:rPr>
            </w:pPr>
          </w:p>
        </w:tc>
        <w:tc>
          <w:tcPr>
            <w:tcW w:w="0" w:type="auto"/>
            <w:tcBorders>
              <w:tl2br w:val="nil"/>
              <w:tr2bl w:val="nil"/>
            </w:tcBorders>
            <w:vAlign w:val="center"/>
          </w:tcPr>
          <w:p w14:paraId="2DF527D6">
            <w:pPr>
              <w:adjustRightInd w:val="0"/>
              <w:jc w:val="center"/>
              <w:rPr>
                <w:color w:val="auto"/>
                <w:szCs w:val="21"/>
              </w:rPr>
            </w:pPr>
          </w:p>
        </w:tc>
        <w:tc>
          <w:tcPr>
            <w:tcW w:w="0" w:type="auto"/>
            <w:tcBorders>
              <w:tl2br w:val="nil"/>
              <w:tr2bl w:val="nil"/>
            </w:tcBorders>
            <w:vAlign w:val="center"/>
          </w:tcPr>
          <w:p w14:paraId="3105F577">
            <w:pPr>
              <w:adjustRightInd w:val="0"/>
              <w:jc w:val="center"/>
              <w:rPr>
                <w:color w:val="auto"/>
                <w:szCs w:val="21"/>
              </w:rPr>
            </w:pPr>
          </w:p>
        </w:tc>
        <w:tc>
          <w:tcPr>
            <w:tcW w:w="0" w:type="auto"/>
            <w:tcBorders>
              <w:tl2br w:val="nil"/>
              <w:tr2bl w:val="nil"/>
            </w:tcBorders>
            <w:vAlign w:val="center"/>
          </w:tcPr>
          <w:p w14:paraId="4CA69CF6">
            <w:pPr>
              <w:adjustRightInd w:val="0"/>
              <w:jc w:val="center"/>
              <w:rPr>
                <w:color w:val="auto"/>
                <w:szCs w:val="21"/>
              </w:rPr>
            </w:pPr>
          </w:p>
        </w:tc>
        <w:tc>
          <w:tcPr>
            <w:tcW w:w="0" w:type="auto"/>
            <w:tcBorders>
              <w:tl2br w:val="nil"/>
              <w:tr2bl w:val="nil"/>
            </w:tcBorders>
            <w:vAlign w:val="center"/>
          </w:tcPr>
          <w:p w14:paraId="2EE07531">
            <w:pPr>
              <w:adjustRightInd w:val="0"/>
              <w:jc w:val="center"/>
              <w:rPr>
                <w:color w:val="auto"/>
                <w:szCs w:val="21"/>
              </w:rPr>
            </w:pPr>
          </w:p>
        </w:tc>
        <w:tc>
          <w:tcPr>
            <w:tcW w:w="0" w:type="auto"/>
            <w:tcBorders>
              <w:tl2br w:val="nil"/>
              <w:tr2bl w:val="nil"/>
            </w:tcBorders>
            <w:vAlign w:val="center"/>
          </w:tcPr>
          <w:p w14:paraId="73FC9AE2">
            <w:pPr>
              <w:adjustRightInd w:val="0"/>
              <w:jc w:val="center"/>
              <w:rPr>
                <w:color w:val="auto"/>
                <w:szCs w:val="21"/>
              </w:rPr>
            </w:pPr>
          </w:p>
        </w:tc>
      </w:tr>
      <w:tr w14:paraId="6A826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664AC45F">
            <w:pPr>
              <w:adjustRightInd w:val="0"/>
              <w:jc w:val="left"/>
              <w:rPr>
                <w:color w:val="auto"/>
                <w:szCs w:val="21"/>
              </w:rPr>
            </w:pPr>
            <w:r>
              <w:rPr>
                <w:color w:val="auto"/>
                <w:szCs w:val="21"/>
              </w:rPr>
              <w:t>97 大山雀</w:t>
            </w:r>
            <w:r>
              <w:rPr>
                <w:i/>
                <w:iCs/>
                <w:color w:val="auto"/>
                <w:szCs w:val="21"/>
              </w:rPr>
              <w:t xml:space="preserve"> Parus major</w:t>
            </w:r>
          </w:p>
        </w:tc>
        <w:tc>
          <w:tcPr>
            <w:tcW w:w="0" w:type="auto"/>
            <w:tcBorders>
              <w:tl2br w:val="nil"/>
              <w:tr2bl w:val="nil"/>
            </w:tcBorders>
            <w:vAlign w:val="center"/>
          </w:tcPr>
          <w:p w14:paraId="5D5C6865">
            <w:pPr>
              <w:adjustRightInd w:val="0"/>
              <w:jc w:val="center"/>
              <w:rPr>
                <w:color w:val="auto"/>
                <w:szCs w:val="21"/>
              </w:rPr>
            </w:pPr>
            <w:r>
              <w:rPr>
                <w:color w:val="auto"/>
                <w:szCs w:val="21"/>
              </w:rPr>
              <w:t>R</w:t>
            </w:r>
          </w:p>
        </w:tc>
        <w:tc>
          <w:tcPr>
            <w:tcW w:w="0" w:type="auto"/>
            <w:tcBorders>
              <w:tl2br w:val="nil"/>
              <w:tr2bl w:val="nil"/>
            </w:tcBorders>
            <w:vAlign w:val="center"/>
          </w:tcPr>
          <w:p w14:paraId="3D1DDC82">
            <w:pPr>
              <w:adjustRightInd w:val="0"/>
              <w:jc w:val="center"/>
              <w:rPr>
                <w:color w:val="auto"/>
                <w:szCs w:val="21"/>
              </w:rPr>
            </w:pPr>
            <w:r>
              <w:rPr>
                <w:color w:val="auto"/>
                <w:szCs w:val="21"/>
              </w:rPr>
              <w:t>C</w:t>
            </w:r>
          </w:p>
        </w:tc>
        <w:tc>
          <w:tcPr>
            <w:tcW w:w="0" w:type="auto"/>
            <w:tcBorders>
              <w:tl2br w:val="nil"/>
              <w:tr2bl w:val="nil"/>
            </w:tcBorders>
            <w:vAlign w:val="center"/>
          </w:tcPr>
          <w:p w14:paraId="3DA13DB2">
            <w:pPr>
              <w:adjustRightInd w:val="0"/>
              <w:jc w:val="center"/>
              <w:rPr>
                <w:color w:val="auto"/>
                <w:szCs w:val="21"/>
              </w:rPr>
            </w:pPr>
          </w:p>
        </w:tc>
        <w:tc>
          <w:tcPr>
            <w:tcW w:w="0" w:type="auto"/>
            <w:tcBorders>
              <w:tl2br w:val="nil"/>
              <w:tr2bl w:val="nil"/>
            </w:tcBorders>
            <w:vAlign w:val="center"/>
          </w:tcPr>
          <w:p w14:paraId="6DC8A0AA">
            <w:pPr>
              <w:adjustRightInd w:val="0"/>
              <w:jc w:val="center"/>
              <w:rPr>
                <w:color w:val="auto"/>
                <w:szCs w:val="21"/>
              </w:rPr>
            </w:pPr>
            <w:r>
              <w:rPr>
                <w:color w:val="auto"/>
                <w:szCs w:val="21"/>
              </w:rPr>
              <w:t>三有；湘</w:t>
            </w:r>
          </w:p>
        </w:tc>
        <w:tc>
          <w:tcPr>
            <w:tcW w:w="0" w:type="auto"/>
            <w:tcBorders>
              <w:tl2br w:val="nil"/>
              <w:tr2bl w:val="nil"/>
            </w:tcBorders>
            <w:vAlign w:val="center"/>
          </w:tcPr>
          <w:p w14:paraId="44C89324">
            <w:pPr>
              <w:adjustRightInd w:val="0"/>
              <w:jc w:val="center"/>
              <w:rPr>
                <w:color w:val="auto"/>
                <w:szCs w:val="21"/>
              </w:rPr>
            </w:pPr>
            <w:r>
              <w:rPr>
                <w:color w:val="auto"/>
                <w:szCs w:val="21"/>
              </w:rPr>
              <w:t>LC</w:t>
            </w:r>
          </w:p>
        </w:tc>
        <w:tc>
          <w:tcPr>
            <w:tcW w:w="0" w:type="auto"/>
            <w:tcBorders>
              <w:tl2br w:val="nil"/>
              <w:tr2bl w:val="nil"/>
            </w:tcBorders>
            <w:vAlign w:val="center"/>
          </w:tcPr>
          <w:p w14:paraId="5DC1AFCE">
            <w:pPr>
              <w:adjustRightInd w:val="0"/>
              <w:jc w:val="center"/>
              <w:rPr>
                <w:color w:val="auto"/>
                <w:szCs w:val="21"/>
              </w:rPr>
            </w:pPr>
            <w:r>
              <w:rPr>
                <w:color w:val="auto"/>
                <w:szCs w:val="21"/>
              </w:rPr>
              <w:t>K</w:t>
            </w:r>
          </w:p>
        </w:tc>
      </w:tr>
      <w:tr w14:paraId="587F2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801EAF4">
            <w:pPr>
              <w:adjustRightInd w:val="0"/>
              <w:jc w:val="left"/>
              <w:rPr>
                <w:color w:val="auto"/>
                <w:szCs w:val="21"/>
              </w:rPr>
            </w:pPr>
            <w:r>
              <w:rPr>
                <w:color w:val="auto"/>
                <w:szCs w:val="21"/>
              </w:rPr>
              <w:t xml:space="preserve">98 黄腹山雀 </w:t>
            </w:r>
            <w:r>
              <w:rPr>
                <w:i/>
                <w:iCs/>
                <w:color w:val="auto"/>
                <w:szCs w:val="21"/>
              </w:rPr>
              <w:t>Parus venustulus*</w:t>
            </w:r>
          </w:p>
        </w:tc>
        <w:tc>
          <w:tcPr>
            <w:tcW w:w="0" w:type="auto"/>
            <w:tcBorders>
              <w:tl2br w:val="nil"/>
              <w:tr2bl w:val="nil"/>
            </w:tcBorders>
            <w:vAlign w:val="center"/>
          </w:tcPr>
          <w:p w14:paraId="6C9F6BF4">
            <w:pPr>
              <w:adjustRightInd w:val="0"/>
              <w:jc w:val="center"/>
              <w:rPr>
                <w:color w:val="auto"/>
                <w:szCs w:val="21"/>
              </w:rPr>
            </w:pPr>
            <w:r>
              <w:rPr>
                <w:color w:val="auto"/>
                <w:szCs w:val="21"/>
              </w:rPr>
              <w:t>R</w:t>
            </w:r>
          </w:p>
        </w:tc>
        <w:tc>
          <w:tcPr>
            <w:tcW w:w="0" w:type="auto"/>
            <w:tcBorders>
              <w:tl2br w:val="nil"/>
              <w:tr2bl w:val="nil"/>
            </w:tcBorders>
            <w:vAlign w:val="center"/>
          </w:tcPr>
          <w:p w14:paraId="3AFD5D43">
            <w:pPr>
              <w:adjustRightInd w:val="0"/>
              <w:jc w:val="center"/>
              <w:rPr>
                <w:color w:val="auto"/>
                <w:szCs w:val="21"/>
              </w:rPr>
            </w:pPr>
            <w:r>
              <w:rPr>
                <w:color w:val="auto"/>
                <w:szCs w:val="21"/>
              </w:rPr>
              <w:t>O</w:t>
            </w:r>
          </w:p>
        </w:tc>
        <w:tc>
          <w:tcPr>
            <w:tcW w:w="0" w:type="auto"/>
            <w:tcBorders>
              <w:tl2br w:val="nil"/>
              <w:tr2bl w:val="nil"/>
            </w:tcBorders>
            <w:vAlign w:val="center"/>
          </w:tcPr>
          <w:p w14:paraId="24EFA34A">
            <w:pPr>
              <w:adjustRightInd w:val="0"/>
              <w:jc w:val="center"/>
              <w:rPr>
                <w:color w:val="auto"/>
                <w:szCs w:val="21"/>
              </w:rPr>
            </w:pPr>
          </w:p>
        </w:tc>
        <w:tc>
          <w:tcPr>
            <w:tcW w:w="0" w:type="auto"/>
            <w:tcBorders>
              <w:tl2br w:val="nil"/>
              <w:tr2bl w:val="nil"/>
            </w:tcBorders>
            <w:vAlign w:val="center"/>
          </w:tcPr>
          <w:p w14:paraId="18582075">
            <w:pPr>
              <w:adjustRightInd w:val="0"/>
              <w:jc w:val="center"/>
              <w:rPr>
                <w:color w:val="auto"/>
                <w:szCs w:val="21"/>
              </w:rPr>
            </w:pPr>
            <w:r>
              <w:rPr>
                <w:color w:val="auto"/>
                <w:szCs w:val="21"/>
              </w:rPr>
              <w:t>三有；湘</w:t>
            </w:r>
          </w:p>
        </w:tc>
        <w:tc>
          <w:tcPr>
            <w:tcW w:w="0" w:type="auto"/>
            <w:tcBorders>
              <w:tl2br w:val="nil"/>
              <w:tr2bl w:val="nil"/>
            </w:tcBorders>
            <w:vAlign w:val="center"/>
          </w:tcPr>
          <w:p w14:paraId="07E1E26D">
            <w:pPr>
              <w:adjustRightInd w:val="0"/>
              <w:jc w:val="center"/>
              <w:rPr>
                <w:color w:val="auto"/>
                <w:szCs w:val="21"/>
              </w:rPr>
            </w:pPr>
            <w:r>
              <w:rPr>
                <w:color w:val="auto"/>
                <w:szCs w:val="21"/>
              </w:rPr>
              <w:t>LC</w:t>
            </w:r>
          </w:p>
        </w:tc>
        <w:tc>
          <w:tcPr>
            <w:tcW w:w="0" w:type="auto"/>
            <w:tcBorders>
              <w:tl2br w:val="nil"/>
              <w:tr2bl w:val="nil"/>
            </w:tcBorders>
            <w:vAlign w:val="center"/>
          </w:tcPr>
          <w:p w14:paraId="7FB832BB">
            <w:pPr>
              <w:adjustRightInd w:val="0"/>
              <w:jc w:val="center"/>
              <w:rPr>
                <w:color w:val="auto"/>
                <w:szCs w:val="21"/>
              </w:rPr>
            </w:pPr>
            <w:r>
              <w:rPr>
                <w:color w:val="auto"/>
                <w:szCs w:val="21"/>
              </w:rPr>
              <w:t>K</w:t>
            </w:r>
          </w:p>
        </w:tc>
      </w:tr>
      <w:tr w14:paraId="7C6D5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0F69104">
            <w:pPr>
              <w:adjustRightInd w:val="0"/>
              <w:jc w:val="left"/>
              <w:rPr>
                <w:color w:val="auto"/>
                <w:szCs w:val="21"/>
              </w:rPr>
            </w:pPr>
            <w:r>
              <w:rPr>
                <w:b/>
                <w:bCs/>
                <w:color w:val="auto"/>
                <w:szCs w:val="21"/>
              </w:rPr>
              <w:t>（三十三）梅花雀科 Estrildidae</w:t>
            </w:r>
          </w:p>
        </w:tc>
        <w:tc>
          <w:tcPr>
            <w:tcW w:w="0" w:type="auto"/>
            <w:tcBorders>
              <w:tl2br w:val="nil"/>
              <w:tr2bl w:val="nil"/>
            </w:tcBorders>
            <w:vAlign w:val="center"/>
          </w:tcPr>
          <w:p w14:paraId="2E261D39">
            <w:pPr>
              <w:adjustRightInd w:val="0"/>
              <w:jc w:val="center"/>
              <w:rPr>
                <w:color w:val="auto"/>
                <w:szCs w:val="21"/>
              </w:rPr>
            </w:pPr>
          </w:p>
        </w:tc>
        <w:tc>
          <w:tcPr>
            <w:tcW w:w="0" w:type="auto"/>
            <w:tcBorders>
              <w:tl2br w:val="nil"/>
              <w:tr2bl w:val="nil"/>
            </w:tcBorders>
            <w:vAlign w:val="center"/>
          </w:tcPr>
          <w:p w14:paraId="073BD439">
            <w:pPr>
              <w:adjustRightInd w:val="0"/>
              <w:jc w:val="center"/>
              <w:rPr>
                <w:color w:val="auto"/>
                <w:szCs w:val="21"/>
              </w:rPr>
            </w:pPr>
          </w:p>
        </w:tc>
        <w:tc>
          <w:tcPr>
            <w:tcW w:w="0" w:type="auto"/>
            <w:tcBorders>
              <w:tl2br w:val="nil"/>
              <w:tr2bl w:val="nil"/>
            </w:tcBorders>
            <w:vAlign w:val="center"/>
          </w:tcPr>
          <w:p w14:paraId="1D49513F">
            <w:pPr>
              <w:adjustRightInd w:val="0"/>
              <w:jc w:val="center"/>
              <w:rPr>
                <w:color w:val="auto"/>
                <w:szCs w:val="21"/>
              </w:rPr>
            </w:pPr>
          </w:p>
        </w:tc>
        <w:tc>
          <w:tcPr>
            <w:tcW w:w="0" w:type="auto"/>
            <w:tcBorders>
              <w:tl2br w:val="nil"/>
              <w:tr2bl w:val="nil"/>
            </w:tcBorders>
            <w:vAlign w:val="center"/>
          </w:tcPr>
          <w:p w14:paraId="20BE9CC1">
            <w:pPr>
              <w:adjustRightInd w:val="0"/>
              <w:jc w:val="center"/>
              <w:rPr>
                <w:color w:val="auto"/>
                <w:szCs w:val="21"/>
              </w:rPr>
            </w:pPr>
          </w:p>
        </w:tc>
        <w:tc>
          <w:tcPr>
            <w:tcW w:w="0" w:type="auto"/>
            <w:tcBorders>
              <w:tl2br w:val="nil"/>
              <w:tr2bl w:val="nil"/>
            </w:tcBorders>
            <w:vAlign w:val="center"/>
          </w:tcPr>
          <w:p w14:paraId="4B905ACD">
            <w:pPr>
              <w:adjustRightInd w:val="0"/>
              <w:jc w:val="center"/>
              <w:rPr>
                <w:color w:val="auto"/>
                <w:szCs w:val="21"/>
              </w:rPr>
            </w:pPr>
          </w:p>
        </w:tc>
        <w:tc>
          <w:tcPr>
            <w:tcW w:w="0" w:type="auto"/>
            <w:tcBorders>
              <w:tl2br w:val="nil"/>
              <w:tr2bl w:val="nil"/>
            </w:tcBorders>
            <w:vAlign w:val="center"/>
          </w:tcPr>
          <w:p w14:paraId="7BF83745">
            <w:pPr>
              <w:adjustRightInd w:val="0"/>
              <w:jc w:val="center"/>
              <w:rPr>
                <w:color w:val="auto"/>
                <w:szCs w:val="21"/>
              </w:rPr>
            </w:pPr>
          </w:p>
        </w:tc>
      </w:tr>
      <w:tr w14:paraId="3606F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A0546B7">
            <w:pPr>
              <w:adjustRightInd w:val="0"/>
              <w:jc w:val="left"/>
              <w:rPr>
                <w:color w:val="auto"/>
                <w:szCs w:val="21"/>
              </w:rPr>
            </w:pPr>
            <w:r>
              <w:rPr>
                <w:color w:val="auto"/>
                <w:szCs w:val="21"/>
              </w:rPr>
              <w:t xml:space="preserve">99 白腰文鸟 </w:t>
            </w:r>
            <w:r>
              <w:rPr>
                <w:i/>
                <w:iCs/>
                <w:color w:val="auto"/>
                <w:szCs w:val="21"/>
              </w:rPr>
              <w:t>Lonchura striata</w:t>
            </w:r>
          </w:p>
        </w:tc>
        <w:tc>
          <w:tcPr>
            <w:tcW w:w="0" w:type="auto"/>
            <w:tcBorders>
              <w:tl2br w:val="nil"/>
              <w:tr2bl w:val="nil"/>
            </w:tcBorders>
            <w:vAlign w:val="center"/>
          </w:tcPr>
          <w:p w14:paraId="07768DF6">
            <w:pPr>
              <w:adjustRightInd w:val="0"/>
              <w:jc w:val="center"/>
              <w:rPr>
                <w:color w:val="auto"/>
                <w:szCs w:val="21"/>
              </w:rPr>
            </w:pPr>
            <w:r>
              <w:rPr>
                <w:color w:val="auto"/>
                <w:szCs w:val="21"/>
              </w:rPr>
              <w:t>R</w:t>
            </w:r>
          </w:p>
        </w:tc>
        <w:tc>
          <w:tcPr>
            <w:tcW w:w="0" w:type="auto"/>
            <w:tcBorders>
              <w:tl2br w:val="nil"/>
              <w:tr2bl w:val="nil"/>
            </w:tcBorders>
            <w:vAlign w:val="center"/>
          </w:tcPr>
          <w:p w14:paraId="6A30C1AC">
            <w:pPr>
              <w:adjustRightInd w:val="0"/>
              <w:jc w:val="center"/>
              <w:rPr>
                <w:color w:val="auto"/>
                <w:szCs w:val="21"/>
              </w:rPr>
            </w:pPr>
            <w:r>
              <w:rPr>
                <w:color w:val="auto"/>
                <w:szCs w:val="21"/>
              </w:rPr>
              <w:t>O</w:t>
            </w:r>
          </w:p>
        </w:tc>
        <w:tc>
          <w:tcPr>
            <w:tcW w:w="0" w:type="auto"/>
            <w:tcBorders>
              <w:tl2br w:val="nil"/>
              <w:tr2bl w:val="nil"/>
            </w:tcBorders>
            <w:vAlign w:val="center"/>
          </w:tcPr>
          <w:p w14:paraId="6B82E33C">
            <w:pPr>
              <w:adjustRightInd w:val="0"/>
              <w:jc w:val="center"/>
              <w:rPr>
                <w:color w:val="auto"/>
                <w:szCs w:val="21"/>
              </w:rPr>
            </w:pPr>
          </w:p>
        </w:tc>
        <w:tc>
          <w:tcPr>
            <w:tcW w:w="0" w:type="auto"/>
            <w:tcBorders>
              <w:tl2br w:val="nil"/>
              <w:tr2bl w:val="nil"/>
            </w:tcBorders>
            <w:vAlign w:val="center"/>
          </w:tcPr>
          <w:p w14:paraId="17546963">
            <w:pPr>
              <w:adjustRightInd w:val="0"/>
              <w:jc w:val="center"/>
              <w:rPr>
                <w:color w:val="auto"/>
                <w:szCs w:val="21"/>
              </w:rPr>
            </w:pPr>
            <w:r>
              <w:rPr>
                <w:color w:val="auto"/>
                <w:szCs w:val="21"/>
              </w:rPr>
              <w:t>三有</w:t>
            </w:r>
          </w:p>
        </w:tc>
        <w:tc>
          <w:tcPr>
            <w:tcW w:w="0" w:type="auto"/>
            <w:tcBorders>
              <w:tl2br w:val="nil"/>
              <w:tr2bl w:val="nil"/>
            </w:tcBorders>
            <w:vAlign w:val="center"/>
          </w:tcPr>
          <w:p w14:paraId="1C5BC6B8">
            <w:pPr>
              <w:adjustRightInd w:val="0"/>
              <w:jc w:val="center"/>
              <w:rPr>
                <w:color w:val="auto"/>
                <w:szCs w:val="21"/>
              </w:rPr>
            </w:pPr>
            <w:r>
              <w:rPr>
                <w:color w:val="auto"/>
                <w:szCs w:val="21"/>
              </w:rPr>
              <w:t>LC</w:t>
            </w:r>
          </w:p>
        </w:tc>
        <w:tc>
          <w:tcPr>
            <w:tcW w:w="0" w:type="auto"/>
            <w:tcBorders>
              <w:tl2br w:val="nil"/>
              <w:tr2bl w:val="nil"/>
            </w:tcBorders>
            <w:vAlign w:val="center"/>
          </w:tcPr>
          <w:p w14:paraId="07E34CD3">
            <w:pPr>
              <w:adjustRightInd w:val="0"/>
              <w:jc w:val="center"/>
              <w:rPr>
                <w:color w:val="auto"/>
                <w:szCs w:val="21"/>
              </w:rPr>
            </w:pPr>
            <w:r>
              <w:rPr>
                <w:color w:val="auto"/>
                <w:szCs w:val="21"/>
              </w:rPr>
              <w:t>K</w:t>
            </w:r>
          </w:p>
        </w:tc>
      </w:tr>
      <w:tr w14:paraId="7BE7C0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43F86D81">
            <w:pPr>
              <w:adjustRightInd w:val="0"/>
              <w:jc w:val="left"/>
              <w:rPr>
                <w:color w:val="auto"/>
                <w:szCs w:val="21"/>
              </w:rPr>
            </w:pPr>
            <w:r>
              <w:rPr>
                <w:color w:val="auto"/>
                <w:szCs w:val="21"/>
              </w:rPr>
              <w:t xml:space="preserve">100 斑文鸟 </w:t>
            </w:r>
            <w:r>
              <w:rPr>
                <w:i/>
                <w:iCs/>
                <w:color w:val="auto"/>
                <w:szCs w:val="21"/>
              </w:rPr>
              <w:t>Lonchura punctulata</w:t>
            </w:r>
          </w:p>
        </w:tc>
        <w:tc>
          <w:tcPr>
            <w:tcW w:w="0" w:type="auto"/>
            <w:tcBorders>
              <w:tl2br w:val="nil"/>
              <w:tr2bl w:val="nil"/>
            </w:tcBorders>
            <w:vAlign w:val="center"/>
          </w:tcPr>
          <w:p w14:paraId="2C8DC382">
            <w:pPr>
              <w:adjustRightInd w:val="0"/>
              <w:jc w:val="center"/>
              <w:rPr>
                <w:color w:val="auto"/>
                <w:szCs w:val="21"/>
              </w:rPr>
            </w:pPr>
            <w:r>
              <w:rPr>
                <w:color w:val="auto"/>
                <w:szCs w:val="21"/>
              </w:rPr>
              <w:t>R</w:t>
            </w:r>
          </w:p>
        </w:tc>
        <w:tc>
          <w:tcPr>
            <w:tcW w:w="0" w:type="auto"/>
            <w:tcBorders>
              <w:tl2br w:val="nil"/>
              <w:tr2bl w:val="nil"/>
            </w:tcBorders>
            <w:vAlign w:val="center"/>
          </w:tcPr>
          <w:p w14:paraId="55921D4E">
            <w:pPr>
              <w:adjustRightInd w:val="0"/>
              <w:jc w:val="center"/>
              <w:rPr>
                <w:color w:val="auto"/>
                <w:szCs w:val="21"/>
              </w:rPr>
            </w:pPr>
            <w:r>
              <w:rPr>
                <w:color w:val="auto"/>
                <w:szCs w:val="21"/>
              </w:rPr>
              <w:t>O</w:t>
            </w:r>
          </w:p>
        </w:tc>
        <w:tc>
          <w:tcPr>
            <w:tcW w:w="0" w:type="auto"/>
            <w:tcBorders>
              <w:tl2br w:val="nil"/>
              <w:tr2bl w:val="nil"/>
            </w:tcBorders>
            <w:vAlign w:val="center"/>
          </w:tcPr>
          <w:p w14:paraId="617B1353">
            <w:pPr>
              <w:adjustRightInd w:val="0"/>
              <w:jc w:val="center"/>
              <w:rPr>
                <w:color w:val="auto"/>
                <w:szCs w:val="21"/>
              </w:rPr>
            </w:pPr>
          </w:p>
        </w:tc>
        <w:tc>
          <w:tcPr>
            <w:tcW w:w="0" w:type="auto"/>
            <w:tcBorders>
              <w:tl2br w:val="nil"/>
              <w:tr2bl w:val="nil"/>
            </w:tcBorders>
            <w:vAlign w:val="center"/>
          </w:tcPr>
          <w:p w14:paraId="49A136C3">
            <w:pPr>
              <w:adjustRightInd w:val="0"/>
              <w:jc w:val="center"/>
              <w:rPr>
                <w:color w:val="auto"/>
                <w:szCs w:val="21"/>
              </w:rPr>
            </w:pPr>
            <w:r>
              <w:rPr>
                <w:color w:val="auto"/>
                <w:szCs w:val="21"/>
              </w:rPr>
              <w:t>三有</w:t>
            </w:r>
          </w:p>
        </w:tc>
        <w:tc>
          <w:tcPr>
            <w:tcW w:w="0" w:type="auto"/>
            <w:tcBorders>
              <w:tl2br w:val="nil"/>
              <w:tr2bl w:val="nil"/>
            </w:tcBorders>
            <w:vAlign w:val="center"/>
          </w:tcPr>
          <w:p w14:paraId="48BEA7FD">
            <w:pPr>
              <w:adjustRightInd w:val="0"/>
              <w:jc w:val="center"/>
              <w:rPr>
                <w:color w:val="auto"/>
                <w:szCs w:val="21"/>
              </w:rPr>
            </w:pPr>
            <w:r>
              <w:rPr>
                <w:color w:val="auto"/>
                <w:szCs w:val="21"/>
              </w:rPr>
              <w:t>LC</w:t>
            </w:r>
          </w:p>
        </w:tc>
        <w:tc>
          <w:tcPr>
            <w:tcW w:w="0" w:type="auto"/>
            <w:tcBorders>
              <w:tl2br w:val="nil"/>
              <w:tr2bl w:val="nil"/>
            </w:tcBorders>
            <w:vAlign w:val="center"/>
          </w:tcPr>
          <w:p w14:paraId="553F63E2">
            <w:pPr>
              <w:adjustRightInd w:val="0"/>
              <w:jc w:val="center"/>
              <w:rPr>
                <w:color w:val="auto"/>
                <w:szCs w:val="21"/>
              </w:rPr>
            </w:pPr>
            <w:r>
              <w:rPr>
                <w:color w:val="auto"/>
                <w:szCs w:val="21"/>
              </w:rPr>
              <w:t>K</w:t>
            </w:r>
          </w:p>
        </w:tc>
      </w:tr>
      <w:tr w14:paraId="47DC4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4C4477B">
            <w:pPr>
              <w:adjustRightInd w:val="0"/>
              <w:jc w:val="left"/>
              <w:rPr>
                <w:color w:val="auto"/>
                <w:szCs w:val="21"/>
              </w:rPr>
            </w:pPr>
            <w:r>
              <w:rPr>
                <w:b/>
                <w:bCs/>
                <w:color w:val="auto"/>
                <w:szCs w:val="21"/>
              </w:rPr>
              <w:t>（三十四）雀科 Fringillidae</w:t>
            </w:r>
          </w:p>
        </w:tc>
        <w:tc>
          <w:tcPr>
            <w:tcW w:w="0" w:type="auto"/>
            <w:tcBorders>
              <w:tl2br w:val="nil"/>
              <w:tr2bl w:val="nil"/>
            </w:tcBorders>
            <w:vAlign w:val="center"/>
          </w:tcPr>
          <w:p w14:paraId="78F6F7F2">
            <w:pPr>
              <w:adjustRightInd w:val="0"/>
              <w:jc w:val="center"/>
              <w:rPr>
                <w:color w:val="auto"/>
                <w:szCs w:val="21"/>
              </w:rPr>
            </w:pPr>
          </w:p>
        </w:tc>
        <w:tc>
          <w:tcPr>
            <w:tcW w:w="0" w:type="auto"/>
            <w:tcBorders>
              <w:tl2br w:val="nil"/>
              <w:tr2bl w:val="nil"/>
            </w:tcBorders>
            <w:vAlign w:val="center"/>
          </w:tcPr>
          <w:p w14:paraId="3592FCF2">
            <w:pPr>
              <w:adjustRightInd w:val="0"/>
              <w:jc w:val="center"/>
              <w:rPr>
                <w:color w:val="auto"/>
                <w:szCs w:val="21"/>
              </w:rPr>
            </w:pPr>
          </w:p>
        </w:tc>
        <w:tc>
          <w:tcPr>
            <w:tcW w:w="0" w:type="auto"/>
            <w:tcBorders>
              <w:tl2br w:val="nil"/>
              <w:tr2bl w:val="nil"/>
            </w:tcBorders>
            <w:vAlign w:val="center"/>
          </w:tcPr>
          <w:p w14:paraId="62FE9778">
            <w:pPr>
              <w:adjustRightInd w:val="0"/>
              <w:jc w:val="center"/>
              <w:rPr>
                <w:color w:val="auto"/>
                <w:szCs w:val="21"/>
              </w:rPr>
            </w:pPr>
          </w:p>
        </w:tc>
        <w:tc>
          <w:tcPr>
            <w:tcW w:w="0" w:type="auto"/>
            <w:tcBorders>
              <w:tl2br w:val="nil"/>
              <w:tr2bl w:val="nil"/>
            </w:tcBorders>
            <w:vAlign w:val="center"/>
          </w:tcPr>
          <w:p w14:paraId="5C05C257">
            <w:pPr>
              <w:adjustRightInd w:val="0"/>
              <w:jc w:val="center"/>
              <w:rPr>
                <w:color w:val="auto"/>
                <w:szCs w:val="21"/>
              </w:rPr>
            </w:pPr>
          </w:p>
        </w:tc>
        <w:tc>
          <w:tcPr>
            <w:tcW w:w="0" w:type="auto"/>
            <w:tcBorders>
              <w:tl2br w:val="nil"/>
              <w:tr2bl w:val="nil"/>
            </w:tcBorders>
            <w:vAlign w:val="center"/>
          </w:tcPr>
          <w:p w14:paraId="63FD6516">
            <w:pPr>
              <w:adjustRightInd w:val="0"/>
              <w:jc w:val="center"/>
              <w:rPr>
                <w:color w:val="auto"/>
                <w:szCs w:val="21"/>
              </w:rPr>
            </w:pPr>
          </w:p>
        </w:tc>
        <w:tc>
          <w:tcPr>
            <w:tcW w:w="0" w:type="auto"/>
            <w:tcBorders>
              <w:tl2br w:val="nil"/>
              <w:tr2bl w:val="nil"/>
            </w:tcBorders>
            <w:vAlign w:val="center"/>
          </w:tcPr>
          <w:p w14:paraId="0B1BE2E6">
            <w:pPr>
              <w:adjustRightInd w:val="0"/>
              <w:jc w:val="center"/>
              <w:rPr>
                <w:color w:val="auto"/>
                <w:szCs w:val="21"/>
              </w:rPr>
            </w:pPr>
          </w:p>
        </w:tc>
      </w:tr>
      <w:tr w14:paraId="77674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87F1382">
            <w:pPr>
              <w:adjustRightInd w:val="0"/>
              <w:jc w:val="left"/>
              <w:rPr>
                <w:color w:val="auto"/>
                <w:szCs w:val="21"/>
              </w:rPr>
            </w:pPr>
            <w:r>
              <w:rPr>
                <w:color w:val="auto"/>
                <w:szCs w:val="21"/>
              </w:rPr>
              <w:t xml:space="preserve">101 麻雀 </w:t>
            </w:r>
            <w:r>
              <w:rPr>
                <w:i/>
                <w:iCs/>
                <w:color w:val="auto"/>
                <w:szCs w:val="21"/>
              </w:rPr>
              <w:t>Passer montanus</w:t>
            </w:r>
          </w:p>
        </w:tc>
        <w:tc>
          <w:tcPr>
            <w:tcW w:w="0" w:type="auto"/>
            <w:tcBorders>
              <w:tl2br w:val="nil"/>
              <w:tr2bl w:val="nil"/>
            </w:tcBorders>
            <w:vAlign w:val="center"/>
          </w:tcPr>
          <w:p w14:paraId="6E1C4667">
            <w:pPr>
              <w:adjustRightInd w:val="0"/>
              <w:jc w:val="center"/>
              <w:rPr>
                <w:color w:val="auto"/>
                <w:szCs w:val="21"/>
              </w:rPr>
            </w:pPr>
            <w:r>
              <w:rPr>
                <w:color w:val="auto"/>
                <w:szCs w:val="21"/>
              </w:rPr>
              <w:t>R</w:t>
            </w:r>
          </w:p>
        </w:tc>
        <w:tc>
          <w:tcPr>
            <w:tcW w:w="0" w:type="auto"/>
            <w:tcBorders>
              <w:tl2br w:val="nil"/>
              <w:tr2bl w:val="nil"/>
            </w:tcBorders>
            <w:vAlign w:val="center"/>
          </w:tcPr>
          <w:p w14:paraId="4DC5D800">
            <w:pPr>
              <w:adjustRightInd w:val="0"/>
              <w:jc w:val="center"/>
              <w:rPr>
                <w:color w:val="auto"/>
                <w:szCs w:val="21"/>
              </w:rPr>
            </w:pPr>
            <w:r>
              <w:rPr>
                <w:color w:val="auto"/>
                <w:szCs w:val="21"/>
              </w:rPr>
              <w:t>P</w:t>
            </w:r>
          </w:p>
        </w:tc>
        <w:tc>
          <w:tcPr>
            <w:tcW w:w="0" w:type="auto"/>
            <w:tcBorders>
              <w:tl2br w:val="nil"/>
              <w:tr2bl w:val="nil"/>
            </w:tcBorders>
            <w:vAlign w:val="center"/>
          </w:tcPr>
          <w:p w14:paraId="39FC5822">
            <w:pPr>
              <w:adjustRightInd w:val="0"/>
              <w:jc w:val="center"/>
              <w:rPr>
                <w:color w:val="auto"/>
                <w:szCs w:val="21"/>
              </w:rPr>
            </w:pPr>
          </w:p>
        </w:tc>
        <w:tc>
          <w:tcPr>
            <w:tcW w:w="0" w:type="auto"/>
            <w:tcBorders>
              <w:tl2br w:val="nil"/>
              <w:tr2bl w:val="nil"/>
            </w:tcBorders>
            <w:vAlign w:val="center"/>
          </w:tcPr>
          <w:p w14:paraId="20CDEBEB">
            <w:pPr>
              <w:adjustRightInd w:val="0"/>
              <w:jc w:val="center"/>
              <w:rPr>
                <w:color w:val="auto"/>
                <w:szCs w:val="21"/>
              </w:rPr>
            </w:pPr>
            <w:r>
              <w:rPr>
                <w:color w:val="auto"/>
                <w:szCs w:val="21"/>
              </w:rPr>
              <w:t>三有</w:t>
            </w:r>
          </w:p>
        </w:tc>
        <w:tc>
          <w:tcPr>
            <w:tcW w:w="0" w:type="auto"/>
            <w:tcBorders>
              <w:tl2br w:val="nil"/>
              <w:tr2bl w:val="nil"/>
            </w:tcBorders>
            <w:vAlign w:val="center"/>
          </w:tcPr>
          <w:p w14:paraId="16E04880">
            <w:pPr>
              <w:adjustRightInd w:val="0"/>
              <w:jc w:val="center"/>
              <w:rPr>
                <w:color w:val="auto"/>
                <w:szCs w:val="21"/>
              </w:rPr>
            </w:pPr>
            <w:r>
              <w:rPr>
                <w:color w:val="auto"/>
                <w:szCs w:val="21"/>
              </w:rPr>
              <w:t>LC</w:t>
            </w:r>
          </w:p>
        </w:tc>
        <w:tc>
          <w:tcPr>
            <w:tcW w:w="0" w:type="auto"/>
            <w:tcBorders>
              <w:tl2br w:val="nil"/>
              <w:tr2bl w:val="nil"/>
            </w:tcBorders>
            <w:vAlign w:val="center"/>
          </w:tcPr>
          <w:p w14:paraId="354A1DD5">
            <w:pPr>
              <w:adjustRightInd w:val="0"/>
              <w:jc w:val="center"/>
              <w:rPr>
                <w:color w:val="auto"/>
                <w:szCs w:val="21"/>
              </w:rPr>
            </w:pPr>
            <w:r>
              <w:rPr>
                <w:color w:val="auto"/>
                <w:szCs w:val="21"/>
              </w:rPr>
              <w:t>K</w:t>
            </w:r>
          </w:p>
        </w:tc>
      </w:tr>
      <w:tr w14:paraId="546C1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0BD9130">
            <w:pPr>
              <w:adjustRightInd w:val="0"/>
              <w:jc w:val="left"/>
              <w:rPr>
                <w:color w:val="auto"/>
                <w:szCs w:val="21"/>
              </w:rPr>
            </w:pPr>
            <w:r>
              <w:rPr>
                <w:b/>
                <w:bCs/>
                <w:color w:val="auto"/>
                <w:szCs w:val="21"/>
              </w:rPr>
              <w:t>（三十五）燕雀科 Fringillidae</w:t>
            </w:r>
          </w:p>
        </w:tc>
        <w:tc>
          <w:tcPr>
            <w:tcW w:w="0" w:type="auto"/>
            <w:tcBorders>
              <w:tl2br w:val="nil"/>
              <w:tr2bl w:val="nil"/>
            </w:tcBorders>
            <w:vAlign w:val="center"/>
          </w:tcPr>
          <w:p w14:paraId="1377C35E">
            <w:pPr>
              <w:adjustRightInd w:val="0"/>
              <w:jc w:val="center"/>
              <w:rPr>
                <w:color w:val="auto"/>
                <w:szCs w:val="21"/>
              </w:rPr>
            </w:pPr>
          </w:p>
        </w:tc>
        <w:tc>
          <w:tcPr>
            <w:tcW w:w="0" w:type="auto"/>
            <w:tcBorders>
              <w:tl2br w:val="nil"/>
              <w:tr2bl w:val="nil"/>
            </w:tcBorders>
            <w:vAlign w:val="center"/>
          </w:tcPr>
          <w:p w14:paraId="748EBA52">
            <w:pPr>
              <w:adjustRightInd w:val="0"/>
              <w:jc w:val="center"/>
              <w:rPr>
                <w:color w:val="auto"/>
                <w:szCs w:val="21"/>
              </w:rPr>
            </w:pPr>
          </w:p>
        </w:tc>
        <w:tc>
          <w:tcPr>
            <w:tcW w:w="0" w:type="auto"/>
            <w:tcBorders>
              <w:tl2br w:val="nil"/>
              <w:tr2bl w:val="nil"/>
            </w:tcBorders>
            <w:vAlign w:val="center"/>
          </w:tcPr>
          <w:p w14:paraId="228EDF71">
            <w:pPr>
              <w:adjustRightInd w:val="0"/>
              <w:jc w:val="center"/>
              <w:rPr>
                <w:color w:val="auto"/>
                <w:szCs w:val="21"/>
              </w:rPr>
            </w:pPr>
          </w:p>
        </w:tc>
        <w:tc>
          <w:tcPr>
            <w:tcW w:w="0" w:type="auto"/>
            <w:tcBorders>
              <w:tl2br w:val="nil"/>
              <w:tr2bl w:val="nil"/>
            </w:tcBorders>
            <w:vAlign w:val="center"/>
          </w:tcPr>
          <w:p w14:paraId="5E1EAB12">
            <w:pPr>
              <w:adjustRightInd w:val="0"/>
              <w:jc w:val="center"/>
              <w:rPr>
                <w:color w:val="auto"/>
                <w:szCs w:val="21"/>
              </w:rPr>
            </w:pPr>
          </w:p>
        </w:tc>
        <w:tc>
          <w:tcPr>
            <w:tcW w:w="0" w:type="auto"/>
            <w:tcBorders>
              <w:tl2br w:val="nil"/>
              <w:tr2bl w:val="nil"/>
            </w:tcBorders>
            <w:vAlign w:val="center"/>
          </w:tcPr>
          <w:p w14:paraId="5995B425">
            <w:pPr>
              <w:adjustRightInd w:val="0"/>
              <w:jc w:val="center"/>
              <w:rPr>
                <w:color w:val="auto"/>
                <w:szCs w:val="21"/>
              </w:rPr>
            </w:pPr>
          </w:p>
        </w:tc>
        <w:tc>
          <w:tcPr>
            <w:tcW w:w="0" w:type="auto"/>
            <w:tcBorders>
              <w:tl2br w:val="nil"/>
              <w:tr2bl w:val="nil"/>
            </w:tcBorders>
            <w:vAlign w:val="center"/>
          </w:tcPr>
          <w:p w14:paraId="5F2CCAC7">
            <w:pPr>
              <w:adjustRightInd w:val="0"/>
              <w:jc w:val="center"/>
              <w:rPr>
                <w:color w:val="auto"/>
                <w:szCs w:val="21"/>
              </w:rPr>
            </w:pPr>
          </w:p>
        </w:tc>
      </w:tr>
      <w:tr w14:paraId="2FC35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0" w:type="auto"/>
            <w:tcBorders>
              <w:tl2br w:val="nil"/>
              <w:tr2bl w:val="nil"/>
            </w:tcBorders>
            <w:vAlign w:val="center"/>
          </w:tcPr>
          <w:p w14:paraId="52D10438">
            <w:pPr>
              <w:adjustRightInd w:val="0"/>
              <w:jc w:val="left"/>
              <w:rPr>
                <w:color w:val="auto"/>
                <w:szCs w:val="21"/>
              </w:rPr>
            </w:pPr>
            <w:r>
              <w:rPr>
                <w:color w:val="auto"/>
                <w:szCs w:val="21"/>
              </w:rPr>
              <w:t xml:space="preserve">102 金翅雀 </w:t>
            </w:r>
            <w:r>
              <w:rPr>
                <w:i/>
                <w:iCs/>
                <w:color w:val="auto"/>
                <w:szCs w:val="21"/>
              </w:rPr>
              <w:t>Carduelis sinica</w:t>
            </w:r>
          </w:p>
        </w:tc>
        <w:tc>
          <w:tcPr>
            <w:tcW w:w="0" w:type="auto"/>
            <w:tcBorders>
              <w:tl2br w:val="nil"/>
              <w:tr2bl w:val="nil"/>
            </w:tcBorders>
            <w:vAlign w:val="center"/>
          </w:tcPr>
          <w:p w14:paraId="379BAE10">
            <w:pPr>
              <w:adjustRightInd w:val="0"/>
              <w:jc w:val="center"/>
              <w:rPr>
                <w:color w:val="auto"/>
                <w:szCs w:val="21"/>
              </w:rPr>
            </w:pPr>
            <w:r>
              <w:rPr>
                <w:color w:val="auto"/>
                <w:szCs w:val="21"/>
              </w:rPr>
              <w:t>R</w:t>
            </w:r>
          </w:p>
        </w:tc>
        <w:tc>
          <w:tcPr>
            <w:tcW w:w="0" w:type="auto"/>
            <w:tcBorders>
              <w:tl2br w:val="nil"/>
              <w:tr2bl w:val="nil"/>
            </w:tcBorders>
            <w:vAlign w:val="center"/>
          </w:tcPr>
          <w:p w14:paraId="6A716DDB">
            <w:pPr>
              <w:adjustRightInd w:val="0"/>
              <w:jc w:val="center"/>
              <w:rPr>
                <w:color w:val="auto"/>
                <w:szCs w:val="21"/>
              </w:rPr>
            </w:pPr>
            <w:r>
              <w:rPr>
                <w:color w:val="auto"/>
                <w:szCs w:val="21"/>
              </w:rPr>
              <w:t>P</w:t>
            </w:r>
          </w:p>
        </w:tc>
        <w:tc>
          <w:tcPr>
            <w:tcW w:w="0" w:type="auto"/>
            <w:tcBorders>
              <w:tl2br w:val="nil"/>
              <w:tr2bl w:val="nil"/>
            </w:tcBorders>
            <w:vAlign w:val="center"/>
          </w:tcPr>
          <w:p w14:paraId="1C9066CB">
            <w:pPr>
              <w:adjustRightInd w:val="0"/>
              <w:jc w:val="center"/>
              <w:rPr>
                <w:color w:val="auto"/>
                <w:szCs w:val="21"/>
              </w:rPr>
            </w:pPr>
          </w:p>
        </w:tc>
        <w:tc>
          <w:tcPr>
            <w:tcW w:w="0" w:type="auto"/>
            <w:tcBorders>
              <w:tl2br w:val="nil"/>
              <w:tr2bl w:val="nil"/>
            </w:tcBorders>
            <w:vAlign w:val="center"/>
          </w:tcPr>
          <w:p w14:paraId="6AC4335D">
            <w:pPr>
              <w:adjustRightInd w:val="0"/>
              <w:jc w:val="center"/>
              <w:rPr>
                <w:color w:val="auto"/>
                <w:szCs w:val="21"/>
              </w:rPr>
            </w:pPr>
            <w:r>
              <w:rPr>
                <w:color w:val="auto"/>
                <w:szCs w:val="21"/>
              </w:rPr>
              <w:t>三有；湘</w:t>
            </w:r>
          </w:p>
        </w:tc>
        <w:tc>
          <w:tcPr>
            <w:tcW w:w="0" w:type="auto"/>
            <w:tcBorders>
              <w:tl2br w:val="nil"/>
              <w:tr2bl w:val="nil"/>
            </w:tcBorders>
            <w:vAlign w:val="center"/>
          </w:tcPr>
          <w:p w14:paraId="03F36AC7">
            <w:pPr>
              <w:adjustRightInd w:val="0"/>
              <w:jc w:val="center"/>
              <w:rPr>
                <w:color w:val="auto"/>
                <w:szCs w:val="21"/>
              </w:rPr>
            </w:pPr>
            <w:r>
              <w:rPr>
                <w:color w:val="auto"/>
                <w:szCs w:val="21"/>
              </w:rPr>
              <w:t>LC</w:t>
            </w:r>
          </w:p>
        </w:tc>
        <w:tc>
          <w:tcPr>
            <w:tcW w:w="0" w:type="auto"/>
            <w:tcBorders>
              <w:tl2br w:val="nil"/>
              <w:tr2bl w:val="nil"/>
            </w:tcBorders>
            <w:vAlign w:val="center"/>
          </w:tcPr>
          <w:p w14:paraId="2C540EAA">
            <w:pPr>
              <w:adjustRightInd w:val="0"/>
              <w:jc w:val="center"/>
              <w:rPr>
                <w:color w:val="auto"/>
                <w:szCs w:val="21"/>
              </w:rPr>
            </w:pPr>
            <w:r>
              <w:rPr>
                <w:color w:val="auto"/>
                <w:szCs w:val="21"/>
              </w:rPr>
              <w:t>K</w:t>
            </w:r>
          </w:p>
        </w:tc>
      </w:tr>
      <w:tr w14:paraId="0F3DF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3D4257D">
            <w:pPr>
              <w:adjustRightInd w:val="0"/>
              <w:jc w:val="left"/>
              <w:rPr>
                <w:color w:val="auto"/>
                <w:szCs w:val="21"/>
              </w:rPr>
            </w:pPr>
            <w:r>
              <w:rPr>
                <w:color w:val="auto"/>
                <w:szCs w:val="21"/>
              </w:rPr>
              <w:t xml:space="preserve">103 燕雀 </w:t>
            </w:r>
            <w:r>
              <w:rPr>
                <w:i/>
                <w:iCs/>
                <w:color w:val="auto"/>
                <w:szCs w:val="21"/>
              </w:rPr>
              <w:t>Fringilla montifringilla</w:t>
            </w:r>
          </w:p>
        </w:tc>
        <w:tc>
          <w:tcPr>
            <w:tcW w:w="0" w:type="auto"/>
            <w:tcBorders>
              <w:tl2br w:val="nil"/>
              <w:tr2bl w:val="nil"/>
            </w:tcBorders>
            <w:vAlign w:val="center"/>
          </w:tcPr>
          <w:p w14:paraId="2CAF1D1B">
            <w:pPr>
              <w:adjustRightInd w:val="0"/>
              <w:jc w:val="center"/>
              <w:rPr>
                <w:color w:val="auto"/>
                <w:szCs w:val="21"/>
              </w:rPr>
            </w:pPr>
            <w:r>
              <w:rPr>
                <w:color w:val="auto"/>
                <w:szCs w:val="21"/>
              </w:rPr>
              <w:t>W</w:t>
            </w:r>
          </w:p>
        </w:tc>
        <w:tc>
          <w:tcPr>
            <w:tcW w:w="0" w:type="auto"/>
            <w:tcBorders>
              <w:tl2br w:val="nil"/>
              <w:tr2bl w:val="nil"/>
            </w:tcBorders>
            <w:vAlign w:val="center"/>
          </w:tcPr>
          <w:p w14:paraId="54FC4F7A">
            <w:pPr>
              <w:adjustRightInd w:val="0"/>
              <w:jc w:val="center"/>
              <w:rPr>
                <w:color w:val="auto"/>
                <w:szCs w:val="21"/>
              </w:rPr>
            </w:pPr>
            <w:r>
              <w:rPr>
                <w:color w:val="auto"/>
                <w:szCs w:val="21"/>
              </w:rPr>
              <w:t>P</w:t>
            </w:r>
          </w:p>
        </w:tc>
        <w:tc>
          <w:tcPr>
            <w:tcW w:w="0" w:type="auto"/>
            <w:tcBorders>
              <w:tl2br w:val="nil"/>
              <w:tr2bl w:val="nil"/>
            </w:tcBorders>
            <w:vAlign w:val="center"/>
          </w:tcPr>
          <w:p w14:paraId="6E81DDC6">
            <w:pPr>
              <w:adjustRightInd w:val="0"/>
              <w:jc w:val="center"/>
              <w:rPr>
                <w:color w:val="auto"/>
                <w:szCs w:val="21"/>
              </w:rPr>
            </w:pPr>
          </w:p>
        </w:tc>
        <w:tc>
          <w:tcPr>
            <w:tcW w:w="0" w:type="auto"/>
            <w:tcBorders>
              <w:tl2br w:val="nil"/>
              <w:tr2bl w:val="nil"/>
            </w:tcBorders>
            <w:vAlign w:val="center"/>
          </w:tcPr>
          <w:p w14:paraId="0725E8B3">
            <w:pPr>
              <w:adjustRightInd w:val="0"/>
              <w:jc w:val="center"/>
              <w:rPr>
                <w:color w:val="auto"/>
                <w:szCs w:val="21"/>
              </w:rPr>
            </w:pPr>
            <w:r>
              <w:rPr>
                <w:color w:val="auto"/>
                <w:szCs w:val="21"/>
              </w:rPr>
              <w:t>三有</w:t>
            </w:r>
          </w:p>
        </w:tc>
        <w:tc>
          <w:tcPr>
            <w:tcW w:w="0" w:type="auto"/>
            <w:tcBorders>
              <w:tl2br w:val="nil"/>
              <w:tr2bl w:val="nil"/>
            </w:tcBorders>
            <w:vAlign w:val="center"/>
          </w:tcPr>
          <w:p w14:paraId="545CC091">
            <w:pPr>
              <w:adjustRightInd w:val="0"/>
              <w:jc w:val="center"/>
              <w:rPr>
                <w:color w:val="auto"/>
                <w:szCs w:val="21"/>
              </w:rPr>
            </w:pPr>
            <w:r>
              <w:rPr>
                <w:color w:val="auto"/>
                <w:szCs w:val="21"/>
              </w:rPr>
              <w:t>LC</w:t>
            </w:r>
          </w:p>
        </w:tc>
        <w:tc>
          <w:tcPr>
            <w:tcW w:w="0" w:type="auto"/>
            <w:tcBorders>
              <w:tl2br w:val="nil"/>
              <w:tr2bl w:val="nil"/>
            </w:tcBorders>
            <w:vAlign w:val="center"/>
          </w:tcPr>
          <w:p w14:paraId="05545498">
            <w:pPr>
              <w:adjustRightInd w:val="0"/>
              <w:jc w:val="center"/>
              <w:rPr>
                <w:color w:val="auto"/>
                <w:szCs w:val="21"/>
              </w:rPr>
            </w:pPr>
            <w:r>
              <w:rPr>
                <w:color w:val="auto"/>
                <w:szCs w:val="21"/>
              </w:rPr>
              <w:t>K</w:t>
            </w:r>
          </w:p>
        </w:tc>
      </w:tr>
      <w:tr w14:paraId="438E9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832C667">
            <w:pPr>
              <w:adjustRightInd w:val="0"/>
              <w:jc w:val="left"/>
              <w:rPr>
                <w:color w:val="auto"/>
                <w:szCs w:val="21"/>
              </w:rPr>
            </w:pPr>
            <w:r>
              <w:rPr>
                <w:color w:val="auto"/>
                <w:szCs w:val="21"/>
              </w:rPr>
              <w:t xml:space="preserve">104 黑尾蜡嘴雀 </w:t>
            </w:r>
            <w:r>
              <w:rPr>
                <w:i/>
                <w:iCs/>
                <w:color w:val="auto"/>
                <w:szCs w:val="21"/>
              </w:rPr>
              <w:t>Eophona migratoria</w:t>
            </w:r>
          </w:p>
        </w:tc>
        <w:tc>
          <w:tcPr>
            <w:tcW w:w="0" w:type="auto"/>
            <w:tcBorders>
              <w:tl2br w:val="nil"/>
              <w:tr2bl w:val="nil"/>
            </w:tcBorders>
            <w:vAlign w:val="center"/>
          </w:tcPr>
          <w:p w14:paraId="2EF25262">
            <w:pPr>
              <w:adjustRightInd w:val="0"/>
              <w:jc w:val="center"/>
              <w:rPr>
                <w:color w:val="auto"/>
                <w:szCs w:val="21"/>
              </w:rPr>
            </w:pPr>
            <w:r>
              <w:rPr>
                <w:color w:val="auto"/>
                <w:szCs w:val="21"/>
              </w:rPr>
              <w:t>W</w:t>
            </w:r>
          </w:p>
        </w:tc>
        <w:tc>
          <w:tcPr>
            <w:tcW w:w="0" w:type="auto"/>
            <w:tcBorders>
              <w:tl2br w:val="nil"/>
              <w:tr2bl w:val="nil"/>
            </w:tcBorders>
            <w:vAlign w:val="center"/>
          </w:tcPr>
          <w:p w14:paraId="214F41D6">
            <w:pPr>
              <w:adjustRightInd w:val="0"/>
              <w:jc w:val="center"/>
              <w:rPr>
                <w:color w:val="auto"/>
                <w:szCs w:val="21"/>
              </w:rPr>
            </w:pPr>
            <w:r>
              <w:rPr>
                <w:color w:val="auto"/>
                <w:szCs w:val="21"/>
              </w:rPr>
              <w:t>P</w:t>
            </w:r>
          </w:p>
        </w:tc>
        <w:tc>
          <w:tcPr>
            <w:tcW w:w="0" w:type="auto"/>
            <w:tcBorders>
              <w:tl2br w:val="nil"/>
              <w:tr2bl w:val="nil"/>
            </w:tcBorders>
            <w:vAlign w:val="center"/>
          </w:tcPr>
          <w:p w14:paraId="789D661C">
            <w:pPr>
              <w:adjustRightInd w:val="0"/>
              <w:jc w:val="center"/>
              <w:rPr>
                <w:color w:val="auto"/>
                <w:szCs w:val="21"/>
              </w:rPr>
            </w:pPr>
          </w:p>
        </w:tc>
        <w:tc>
          <w:tcPr>
            <w:tcW w:w="0" w:type="auto"/>
            <w:tcBorders>
              <w:tl2br w:val="nil"/>
              <w:tr2bl w:val="nil"/>
            </w:tcBorders>
            <w:vAlign w:val="center"/>
          </w:tcPr>
          <w:p w14:paraId="4963494A">
            <w:pPr>
              <w:adjustRightInd w:val="0"/>
              <w:jc w:val="center"/>
              <w:rPr>
                <w:color w:val="auto"/>
                <w:szCs w:val="21"/>
              </w:rPr>
            </w:pPr>
            <w:r>
              <w:rPr>
                <w:color w:val="auto"/>
                <w:szCs w:val="21"/>
              </w:rPr>
              <w:t>三有；湘</w:t>
            </w:r>
          </w:p>
        </w:tc>
        <w:tc>
          <w:tcPr>
            <w:tcW w:w="0" w:type="auto"/>
            <w:tcBorders>
              <w:tl2br w:val="nil"/>
              <w:tr2bl w:val="nil"/>
            </w:tcBorders>
            <w:vAlign w:val="center"/>
          </w:tcPr>
          <w:p w14:paraId="00FF8550">
            <w:pPr>
              <w:adjustRightInd w:val="0"/>
              <w:jc w:val="center"/>
              <w:rPr>
                <w:color w:val="auto"/>
                <w:szCs w:val="21"/>
              </w:rPr>
            </w:pPr>
            <w:r>
              <w:rPr>
                <w:color w:val="auto"/>
                <w:szCs w:val="21"/>
              </w:rPr>
              <w:t>LC</w:t>
            </w:r>
          </w:p>
        </w:tc>
        <w:tc>
          <w:tcPr>
            <w:tcW w:w="0" w:type="auto"/>
            <w:tcBorders>
              <w:tl2br w:val="nil"/>
              <w:tr2bl w:val="nil"/>
            </w:tcBorders>
            <w:vAlign w:val="center"/>
          </w:tcPr>
          <w:p w14:paraId="65A9F0FA">
            <w:pPr>
              <w:adjustRightInd w:val="0"/>
              <w:jc w:val="center"/>
              <w:rPr>
                <w:color w:val="auto"/>
                <w:szCs w:val="21"/>
              </w:rPr>
            </w:pPr>
            <w:r>
              <w:rPr>
                <w:color w:val="auto"/>
                <w:szCs w:val="21"/>
              </w:rPr>
              <w:t>K</w:t>
            </w:r>
          </w:p>
        </w:tc>
      </w:tr>
      <w:tr w14:paraId="1D17D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09F45DA">
            <w:pPr>
              <w:adjustRightInd w:val="0"/>
              <w:jc w:val="left"/>
              <w:rPr>
                <w:color w:val="auto"/>
                <w:szCs w:val="21"/>
              </w:rPr>
            </w:pPr>
            <w:r>
              <w:rPr>
                <w:b/>
                <w:bCs/>
                <w:color w:val="auto"/>
                <w:szCs w:val="21"/>
              </w:rPr>
              <w:t>（三十六）鹀科 Emberizidae</w:t>
            </w:r>
          </w:p>
        </w:tc>
        <w:tc>
          <w:tcPr>
            <w:tcW w:w="0" w:type="auto"/>
            <w:tcBorders>
              <w:tl2br w:val="nil"/>
              <w:tr2bl w:val="nil"/>
            </w:tcBorders>
            <w:vAlign w:val="center"/>
          </w:tcPr>
          <w:p w14:paraId="0947A2B3">
            <w:pPr>
              <w:adjustRightInd w:val="0"/>
              <w:jc w:val="center"/>
              <w:rPr>
                <w:color w:val="auto"/>
                <w:szCs w:val="21"/>
              </w:rPr>
            </w:pPr>
          </w:p>
        </w:tc>
        <w:tc>
          <w:tcPr>
            <w:tcW w:w="0" w:type="auto"/>
            <w:tcBorders>
              <w:tl2br w:val="nil"/>
              <w:tr2bl w:val="nil"/>
            </w:tcBorders>
            <w:vAlign w:val="center"/>
          </w:tcPr>
          <w:p w14:paraId="1C397316">
            <w:pPr>
              <w:adjustRightInd w:val="0"/>
              <w:jc w:val="center"/>
              <w:rPr>
                <w:color w:val="auto"/>
                <w:szCs w:val="21"/>
              </w:rPr>
            </w:pPr>
          </w:p>
        </w:tc>
        <w:tc>
          <w:tcPr>
            <w:tcW w:w="0" w:type="auto"/>
            <w:tcBorders>
              <w:tl2br w:val="nil"/>
              <w:tr2bl w:val="nil"/>
            </w:tcBorders>
            <w:vAlign w:val="center"/>
          </w:tcPr>
          <w:p w14:paraId="6300E676">
            <w:pPr>
              <w:adjustRightInd w:val="0"/>
              <w:jc w:val="center"/>
              <w:rPr>
                <w:color w:val="auto"/>
                <w:szCs w:val="21"/>
              </w:rPr>
            </w:pPr>
          </w:p>
        </w:tc>
        <w:tc>
          <w:tcPr>
            <w:tcW w:w="0" w:type="auto"/>
            <w:tcBorders>
              <w:tl2br w:val="nil"/>
              <w:tr2bl w:val="nil"/>
            </w:tcBorders>
            <w:vAlign w:val="center"/>
          </w:tcPr>
          <w:p w14:paraId="3496240B">
            <w:pPr>
              <w:adjustRightInd w:val="0"/>
              <w:jc w:val="center"/>
              <w:rPr>
                <w:color w:val="auto"/>
                <w:szCs w:val="21"/>
              </w:rPr>
            </w:pPr>
          </w:p>
        </w:tc>
        <w:tc>
          <w:tcPr>
            <w:tcW w:w="0" w:type="auto"/>
            <w:tcBorders>
              <w:tl2br w:val="nil"/>
              <w:tr2bl w:val="nil"/>
            </w:tcBorders>
            <w:vAlign w:val="center"/>
          </w:tcPr>
          <w:p w14:paraId="7EF19867">
            <w:pPr>
              <w:adjustRightInd w:val="0"/>
              <w:jc w:val="center"/>
              <w:rPr>
                <w:color w:val="auto"/>
                <w:szCs w:val="21"/>
              </w:rPr>
            </w:pPr>
          </w:p>
        </w:tc>
        <w:tc>
          <w:tcPr>
            <w:tcW w:w="0" w:type="auto"/>
            <w:tcBorders>
              <w:tl2br w:val="nil"/>
              <w:tr2bl w:val="nil"/>
            </w:tcBorders>
            <w:vAlign w:val="center"/>
          </w:tcPr>
          <w:p w14:paraId="1570A287">
            <w:pPr>
              <w:adjustRightInd w:val="0"/>
              <w:jc w:val="center"/>
              <w:rPr>
                <w:color w:val="auto"/>
                <w:szCs w:val="21"/>
              </w:rPr>
            </w:pPr>
          </w:p>
        </w:tc>
      </w:tr>
      <w:tr w14:paraId="6DB62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6F84B05">
            <w:pPr>
              <w:adjustRightInd w:val="0"/>
              <w:jc w:val="left"/>
              <w:rPr>
                <w:color w:val="auto"/>
                <w:szCs w:val="21"/>
              </w:rPr>
            </w:pPr>
            <w:r>
              <w:rPr>
                <w:color w:val="auto"/>
                <w:szCs w:val="21"/>
              </w:rPr>
              <w:t xml:space="preserve">105 小鹀 </w:t>
            </w:r>
            <w:r>
              <w:rPr>
                <w:i/>
                <w:iCs/>
                <w:color w:val="auto"/>
                <w:szCs w:val="21"/>
              </w:rPr>
              <w:t>Emberiza pusilla</w:t>
            </w:r>
          </w:p>
        </w:tc>
        <w:tc>
          <w:tcPr>
            <w:tcW w:w="0" w:type="auto"/>
            <w:tcBorders>
              <w:tl2br w:val="nil"/>
              <w:tr2bl w:val="nil"/>
            </w:tcBorders>
            <w:vAlign w:val="center"/>
          </w:tcPr>
          <w:p w14:paraId="6E62D5CE">
            <w:pPr>
              <w:adjustRightInd w:val="0"/>
              <w:jc w:val="center"/>
              <w:rPr>
                <w:color w:val="auto"/>
                <w:szCs w:val="21"/>
              </w:rPr>
            </w:pPr>
            <w:r>
              <w:rPr>
                <w:color w:val="auto"/>
                <w:szCs w:val="21"/>
              </w:rPr>
              <w:t>W</w:t>
            </w:r>
          </w:p>
        </w:tc>
        <w:tc>
          <w:tcPr>
            <w:tcW w:w="0" w:type="auto"/>
            <w:tcBorders>
              <w:tl2br w:val="nil"/>
              <w:tr2bl w:val="nil"/>
            </w:tcBorders>
            <w:vAlign w:val="center"/>
          </w:tcPr>
          <w:p w14:paraId="60B13B9E">
            <w:pPr>
              <w:adjustRightInd w:val="0"/>
              <w:jc w:val="center"/>
              <w:rPr>
                <w:color w:val="auto"/>
                <w:szCs w:val="21"/>
              </w:rPr>
            </w:pPr>
            <w:r>
              <w:rPr>
                <w:color w:val="auto"/>
                <w:szCs w:val="21"/>
              </w:rPr>
              <w:t>P</w:t>
            </w:r>
          </w:p>
        </w:tc>
        <w:tc>
          <w:tcPr>
            <w:tcW w:w="0" w:type="auto"/>
            <w:tcBorders>
              <w:tl2br w:val="nil"/>
              <w:tr2bl w:val="nil"/>
            </w:tcBorders>
            <w:vAlign w:val="center"/>
          </w:tcPr>
          <w:p w14:paraId="0A48F8F0">
            <w:pPr>
              <w:adjustRightInd w:val="0"/>
              <w:jc w:val="center"/>
              <w:rPr>
                <w:color w:val="auto"/>
                <w:szCs w:val="21"/>
              </w:rPr>
            </w:pPr>
          </w:p>
        </w:tc>
        <w:tc>
          <w:tcPr>
            <w:tcW w:w="0" w:type="auto"/>
            <w:tcBorders>
              <w:tl2br w:val="nil"/>
              <w:tr2bl w:val="nil"/>
            </w:tcBorders>
            <w:vAlign w:val="center"/>
          </w:tcPr>
          <w:p w14:paraId="2C82CF2E">
            <w:pPr>
              <w:adjustRightInd w:val="0"/>
              <w:jc w:val="center"/>
              <w:rPr>
                <w:color w:val="auto"/>
                <w:szCs w:val="21"/>
              </w:rPr>
            </w:pPr>
            <w:r>
              <w:rPr>
                <w:color w:val="auto"/>
                <w:szCs w:val="21"/>
              </w:rPr>
              <w:t>三有</w:t>
            </w:r>
          </w:p>
        </w:tc>
        <w:tc>
          <w:tcPr>
            <w:tcW w:w="0" w:type="auto"/>
            <w:tcBorders>
              <w:tl2br w:val="nil"/>
              <w:tr2bl w:val="nil"/>
            </w:tcBorders>
            <w:vAlign w:val="center"/>
          </w:tcPr>
          <w:p w14:paraId="3152CFD5">
            <w:pPr>
              <w:adjustRightInd w:val="0"/>
              <w:jc w:val="center"/>
              <w:rPr>
                <w:color w:val="auto"/>
                <w:szCs w:val="21"/>
              </w:rPr>
            </w:pPr>
            <w:r>
              <w:rPr>
                <w:color w:val="auto"/>
                <w:szCs w:val="21"/>
              </w:rPr>
              <w:t>LC</w:t>
            </w:r>
          </w:p>
        </w:tc>
        <w:tc>
          <w:tcPr>
            <w:tcW w:w="0" w:type="auto"/>
            <w:tcBorders>
              <w:tl2br w:val="nil"/>
              <w:tr2bl w:val="nil"/>
            </w:tcBorders>
            <w:vAlign w:val="center"/>
          </w:tcPr>
          <w:p w14:paraId="50FBFA17">
            <w:pPr>
              <w:adjustRightInd w:val="0"/>
              <w:jc w:val="center"/>
              <w:rPr>
                <w:color w:val="auto"/>
                <w:szCs w:val="21"/>
              </w:rPr>
            </w:pPr>
            <w:r>
              <w:rPr>
                <w:color w:val="auto"/>
                <w:szCs w:val="21"/>
              </w:rPr>
              <w:t>K</w:t>
            </w:r>
          </w:p>
        </w:tc>
      </w:tr>
      <w:tr w14:paraId="0DB0F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094201D">
            <w:pPr>
              <w:adjustRightInd w:val="0"/>
              <w:jc w:val="left"/>
              <w:rPr>
                <w:color w:val="auto"/>
                <w:szCs w:val="21"/>
              </w:rPr>
            </w:pPr>
            <w:r>
              <w:rPr>
                <w:color w:val="auto"/>
                <w:szCs w:val="21"/>
              </w:rPr>
              <w:t xml:space="preserve">106 灰头鹀 </w:t>
            </w:r>
            <w:r>
              <w:rPr>
                <w:i/>
                <w:iCs/>
                <w:color w:val="auto"/>
                <w:szCs w:val="21"/>
              </w:rPr>
              <w:t>Emberiza spodocephala</w:t>
            </w:r>
          </w:p>
        </w:tc>
        <w:tc>
          <w:tcPr>
            <w:tcW w:w="0" w:type="auto"/>
            <w:tcBorders>
              <w:tl2br w:val="nil"/>
              <w:tr2bl w:val="nil"/>
            </w:tcBorders>
            <w:vAlign w:val="center"/>
          </w:tcPr>
          <w:p w14:paraId="4DA0A9EA">
            <w:pPr>
              <w:adjustRightInd w:val="0"/>
              <w:jc w:val="center"/>
              <w:rPr>
                <w:color w:val="auto"/>
                <w:szCs w:val="21"/>
              </w:rPr>
            </w:pPr>
            <w:r>
              <w:rPr>
                <w:color w:val="auto"/>
                <w:szCs w:val="21"/>
              </w:rPr>
              <w:t>W</w:t>
            </w:r>
          </w:p>
        </w:tc>
        <w:tc>
          <w:tcPr>
            <w:tcW w:w="0" w:type="auto"/>
            <w:tcBorders>
              <w:tl2br w:val="nil"/>
              <w:tr2bl w:val="nil"/>
            </w:tcBorders>
            <w:vAlign w:val="center"/>
          </w:tcPr>
          <w:p w14:paraId="27A34463">
            <w:pPr>
              <w:adjustRightInd w:val="0"/>
              <w:jc w:val="center"/>
              <w:rPr>
                <w:color w:val="auto"/>
                <w:szCs w:val="21"/>
              </w:rPr>
            </w:pPr>
            <w:r>
              <w:rPr>
                <w:color w:val="auto"/>
                <w:szCs w:val="21"/>
              </w:rPr>
              <w:t>P</w:t>
            </w:r>
          </w:p>
        </w:tc>
        <w:tc>
          <w:tcPr>
            <w:tcW w:w="0" w:type="auto"/>
            <w:tcBorders>
              <w:tl2br w:val="nil"/>
              <w:tr2bl w:val="nil"/>
            </w:tcBorders>
            <w:vAlign w:val="center"/>
          </w:tcPr>
          <w:p w14:paraId="3D8348C1">
            <w:pPr>
              <w:adjustRightInd w:val="0"/>
              <w:jc w:val="center"/>
              <w:rPr>
                <w:color w:val="auto"/>
                <w:szCs w:val="21"/>
              </w:rPr>
            </w:pPr>
          </w:p>
        </w:tc>
        <w:tc>
          <w:tcPr>
            <w:tcW w:w="0" w:type="auto"/>
            <w:tcBorders>
              <w:tl2br w:val="nil"/>
              <w:tr2bl w:val="nil"/>
            </w:tcBorders>
            <w:vAlign w:val="center"/>
          </w:tcPr>
          <w:p w14:paraId="708AF631">
            <w:pPr>
              <w:adjustRightInd w:val="0"/>
              <w:jc w:val="center"/>
              <w:rPr>
                <w:color w:val="auto"/>
                <w:szCs w:val="21"/>
              </w:rPr>
            </w:pPr>
            <w:r>
              <w:rPr>
                <w:color w:val="auto"/>
                <w:szCs w:val="21"/>
              </w:rPr>
              <w:t>三有</w:t>
            </w:r>
          </w:p>
        </w:tc>
        <w:tc>
          <w:tcPr>
            <w:tcW w:w="0" w:type="auto"/>
            <w:tcBorders>
              <w:tl2br w:val="nil"/>
              <w:tr2bl w:val="nil"/>
            </w:tcBorders>
            <w:vAlign w:val="center"/>
          </w:tcPr>
          <w:p w14:paraId="1E13AD17">
            <w:pPr>
              <w:adjustRightInd w:val="0"/>
              <w:jc w:val="center"/>
              <w:rPr>
                <w:color w:val="auto"/>
                <w:szCs w:val="21"/>
              </w:rPr>
            </w:pPr>
            <w:r>
              <w:rPr>
                <w:color w:val="auto"/>
                <w:szCs w:val="21"/>
              </w:rPr>
              <w:t>LC</w:t>
            </w:r>
          </w:p>
        </w:tc>
        <w:tc>
          <w:tcPr>
            <w:tcW w:w="0" w:type="auto"/>
            <w:tcBorders>
              <w:tl2br w:val="nil"/>
              <w:tr2bl w:val="nil"/>
            </w:tcBorders>
            <w:vAlign w:val="center"/>
          </w:tcPr>
          <w:p w14:paraId="73E4056C">
            <w:pPr>
              <w:adjustRightInd w:val="0"/>
              <w:jc w:val="center"/>
              <w:rPr>
                <w:color w:val="auto"/>
                <w:szCs w:val="21"/>
              </w:rPr>
            </w:pPr>
            <w:r>
              <w:rPr>
                <w:color w:val="auto"/>
                <w:szCs w:val="21"/>
              </w:rPr>
              <w:t>K</w:t>
            </w:r>
          </w:p>
        </w:tc>
      </w:tr>
      <w:tr w14:paraId="0D54D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91A49A4">
            <w:pPr>
              <w:adjustRightInd w:val="0"/>
              <w:jc w:val="left"/>
              <w:rPr>
                <w:b/>
                <w:bCs/>
                <w:color w:val="auto"/>
                <w:szCs w:val="21"/>
              </w:rPr>
            </w:pPr>
            <w:r>
              <w:rPr>
                <w:b/>
                <w:bCs/>
                <w:color w:val="auto"/>
                <w:szCs w:val="21"/>
              </w:rPr>
              <w:t>XIII 隼形目 Falconiformes</w:t>
            </w:r>
          </w:p>
        </w:tc>
        <w:tc>
          <w:tcPr>
            <w:tcW w:w="0" w:type="auto"/>
            <w:tcBorders>
              <w:tl2br w:val="nil"/>
              <w:tr2bl w:val="nil"/>
            </w:tcBorders>
            <w:vAlign w:val="center"/>
          </w:tcPr>
          <w:p w14:paraId="6087EF58">
            <w:pPr>
              <w:adjustRightInd w:val="0"/>
              <w:jc w:val="center"/>
              <w:rPr>
                <w:color w:val="auto"/>
                <w:szCs w:val="21"/>
              </w:rPr>
            </w:pPr>
          </w:p>
        </w:tc>
        <w:tc>
          <w:tcPr>
            <w:tcW w:w="0" w:type="auto"/>
            <w:tcBorders>
              <w:tl2br w:val="nil"/>
              <w:tr2bl w:val="nil"/>
            </w:tcBorders>
            <w:vAlign w:val="center"/>
          </w:tcPr>
          <w:p w14:paraId="59F5E9D8">
            <w:pPr>
              <w:adjustRightInd w:val="0"/>
              <w:jc w:val="center"/>
              <w:rPr>
                <w:color w:val="auto"/>
                <w:szCs w:val="21"/>
              </w:rPr>
            </w:pPr>
          </w:p>
        </w:tc>
        <w:tc>
          <w:tcPr>
            <w:tcW w:w="0" w:type="auto"/>
            <w:tcBorders>
              <w:tl2br w:val="nil"/>
              <w:tr2bl w:val="nil"/>
            </w:tcBorders>
            <w:vAlign w:val="center"/>
          </w:tcPr>
          <w:p w14:paraId="4A18EC5E">
            <w:pPr>
              <w:adjustRightInd w:val="0"/>
              <w:jc w:val="center"/>
              <w:rPr>
                <w:color w:val="auto"/>
                <w:szCs w:val="21"/>
              </w:rPr>
            </w:pPr>
          </w:p>
        </w:tc>
        <w:tc>
          <w:tcPr>
            <w:tcW w:w="0" w:type="auto"/>
            <w:tcBorders>
              <w:tl2br w:val="nil"/>
              <w:tr2bl w:val="nil"/>
            </w:tcBorders>
            <w:vAlign w:val="center"/>
          </w:tcPr>
          <w:p w14:paraId="3930B761">
            <w:pPr>
              <w:adjustRightInd w:val="0"/>
              <w:jc w:val="center"/>
              <w:rPr>
                <w:color w:val="auto"/>
                <w:szCs w:val="21"/>
              </w:rPr>
            </w:pPr>
          </w:p>
        </w:tc>
        <w:tc>
          <w:tcPr>
            <w:tcW w:w="0" w:type="auto"/>
            <w:tcBorders>
              <w:tl2br w:val="nil"/>
              <w:tr2bl w:val="nil"/>
            </w:tcBorders>
            <w:vAlign w:val="center"/>
          </w:tcPr>
          <w:p w14:paraId="1CF7C6ED">
            <w:pPr>
              <w:adjustRightInd w:val="0"/>
              <w:jc w:val="center"/>
              <w:rPr>
                <w:color w:val="auto"/>
                <w:szCs w:val="21"/>
              </w:rPr>
            </w:pPr>
          </w:p>
        </w:tc>
        <w:tc>
          <w:tcPr>
            <w:tcW w:w="0" w:type="auto"/>
            <w:tcBorders>
              <w:tl2br w:val="nil"/>
              <w:tr2bl w:val="nil"/>
            </w:tcBorders>
            <w:vAlign w:val="center"/>
          </w:tcPr>
          <w:p w14:paraId="68973EE6">
            <w:pPr>
              <w:adjustRightInd w:val="0"/>
              <w:jc w:val="center"/>
              <w:rPr>
                <w:color w:val="auto"/>
                <w:szCs w:val="21"/>
              </w:rPr>
            </w:pPr>
          </w:p>
        </w:tc>
      </w:tr>
      <w:tr w14:paraId="5CFFE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BE36357">
            <w:pPr>
              <w:adjustRightInd w:val="0"/>
              <w:jc w:val="left"/>
              <w:rPr>
                <w:b/>
                <w:bCs/>
                <w:color w:val="auto"/>
                <w:szCs w:val="21"/>
              </w:rPr>
            </w:pPr>
            <w:r>
              <w:rPr>
                <w:b/>
                <w:bCs/>
                <w:color w:val="auto"/>
                <w:szCs w:val="21"/>
              </w:rPr>
              <w:t>（三十七）鹰科 Accipitridae</w:t>
            </w:r>
          </w:p>
        </w:tc>
        <w:tc>
          <w:tcPr>
            <w:tcW w:w="0" w:type="auto"/>
            <w:tcBorders>
              <w:tl2br w:val="nil"/>
              <w:tr2bl w:val="nil"/>
            </w:tcBorders>
            <w:vAlign w:val="center"/>
          </w:tcPr>
          <w:p w14:paraId="2D66B402">
            <w:pPr>
              <w:adjustRightInd w:val="0"/>
              <w:jc w:val="center"/>
              <w:rPr>
                <w:color w:val="auto"/>
                <w:szCs w:val="21"/>
              </w:rPr>
            </w:pPr>
          </w:p>
        </w:tc>
        <w:tc>
          <w:tcPr>
            <w:tcW w:w="0" w:type="auto"/>
            <w:tcBorders>
              <w:tl2br w:val="nil"/>
              <w:tr2bl w:val="nil"/>
            </w:tcBorders>
            <w:vAlign w:val="center"/>
          </w:tcPr>
          <w:p w14:paraId="58147B6E">
            <w:pPr>
              <w:adjustRightInd w:val="0"/>
              <w:jc w:val="center"/>
              <w:rPr>
                <w:color w:val="auto"/>
                <w:szCs w:val="21"/>
              </w:rPr>
            </w:pPr>
          </w:p>
        </w:tc>
        <w:tc>
          <w:tcPr>
            <w:tcW w:w="0" w:type="auto"/>
            <w:tcBorders>
              <w:tl2br w:val="nil"/>
              <w:tr2bl w:val="nil"/>
            </w:tcBorders>
            <w:vAlign w:val="center"/>
          </w:tcPr>
          <w:p w14:paraId="24D00879">
            <w:pPr>
              <w:adjustRightInd w:val="0"/>
              <w:jc w:val="center"/>
              <w:rPr>
                <w:color w:val="auto"/>
                <w:szCs w:val="21"/>
              </w:rPr>
            </w:pPr>
          </w:p>
        </w:tc>
        <w:tc>
          <w:tcPr>
            <w:tcW w:w="0" w:type="auto"/>
            <w:tcBorders>
              <w:tl2br w:val="nil"/>
              <w:tr2bl w:val="nil"/>
            </w:tcBorders>
            <w:vAlign w:val="center"/>
          </w:tcPr>
          <w:p w14:paraId="5BE1D7CE">
            <w:pPr>
              <w:adjustRightInd w:val="0"/>
              <w:jc w:val="center"/>
              <w:rPr>
                <w:color w:val="auto"/>
                <w:szCs w:val="21"/>
              </w:rPr>
            </w:pPr>
          </w:p>
        </w:tc>
        <w:tc>
          <w:tcPr>
            <w:tcW w:w="0" w:type="auto"/>
            <w:tcBorders>
              <w:tl2br w:val="nil"/>
              <w:tr2bl w:val="nil"/>
            </w:tcBorders>
            <w:vAlign w:val="center"/>
          </w:tcPr>
          <w:p w14:paraId="0220EF7A">
            <w:pPr>
              <w:adjustRightInd w:val="0"/>
              <w:jc w:val="center"/>
              <w:rPr>
                <w:color w:val="auto"/>
                <w:szCs w:val="21"/>
              </w:rPr>
            </w:pPr>
          </w:p>
        </w:tc>
        <w:tc>
          <w:tcPr>
            <w:tcW w:w="0" w:type="auto"/>
            <w:tcBorders>
              <w:tl2br w:val="nil"/>
              <w:tr2bl w:val="nil"/>
            </w:tcBorders>
            <w:vAlign w:val="center"/>
          </w:tcPr>
          <w:p w14:paraId="448FD58A">
            <w:pPr>
              <w:adjustRightInd w:val="0"/>
              <w:jc w:val="center"/>
              <w:rPr>
                <w:color w:val="auto"/>
                <w:szCs w:val="21"/>
              </w:rPr>
            </w:pPr>
          </w:p>
        </w:tc>
      </w:tr>
      <w:tr w14:paraId="11F89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15FD835">
            <w:pPr>
              <w:adjustRightInd w:val="0"/>
              <w:jc w:val="left"/>
              <w:rPr>
                <w:color w:val="auto"/>
                <w:szCs w:val="21"/>
              </w:rPr>
            </w:pPr>
            <w:r>
              <w:rPr>
                <w:color w:val="auto"/>
                <w:szCs w:val="21"/>
              </w:rPr>
              <w:t xml:space="preserve">107 雀鹰 </w:t>
            </w:r>
            <w:r>
              <w:rPr>
                <w:i/>
                <w:iCs/>
                <w:color w:val="auto"/>
                <w:szCs w:val="21"/>
              </w:rPr>
              <w:t>Accipiter nisus</w:t>
            </w:r>
          </w:p>
        </w:tc>
        <w:tc>
          <w:tcPr>
            <w:tcW w:w="0" w:type="auto"/>
            <w:tcBorders>
              <w:tl2br w:val="nil"/>
              <w:tr2bl w:val="nil"/>
            </w:tcBorders>
            <w:vAlign w:val="center"/>
          </w:tcPr>
          <w:p w14:paraId="34F65022">
            <w:pPr>
              <w:adjustRightInd w:val="0"/>
              <w:jc w:val="center"/>
              <w:rPr>
                <w:color w:val="auto"/>
                <w:szCs w:val="21"/>
              </w:rPr>
            </w:pPr>
            <w:r>
              <w:rPr>
                <w:color w:val="auto"/>
                <w:szCs w:val="21"/>
              </w:rPr>
              <w:t>R</w:t>
            </w:r>
          </w:p>
        </w:tc>
        <w:tc>
          <w:tcPr>
            <w:tcW w:w="0" w:type="auto"/>
            <w:tcBorders>
              <w:tl2br w:val="nil"/>
              <w:tr2bl w:val="nil"/>
            </w:tcBorders>
            <w:vAlign w:val="center"/>
          </w:tcPr>
          <w:p w14:paraId="686CEAE3">
            <w:pPr>
              <w:adjustRightInd w:val="0"/>
              <w:jc w:val="center"/>
              <w:rPr>
                <w:color w:val="auto"/>
                <w:szCs w:val="21"/>
              </w:rPr>
            </w:pPr>
            <w:r>
              <w:rPr>
                <w:color w:val="auto"/>
                <w:szCs w:val="21"/>
              </w:rPr>
              <w:t>C</w:t>
            </w:r>
          </w:p>
        </w:tc>
        <w:tc>
          <w:tcPr>
            <w:tcW w:w="0" w:type="auto"/>
            <w:tcBorders>
              <w:tl2br w:val="nil"/>
              <w:tr2bl w:val="nil"/>
            </w:tcBorders>
            <w:vAlign w:val="center"/>
          </w:tcPr>
          <w:p w14:paraId="357BEBB2">
            <w:pPr>
              <w:adjustRightInd w:val="0"/>
              <w:jc w:val="center"/>
              <w:rPr>
                <w:color w:val="auto"/>
                <w:szCs w:val="21"/>
              </w:rPr>
            </w:pPr>
          </w:p>
        </w:tc>
        <w:tc>
          <w:tcPr>
            <w:tcW w:w="0" w:type="auto"/>
            <w:tcBorders>
              <w:tl2br w:val="nil"/>
              <w:tr2bl w:val="nil"/>
            </w:tcBorders>
            <w:vAlign w:val="center"/>
          </w:tcPr>
          <w:p w14:paraId="6E0DCE59">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22B21F80">
            <w:pPr>
              <w:adjustRightInd w:val="0"/>
              <w:jc w:val="center"/>
              <w:rPr>
                <w:color w:val="auto"/>
                <w:szCs w:val="21"/>
              </w:rPr>
            </w:pPr>
            <w:r>
              <w:rPr>
                <w:color w:val="auto"/>
                <w:szCs w:val="21"/>
              </w:rPr>
              <w:t>LC</w:t>
            </w:r>
          </w:p>
        </w:tc>
        <w:tc>
          <w:tcPr>
            <w:tcW w:w="0" w:type="auto"/>
            <w:tcBorders>
              <w:tl2br w:val="nil"/>
              <w:tr2bl w:val="nil"/>
            </w:tcBorders>
            <w:vAlign w:val="center"/>
          </w:tcPr>
          <w:p w14:paraId="266F2C05">
            <w:pPr>
              <w:adjustRightInd w:val="0"/>
              <w:jc w:val="center"/>
              <w:rPr>
                <w:color w:val="auto"/>
                <w:szCs w:val="21"/>
              </w:rPr>
            </w:pPr>
            <w:r>
              <w:rPr>
                <w:color w:val="auto"/>
                <w:szCs w:val="21"/>
              </w:rPr>
              <w:t>Z</w:t>
            </w:r>
          </w:p>
        </w:tc>
      </w:tr>
      <w:tr w14:paraId="174AE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7C608E4">
            <w:pPr>
              <w:adjustRightInd w:val="0"/>
              <w:jc w:val="left"/>
              <w:rPr>
                <w:color w:val="auto"/>
                <w:szCs w:val="21"/>
              </w:rPr>
            </w:pPr>
            <w:r>
              <w:rPr>
                <w:color w:val="auto"/>
                <w:szCs w:val="21"/>
              </w:rPr>
              <w:t xml:space="preserve">108 日本松雀鹰 </w:t>
            </w:r>
            <w:r>
              <w:rPr>
                <w:i/>
                <w:iCs/>
                <w:color w:val="auto"/>
                <w:szCs w:val="21"/>
              </w:rPr>
              <w:t>Accipiter gularis</w:t>
            </w:r>
          </w:p>
        </w:tc>
        <w:tc>
          <w:tcPr>
            <w:tcW w:w="0" w:type="auto"/>
            <w:tcBorders>
              <w:tl2br w:val="nil"/>
              <w:tr2bl w:val="nil"/>
            </w:tcBorders>
            <w:vAlign w:val="center"/>
          </w:tcPr>
          <w:p w14:paraId="534FB78B">
            <w:pPr>
              <w:adjustRightInd w:val="0"/>
              <w:jc w:val="center"/>
              <w:rPr>
                <w:color w:val="auto"/>
                <w:szCs w:val="21"/>
              </w:rPr>
            </w:pPr>
            <w:r>
              <w:rPr>
                <w:color w:val="auto"/>
                <w:szCs w:val="21"/>
              </w:rPr>
              <w:t>R</w:t>
            </w:r>
          </w:p>
        </w:tc>
        <w:tc>
          <w:tcPr>
            <w:tcW w:w="0" w:type="auto"/>
            <w:tcBorders>
              <w:tl2br w:val="nil"/>
              <w:tr2bl w:val="nil"/>
            </w:tcBorders>
            <w:vAlign w:val="center"/>
          </w:tcPr>
          <w:p w14:paraId="3441297C">
            <w:pPr>
              <w:adjustRightInd w:val="0"/>
              <w:jc w:val="center"/>
              <w:rPr>
                <w:color w:val="auto"/>
                <w:szCs w:val="21"/>
              </w:rPr>
            </w:pPr>
            <w:r>
              <w:rPr>
                <w:color w:val="auto"/>
                <w:szCs w:val="21"/>
              </w:rPr>
              <w:t>C</w:t>
            </w:r>
          </w:p>
        </w:tc>
        <w:tc>
          <w:tcPr>
            <w:tcW w:w="0" w:type="auto"/>
            <w:tcBorders>
              <w:tl2br w:val="nil"/>
              <w:tr2bl w:val="nil"/>
            </w:tcBorders>
            <w:vAlign w:val="center"/>
          </w:tcPr>
          <w:p w14:paraId="42E159A8">
            <w:pPr>
              <w:adjustRightInd w:val="0"/>
              <w:jc w:val="center"/>
              <w:rPr>
                <w:color w:val="auto"/>
                <w:szCs w:val="21"/>
              </w:rPr>
            </w:pPr>
          </w:p>
        </w:tc>
        <w:tc>
          <w:tcPr>
            <w:tcW w:w="0" w:type="auto"/>
            <w:tcBorders>
              <w:tl2br w:val="nil"/>
              <w:tr2bl w:val="nil"/>
            </w:tcBorders>
            <w:vAlign w:val="center"/>
          </w:tcPr>
          <w:p w14:paraId="5A39532D">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6438DAAF">
            <w:pPr>
              <w:adjustRightInd w:val="0"/>
              <w:jc w:val="center"/>
              <w:rPr>
                <w:color w:val="auto"/>
                <w:szCs w:val="21"/>
              </w:rPr>
            </w:pPr>
            <w:r>
              <w:rPr>
                <w:color w:val="auto"/>
                <w:szCs w:val="21"/>
              </w:rPr>
              <w:t>LC</w:t>
            </w:r>
          </w:p>
        </w:tc>
        <w:tc>
          <w:tcPr>
            <w:tcW w:w="0" w:type="auto"/>
            <w:tcBorders>
              <w:tl2br w:val="nil"/>
              <w:tr2bl w:val="nil"/>
            </w:tcBorders>
            <w:vAlign w:val="center"/>
          </w:tcPr>
          <w:p w14:paraId="742A56A5">
            <w:pPr>
              <w:adjustRightInd w:val="0"/>
              <w:jc w:val="center"/>
              <w:rPr>
                <w:color w:val="auto"/>
                <w:szCs w:val="21"/>
              </w:rPr>
            </w:pPr>
            <w:r>
              <w:rPr>
                <w:color w:val="auto"/>
                <w:szCs w:val="21"/>
              </w:rPr>
              <w:t>Z</w:t>
            </w:r>
          </w:p>
        </w:tc>
      </w:tr>
      <w:tr w14:paraId="5C869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2F9D71F4">
            <w:pPr>
              <w:adjustRightInd w:val="0"/>
              <w:jc w:val="left"/>
              <w:rPr>
                <w:color w:val="auto"/>
                <w:szCs w:val="21"/>
              </w:rPr>
            </w:pPr>
            <w:r>
              <w:rPr>
                <w:color w:val="auto"/>
                <w:szCs w:val="21"/>
              </w:rPr>
              <w:t xml:space="preserve">109 普通鵟 </w:t>
            </w:r>
            <w:r>
              <w:rPr>
                <w:i/>
                <w:iCs/>
                <w:color w:val="auto"/>
                <w:szCs w:val="21"/>
              </w:rPr>
              <w:t>Buteo buteo</w:t>
            </w:r>
          </w:p>
        </w:tc>
        <w:tc>
          <w:tcPr>
            <w:tcW w:w="0" w:type="auto"/>
            <w:tcBorders>
              <w:tl2br w:val="nil"/>
              <w:tr2bl w:val="nil"/>
            </w:tcBorders>
            <w:vAlign w:val="center"/>
          </w:tcPr>
          <w:p w14:paraId="4629754F">
            <w:pPr>
              <w:adjustRightInd w:val="0"/>
              <w:jc w:val="center"/>
              <w:rPr>
                <w:color w:val="auto"/>
                <w:szCs w:val="21"/>
              </w:rPr>
            </w:pPr>
            <w:r>
              <w:rPr>
                <w:color w:val="auto"/>
                <w:szCs w:val="21"/>
              </w:rPr>
              <w:t>R</w:t>
            </w:r>
          </w:p>
        </w:tc>
        <w:tc>
          <w:tcPr>
            <w:tcW w:w="0" w:type="auto"/>
            <w:tcBorders>
              <w:tl2br w:val="nil"/>
              <w:tr2bl w:val="nil"/>
            </w:tcBorders>
            <w:vAlign w:val="center"/>
          </w:tcPr>
          <w:p w14:paraId="3F861F1B">
            <w:pPr>
              <w:adjustRightInd w:val="0"/>
              <w:jc w:val="center"/>
              <w:rPr>
                <w:color w:val="auto"/>
                <w:szCs w:val="21"/>
              </w:rPr>
            </w:pPr>
            <w:r>
              <w:rPr>
                <w:color w:val="auto"/>
                <w:szCs w:val="21"/>
              </w:rPr>
              <w:t>C</w:t>
            </w:r>
          </w:p>
        </w:tc>
        <w:tc>
          <w:tcPr>
            <w:tcW w:w="0" w:type="auto"/>
            <w:tcBorders>
              <w:tl2br w:val="nil"/>
              <w:tr2bl w:val="nil"/>
            </w:tcBorders>
            <w:vAlign w:val="center"/>
          </w:tcPr>
          <w:p w14:paraId="17642C9F">
            <w:pPr>
              <w:adjustRightInd w:val="0"/>
              <w:jc w:val="center"/>
              <w:rPr>
                <w:color w:val="auto"/>
                <w:szCs w:val="21"/>
              </w:rPr>
            </w:pPr>
          </w:p>
        </w:tc>
        <w:tc>
          <w:tcPr>
            <w:tcW w:w="0" w:type="auto"/>
            <w:tcBorders>
              <w:tl2br w:val="nil"/>
              <w:tr2bl w:val="nil"/>
            </w:tcBorders>
            <w:vAlign w:val="center"/>
          </w:tcPr>
          <w:p w14:paraId="7910931E">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0BE8F16B">
            <w:pPr>
              <w:adjustRightInd w:val="0"/>
              <w:jc w:val="center"/>
              <w:rPr>
                <w:color w:val="auto"/>
                <w:szCs w:val="21"/>
              </w:rPr>
            </w:pPr>
            <w:r>
              <w:rPr>
                <w:color w:val="auto"/>
                <w:szCs w:val="21"/>
              </w:rPr>
              <w:t>LC</w:t>
            </w:r>
          </w:p>
        </w:tc>
        <w:tc>
          <w:tcPr>
            <w:tcW w:w="0" w:type="auto"/>
            <w:tcBorders>
              <w:tl2br w:val="nil"/>
              <w:tr2bl w:val="nil"/>
            </w:tcBorders>
            <w:vAlign w:val="center"/>
          </w:tcPr>
          <w:p w14:paraId="028251BE">
            <w:pPr>
              <w:adjustRightInd w:val="0"/>
              <w:jc w:val="center"/>
              <w:rPr>
                <w:color w:val="auto"/>
                <w:szCs w:val="21"/>
              </w:rPr>
            </w:pPr>
            <w:r>
              <w:rPr>
                <w:color w:val="auto"/>
                <w:szCs w:val="21"/>
              </w:rPr>
              <w:t>Z</w:t>
            </w:r>
          </w:p>
        </w:tc>
      </w:tr>
      <w:tr w14:paraId="07E7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337C2C83">
            <w:pPr>
              <w:adjustRightInd w:val="0"/>
              <w:jc w:val="left"/>
              <w:rPr>
                <w:b/>
                <w:bCs/>
                <w:color w:val="auto"/>
                <w:szCs w:val="21"/>
              </w:rPr>
            </w:pPr>
            <w:r>
              <w:rPr>
                <w:b/>
                <w:bCs/>
                <w:color w:val="auto"/>
                <w:szCs w:val="21"/>
              </w:rPr>
              <w:t>XIIII 鸮形目 Strigiformes</w:t>
            </w:r>
          </w:p>
        </w:tc>
        <w:tc>
          <w:tcPr>
            <w:tcW w:w="0" w:type="auto"/>
            <w:tcBorders>
              <w:tl2br w:val="nil"/>
              <w:tr2bl w:val="nil"/>
            </w:tcBorders>
            <w:vAlign w:val="center"/>
          </w:tcPr>
          <w:p w14:paraId="3DC4600D">
            <w:pPr>
              <w:adjustRightInd w:val="0"/>
              <w:jc w:val="center"/>
              <w:rPr>
                <w:color w:val="auto"/>
                <w:szCs w:val="21"/>
              </w:rPr>
            </w:pPr>
          </w:p>
        </w:tc>
        <w:tc>
          <w:tcPr>
            <w:tcW w:w="0" w:type="auto"/>
            <w:tcBorders>
              <w:tl2br w:val="nil"/>
              <w:tr2bl w:val="nil"/>
            </w:tcBorders>
            <w:vAlign w:val="center"/>
          </w:tcPr>
          <w:p w14:paraId="31A5B0FC">
            <w:pPr>
              <w:adjustRightInd w:val="0"/>
              <w:jc w:val="center"/>
              <w:rPr>
                <w:color w:val="auto"/>
                <w:szCs w:val="21"/>
              </w:rPr>
            </w:pPr>
          </w:p>
        </w:tc>
        <w:tc>
          <w:tcPr>
            <w:tcW w:w="0" w:type="auto"/>
            <w:tcBorders>
              <w:tl2br w:val="nil"/>
              <w:tr2bl w:val="nil"/>
            </w:tcBorders>
            <w:vAlign w:val="center"/>
          </w:tcPr>
          <w:p w14:paraId="3C837A5B">
            <w:pPr>
              <w:adjustRightInd w:val="0"/>
              <w:jc w:val="center"/>
              <w:rPr>
                <w:color w:val="auto"/>
                <w:szCs w:val="21"/>
              </w:rPr>
            </w:pPr>
          </w:p>
        </w:tc>
        <w:tc>
          <w:tcPr>
            <w:tcW w:w="0" w:type="auto"/>
            <w:tcBorders>
              <w:tl2br w:val="nil"/>
              <w:tr2bl w:val="nil"/>
            </w:tcBorders>
            <w:vAlign w:val="center"/>
          </w:tcPr>
          <w:p w14:paraId="1AF9C17D">
            <w:pPr>
              <w:adjustRightInd w:val="0"/>
              <w:jc w:val="center"/>
              <w:rPr>
                <w:color w:val="auto"/>
                <w:szCs w:val="21"/>
              </w:rPr>
            </w:pPr>
          </w:p>
        </w:tc>
        <w:tc>
          <w:tcPr>
            <w:tcW w:w="0" w:type="auto"/>
            <w:tcBorders>
              <w:tl2br w:val="nil"/>
              <w:tr2bl w:val="nil"/>
            </w:tcBorders>
            <w:vAlign w:val="center"/>
          </w:tcPr>
          <w:p w14:paraId="7A80965F">
            <w:pPr>
              <w:adjustRightInd w:val="0"/>
              <w:jc w:val="center"/>
              <w:rPr>
                <w:color w:val="auto"/>
                <w:szCs w:val="21"/>
              </w:rPr>
            </w:pPr>
          </w:p>
        </w:tc>
        <w:tc>
          <w:tcPr>
            <w:tcW w:w="0" w:type="auto"/>
            <w:tcBorders>
              <w:tl2br w:val="nil"/>
              <w:tr2bl w:val="nil"/>
            </w:tcBorders>
            <w:vAlign w:val="center"/>
          </w:tcPr>
          <w:p w14:paraId="3215C308">
            <w:pPr>
              <w:adjustRightInd w:val="0"/>
              <w:jc w:val="center"/>
              <w:rPr>
                <w:color w:val="auto"/>
                <w:szCs w:val="21"/>
              </w:rPr>
            </w:pPr>
          </w:p>
        </w:tc>
      </w:tr>
      <w:tr w14:paraId="4A92B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5D3EB29">
            <w:pPr>
              <w:adjustRightInd w:val="0"/>
              <w:jc w:val="left"/>
              <w:rPr>
                <w:b/>
                <w:bCs/>
                <w:color w:val="auto"/>
                <w:szCs w:val="21"/>
              </w:rPr>
            </w:pPr>
            <w:r>
              <w:rPr>
                <w:b/>
                <w:bCs/>
                <w:color w:val="auto"/>
                <w:szCs w:val="21"/>
              </w:rPr>
              <w:t>（三十八）草鸮科 Tytonidae</w:t>
            </w:r>
          </w:p>
        </w:tc>
        <w:tc>
          <w:tcPr>
            <w:tcW w:w="0" w:type="auto"/>
            <w:tcBorders>
              <w:tl2br w:val="nil"/>
              <w:tr2bl w:val="nil"/>
            </w:tcBorders>
            <w:vAlign w:val="center"/>
          </w:tcPr>
          <w:p w14:paraId="0DF17377">
            <w:pPr>
              <w:adjustRightInd w:val="0"/>
              <w:jc w:val="center"/>
              <w:rPr>
                <w:color w:val="auto"/>
                <w:szCs w:val="21"/>
              </w:rPr>
            </w:pPr>
          </w:p>
        </w:tc>
        <w:tc>
          <w:tcPr>
            <w:tcW w:w="0" w:type="auto"/>
            <w:tcBorders>
              <w:tl2br w:val="nil"/>
              <w:tr2bl w:val="nil"/>
            </w:tcBorders>
            <w:vAlign w:val="center"/>
          </w:tcPr>
          <w:p w14:paraId="02E76178">
            <w:pPr>
              <w:adjustRightInd w:val="0"/>
              <w:jc w:val="center"/>
              <w:rPr>
                <w:color w:val="auto"/>
                <w:szCs w:val="21"/>
              </w:rPr>
            </w:pPr>
          </w:p>
        </w:tc>
        <w:tc>
          <w:tcPr>
            <w:tcW w:w="0" w:type="auto"/>
            <w:tcBorders>
              <w:tl2br w:val="nil"/>
              <w:tr2bl w:val="nil"/>
            </w:tcBorders>
            <w:vAlign w:val="center"/>
          </w:tcPr>
          <w:p w14:paraId="0192E5C8">
            <w:pPr>
              <w:adjustRightInd w:val="0"/>
              <w:jc w:val="center"/>
              <w:rPr>
                <w:color w:val="auto"/>
                <w:szCs w:val="21"/>
              </w:rPr>
            </w:pPr>
          </w:p>
        </w:tc>
        <w:tc>
          <w:tcPr>
            <w:tcW w:w="0" w:type="auto"/>
            <w:tcBorders>
              <w:tl2br w:val="nil"/>
              <w:tr2bl w:val="nil"/>
            </w:tcBorders>
            <w:vAlign w:val="center"/>
          </w:tcPr>
          <w:p w14:paraId="7B85CB13">
            <w:pPr>
              <w:adjustRightInd w:val="0"/>
              <w:jc w:val="center"/>
              <w:rPr>
                <w:color w:val="auto"/>
                <w:szCs w:val="21"/>
              </w:rPr>
            </w:pPr>
          </w:p>
        </w:tc>
        <w:tc>
          <w:tcPr>
            <w:tcW w:w="0" w:type="auto"/>
            <w:tcBorders>
              <w:tl2br w:val="nil"/>
              <w:tr2bl w:val="nil"/>
            </w:tcBorders>
            <w:vAlign w:val="center"/>
          </w:tcPr>
          <w:p w14:paraId="56CC8930">
            <w:pPr>
              <w:adjustRightInd w:val="0"/>
              <w:jc w:val="center"/>
              <w:rPr>
                <w:color w:val="auto"/>
                <w:szCs w:val="21"/>
              </w:rPr>
            </w:pPr>
          </w:p>
        </w:tc>
        <w:tc>
          <w:tcPr>
            <w:tcW w:w="0" w:type="auto"/>
            <w:tcBorders>
              <w:tl2br w:val="nil"/>
              <w:tr2bl w:val="nil"/>
            </w:tcBorders>
            <w:vAlign w:val="center"/>
          </w:tcPr>
          <w:p w14:paraId="7FB7D5D1">
            <w:pPr>
              <w:adjustRightInd w:val="0"/>
              <w:jc w:val="center"/>
              <w:rPr>
                <w:color w:val="auto"/>
                <w:szCs w:val="21"/>
              </w:rPr>
            </w:pPr>
          </w:p>
        </w:tc>
      </w:tr>
      <w:tr w14:paraId="142BD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7A3F1B87">
            <w:pPr>
              <w:adjustRightInd w:val="0"/>
              <w:jc w:val="left"/>
              <w:rPr>
                <w:color w:val="auto"/>
                <w:szCs w:val="21"/>
              </w:rPr>
            </w:pPr>
            <w:r>
              <w:rPr>
                <w:color w:val="auto"/>
                <w:szCs w:val="21"/>
              </w:rPr>
              <w:t xml:space="preserve">110 草鸮 </w:t>
            </w:r>
            <w:r>
              <w:rPr>
                <w:i/>
                <w:iCs/>
                <w:color w:val="auto"/>
                <w:szCs w:val="21"/>
              </w:rPr>
              <w:t>Tyto longimembris</w:t>
            </w:r>
          </w:p>
        </w:tc>
        <w:tc>
          <w:tcPr>
            <w:tcW w:w="0" w:type="auto"/>
            <w:tcBorders>
              <w:tl2br w:val="nil"/>
              <w:tr2bl w:val="nil"/>
            </w:tcBorders>
            <w:vAlign w:val="center"/>
          </w:tcPr>
          <w:p w14:paraId="620FF3FD">
            <w:pPr>
              <w:adjustRightInd w:val="0"/>
              <w:jc w:val="center"/>
              <w:rPr>
                <w:color w:val="auto"/>
                <w:szCs w:val="21"/>
              </w:rPr>
            </w:pPr>
            <w:r>
              <w:rPr>
                <w:color w:val="auto"/>
                <w:szCs w:val="21"/>
              </w:rPr>
              <w:t>R</w:t>
            </w:r>
          </w:p>
        </w:tc>
        <w:tc>
          <w:tcPr>
            <w:tcW w:w="0" w:type="auto"/>
            <w:tcBorders>
              <w:tl2br w:val="nil"/>
              <w:tr2bl w:val="nil"/>
            </w:tcBorders>
            <w:vAlign w:val="center"/>
          </w:tcPr>
          <w:p w14:paraId="19102B1F">
            <w:pPr>
              <w:adjustRightInd w:val="0"/>
              <w:jc w:val="center"/>
              <w:rPr>
                <w:color w:val="auto"/>
                <w:szCs w:val="21"/>
              </w:rPr>
            </w:pPr>
            <w:r>
              <w:rPr>
                <w:color w:val="auto"/>
                <w:szCs w:val="21"/>
              </w:rPr>
              <w:t>C</w:t>
            </w:r>
          </w:p>
        </w:tc>
        <w:tc>
          <w:tcPr>
            <w:tcW w:w="0" w:type="auto"/>
            <w:tcBorders>
              <w:tl2br w:val="nil"/>
              <w:tr2bl w:val="nil"/>
            </w:tcBorders>
            <w:vAlign w:val="center"/>
          </w:tcPr>
          <w:p w14:paraId="1C53018E">
            <w:pPr>
              <w:adjustRightInd w:val="0"/>
              <w:jc w:val="center"/>
              <w:rPr>
                <w:color w:val="auto"/>
                <w:szCs w:val="21"/>
              </w:rPr>
            </w:pPr>
          </w:p>
        </w:tc>
        <w:tc>
          <w:tcPr>
            <w:tcW w:w="0" w:type="auto"/>
            <w:tcBorders>
              <w:tl2br w:val="nil"/>
              <w:tr2bl w:val="nil"/>
            </w:tcBorders>
            <w:vAlign w:val="center"/>
          </w:tcPr>
          <w:p w14:paraId="376F6E64">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48EAC8F2">
            <w:pPr>
              <w:adjustRightInd w:val="0"/>
              <w:jc w:val="center"/>
              <w:rPr>
                <w:color w:val="auto"/>
                <w:szCs w:val="21"/>
              </w:rPr>
            </w:pPr>
            <w:r>
              <w:rPr>
                <w:color w:val="auto"/>
                <w:szCs w:val="21"/>
              </w:rPr>
              <w:t>NT</w:t>
            </w:r>
          </w:p>
        </w:tc>
        <w:tc>
          <w:tcPr>
            <w:tcW w:w="0" w:type="auto"/>
            <w:tcBorders>
              <w:tl2br w:val="nil"/>
              <w:tr2bl w:val="nil"/>
            </w:tcBorders>
            <w:vAlign w:val="center"/>
          </w:tcPr>
          <w:p w14:paraId="722BC4DA">
            <w:pPr>
              <w:adjustRightInd w:val="0"/>
              <w:jc w:val="center"/>
              <w:rPr>
                <w:color w:val="auto"/>
                <w:szCs w:val="21"/>
              </w:rPr>
            </w:pPr>
            <w:r>
              <w:rPr>
                <w:color w:val="auto"/>
                <w:szCs w:val="21"/>
              </w:rPr>
              <w:t>Z</w:t>
            </w:r>
          </w:p>
        </w:tc>
      </w:tr>
      <w:tr w14:paraId="2C91C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FE457DE">
            <w:pPr>
              <w:adjustRightInd w:val="0"/>
              <w:jc w:val="left"/>
              <w:rPr>
                <w:color w:val="auto"/>
                <w:szCs w:val="21"/>
              </w:rPr>
            </w:pPr>
            <w:r>
              <w:rPr>
                <w:b/>
                <w:bCs/>
                <w:color w:val="auto"/>
                <w:szCs w:val="21"/>
              </w:rPr>
              <w:t>（三十九）鸱鸮科 Strigidae</w:t>
            </w:r>
          </w:p>
        </w:tc>
        <w:tc>
          <w:tcPr>
            <w:tcW w:w="0" w:type="auto"/>
            <w:tcBorders>
              <w:tl2br w:val="nil"/>
              <w:tr2bl w:val="nil"/>
            </w:tcBorders>
            <w:vAlign w:val="center"/>
          </w:tcPr>
          <w:p w14:paraId="260BDDAE">
            <w:pPr>
              <w:adjustRightInd w:val="0"/>
              <w:jc w:val="center"/>
              <w:rPr>
                <w:color w:val="auto"/>
                <w:szCs w:val="21"/>
              </w:rPr>
            </w:pPr>
          </w:p>
        </w:tc>
        <w:tc>
          <w:tcPr>
            <w:tcW w:w="0" w:type="auto"/>
            <w:tcBorders>
              <w:tl2br w:val="nil"/>
              <w:tr2bl w:val="nil"/>
            </w:tcBorders>
            <w:vAlign w:val="center"/>
          </w:tcPr>
          <w:p w14:paraId="304423C5">
            <w:pPr>
              <w:adjustRightInd w:val="0"/>
              <w:jc w:val="center"/>
              <w:rPr>
                <w:color w:val="auto"/>
                <w:szCs w:val="21"/>
              </w:rPr>
            </w:pPr>
          </w:p>
        </w:tc>
        <w:tc>
          <w:tcPr>
            <w:tcW w:w="0" w:type="auto"/>
            <w:tcBorders>
              <w:tl2br w:val="nil"/>
              <w:tr2bl w:val="nil"/>
            </w:tcBorders>
            <w:vAlign w:val="center"/>
          </w:tcPr>
          <w:p w14:paraId="411D01F3">
            <w:pPr>
              <w:adjustRightInd w:val="0"/>
              <w:jc w:val="center"/>
              <w:rPr>
                <w:color w:val="auto"/>
                <w:szCs w:val="21"/>
              </w:rPr>
            </w:pPr>
          </w:p>
        </w:tc>
        <w:tc>
          <w:tcPr>
            <w:tcW w:w="0" w:type="auto"/>
            <w:tcBorders>
              <w:tl2br w:val="nil"/>
              <w:tr2bl w:val="nil"/>
            </w:tcBorders>
            <w:vAlign w:val="center"/>
          </w:tcPr>
          <w:p w14:paraId="10E0A8C3">
            <w:pPr>
              <w:adjustRightInd w:val="0"/>
              <w:jc w:val="center"/>
              <w:rPr>
                <w:color w:val="auto"/>
                <w:szCs w:val="21"/>
              </w:rPr>
            </w:pPr>
          </w:p>
        </w:tc>
        <w:tc>
          <w:tcPr>
            <w:tcW w:w="0" w:type="auto"/>
            <w:tcBorders>
              <w:tl2br w:val="nil"/>
              <w:tr2bl w:val="nil"/>
            </w:tcBorders>
            <w:vAlign w:val="center"/>
          </w:tcPr>
          <w:p w14:paraId="15B70062">
            <w:pPr>
              <w:adjustRightInd w:val="0"/>
              <w:jc w:val="center"/>
              <w:rPr>
                <w:color w:val="auto"/>
                <w:szCs w:val="21"/>
              </w:rPr>
            </w:pPr>
          </w:p>
        </w:tc>
        <w:tc>
          <w:tcPr>
            <w:tcW w:w="0" w:type="auto"/>
            <w:tcBorders>
              <w:tl2br w:val="nil"/>
              <w:tr2bl w:val="nil"/>
            </w:tcBorders>
            <w:vAlign w:val="center"/>
          </w:tcPr>
          <w:p w14:paraId="28966447">
            <w:pPr>
              <w:adjustRightInd w:val="0"/>
              <w:jc w:val="center"/>
              <w:rPr>
                <w:color w:val="auto"/>
                <w:szCs w:val="21"/>
              </w:rPr>
            </w:pPr>
          </w:p>
        </w:tc>
      </w:tr>
      <w:tr w14:paraId="16EC4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6F60B9D3">
            <w:pPr>
              <w:adjustRightInd w:val="0"/>
              <w:jc w:val="left"/>
              <w:rPr>
                <w:color w:val="auto"/>
                <w:szCs w:val="21"/>
              </w:rPr>
            </w:pPr>
            <w:r>
              <w:rPr>
                <w:color w:val="auto"/>
                <w:szCs w:val="21"/>
              </w:rPr>
              <w:t xml:space="preserve">111 领角鸮 </w:t>
            </w:r>
            <w:r>
              <w:rPr>
                <w:i/>
                <w:iCs/>
                <w:color w:val="auto"/>
                <w:szCs w:val="21"/>
              </w:rPr>
              <w:t>Otus bakkamoena</w:t>
            </w:r>
          </w:p>
        </w:tc>
        <w:tc>
          <w:tcPr>
            <w:tcW w:w="0" w:type="auto"/>
            <w:tcBorders>
              <w:tl2br w:val="nil"/>
              <w:tr2bl w:val="nil"/>
            </w:tcBorders>
            <w:vAlign w:val="center"/>
          </w:tcPr>
          <w:p w14:paraId="6CC5CE3C">
            <w:pPr>
              <w:adjustRightInd w:val="0"/>
              <w:jc w:val="center"/>
              <w:rPr>
                <w:color w:val="auto"/>
                <w:szCs w:val="21"/>
              </w:rPr>
            </w:pPr>
            <w:r>
              <w:rPr>
                <w:color w:val="auto"/>
                <w:szCs w:val="21"/>
              </w:rPr>
              <w:t>R</w:t>
            </w:r>
          </w:p>
        </w:tc>
        <w:tc>
          <w:tcPr>
            <w:tcW w:w="0" w:type="auto"/>
            <w:tcBorders>
              <w:tl2br w:val="nil"/>
              <w:tr2bl w:val="nil"/>
            </w:tcBorders>
            <w:vAlign w:val="center"/>
          </w:tcPr>
          <w:p w14:paraId="7B85B3ED">
            <w:pPr>
              <w:adjustRightInd w:val="0"/>
              <w:jc w:val="center"/>
              <w:rPr>
                <w:color w:val="auto"/>
                <w:szCs w:val="21"/>
              </w:rPr>
            </w:pPr>
            <w:r>
              <w:rPr>
                <w:color w:val="auto"/>
                <w:szCs w:val="21"/>
              </w:rPr>
              <w:t>C</w:t>
            </w:r>
          </w:p>
        </w:tc>
        <w:tc>
          <w:tcPr>
            <w:tcW w:w="0" w:type="auto"/>
            <w:tcBorders>
              <w:tl2br w:val="nil"/>
              <w:tr2bl w:val="nil"/>
            </w:tcBorders>
            <w:vAlign w:val="center"/>
          </w:tcPr>
          <w:p w14:paraId="53548D19">
            <w:pPr>
              <w:adjustRightInd w:val="0"/>
              <w:jc w:val="center"/>
              <w:rPr>
                <w:color w:val="auto"/>
                <w:szCs w:val="21"/>
              </w:rPr>
            </w:pPr>
          </w:p>
        </w:tc>
        <w:tc>
          <w:tcPr>
            <w:tcW w:w="0" w:type="auto"/>
            <w:tcBorders>
              <w:tl2br w:val="nil"/>
              <w:tr2bl w:val="nil"/>
            </w:tcBorders>
            <w:vAlign w:val="center"/>
          </w:tcPr>
          <w:p w14:paraId="6DB5D79D">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741D9293">
            <w:pPr>
              <w:adjustRightInd w:val="0"/>
              <w:jc w:val="center"/>
              <w:rPr>
                <w:color w:val="auto"/>
                <w:szCs w:val="21"/>
              </w:rPr>
            </w:pPr>
            <w:r>
              <w:rPr>
                <w:color w:val="auto"/>
                <w:szCs w:val="21"/>
              </w:rPr>
              <w:t>LC</w:t>
            </w:r>
          </w:p>
        </w:tc>
        <w:tc>
          <w:tcPr>
            <w:tcW w:w="0" w:type="auto"/>
            <w:tcBorders>
              <w:tl2br w:val="nil"/>
              <w:tr2bl w:val="nil"/>
            </w:tcBorders>
            <w:vAlign w:val="center"/>
          </w:tcPr>
          <w:p w14:paraId="2D8D0B03">
            <w:pPr>
              <w:adjustRightInd w:val="0"/>
              <w:jc w:val="center"/>
              <w:rPr>
                <w:color w:val="auto"/>
                <w:szCs w:val="21"/>
              </w:rPr>
            </w:pPr>
            <w:r>
              <w:rPr>
                <w:color w:val="auto"/>
                <w:szCs w:val="21"/>
              </w:rPr>
              <w:t>Z</w:t>
            </w:r>
          </w:p>
        </w:tc>
      </w:tr>
      <w:tr w14:paraId="32BEA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010A4812">
            <w:pPr>
              <w:adjustRightInd w:val="0"/>
              <w:jc w:val="left"/>
              <w:rPr>
                <w:color w:val="auto"/>
                <w:szCs w:val="21"/>
              </w:rPr>
            </w:pPr>
            <w:r>
              <w:rPr>
                <w:color w:val="auto"/>
                <w:szCs w:val="21"/>
              </w:rPr>
              <w:t xml:space="preserve">112 领鸺鹠 </w:t>
            </w:r>
            <w:r>
              <w:rPr>
                <w:i/>
                <w:iCs/>
                <w:color w:val="auto"/>
                <w:szCs w:val="21"/>
              </w:rPr>
              <w:t>Glaucidium brodiei</w:t>
            </w:r>
          </w:p>
        </w:tc>
        <w:tc>
          <w:tcPr>
            <w:tcW w:w="0" w:type="auto"/>
            <w:tcBorders>
              <w:tl2br w:val="nil"/>
              <w:tr2bl w:val="nil"/>
            </w:tcBorders>
            <w:vAlign w:val="center"/>
          </w:tcPr>
          <w:p w14:paraId="027B83AE">
            <w:pPr>
              <w:adjustRightInd w:val="0"/>
              <w:jc w:val="center"/>
              <w:rPr>
                <w:color w:val="auto"/>
                <w:szCs w:val="21"/>
              </w:rPr>
            </w:pPr>
            <w:r>
              <w:rPr>
                <w:color w:val="auto"/>
                <w:szCs w:val="21"/>
              </w:rPr>
              <w:t>R</w:t>
            </w:r>
          </w:p>
        </w:tc>
        <w:tc>
          <w:tcPr>
            <w:tcW w:w="0" w:type="auto"/>
            <w:tcBorders>
              <w:tl2br w:val="nil"/>
              <w:tr2bl w:val="nil"/>
            </w:tcBorders>
            <w:vAlign w:val="center"/>
          </w:tcPr>
          <w:p w14:paraId="577752F9">
            <w:pPr>
              <w:adjustRightInd w:val="0"/>
              <w:jc w:val="center"/>
              <w:rPr>
                <w:color w:val="auto"/>
                <w:szCs w:val="21"/>
              </w:rPr>
            </w:pPr>
            <w:r>
              <w:rPr>
                <w:color w:val="auto"/>
                <w:szCs w:val="21"/>
              </w:rPr>
              <w:t>C</w:t>
            </w:r>
          </w:p>
        </w:tc>
        <w:tc>
          <w:tcPr>
            <w:tcW w:w="0" w:type="auto"/>
            <w:tcBorders>
              <w:tl2br w:val="nil"/>
              <w:tr2bl w:val="nil"/>
            </w:tcBorders>
            <w:vAlign w:val="center"/>
          </w:tcPr>
          <w:p w14:paraId="17B6F89B">
            <w:pPr>
              <w:adjustRightInd w:val="0"/>
              <w:jc w:val="center"/>
              <w:rPr>
                <w:color w:val="auto"/>
                <w:szCs w:val="21"/>
              </w:rPr>
            </w:pPr>
          </w:p>
        </w:tc>
        <w:tc>
          <w:tcPr>
            <w:tcW w:w="0" w:type="auto"/>
            <w:tcBorders>
              <w:tl2br w:val="nil"/>
              <w:tr2bl w:val="nil"/>
            </w:tcBorders>
            <w:vAlign w:val="center"/>
          </w:tcPr>
          <w:p w14:paraId="616C0AE1">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08EA38E7">
            <w:pPr>
              <w:adjustRightInd w:val="0"/>
              <w:jc w:val="center"/>
              <w:rPr>
                <w:color w:val="auto"/>
                <w:szCs w:val="21"/>
              </w:rPr>
            </w:pPr>
            <w:r>
              <w:rPr>
                <w:color w:val="auto"/>
                <w:szCs w:val="21"/>
              </w:rPr>
              <w:t>LC</w:t>
            </w:r>
          </w:p>
        </w:tc>
        <w:tc>
          <w:tcPr>
            <w:tcW w:w="0" w:type="auto"/>
            <w:tcBorders>
              <w:tl2br w:val="nil"/>
              <w:tr2bl w:val="nil"/>
            </w:tcBorders>
            <w:vAlign w:val="center"/>
          </w:tcPr>
          <w:p w14:paraId="1C959D42">
            <w:pPr>
              <w:adjustRightInd w:val="0"/>
              <w:jc w:val="center"/>
              <w:rPr>
                <w:color w:val="auto"/>
                <w:szCs w:val="21"/>
              </w:rPr>
            </w:pPr>
            <w:r>
              <w:rPr>
                <w:color w:val="auto"/>
                <w:szCs w:val="21"/>
              </w:rPr>
              <w:t>Z</w:t>
            </w:r>
          </w:p>
        </w:tc>
      </w:tr>
      <w:tr w14:paraId="1EC59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14:paraId="58321BE3">
            <w:pPr>
              <w:adjustRightInd w:val="0"/>
              <w:jc w:val="left"/>
              <w:rPr>
                <w:color w:val="auto"/>
                <w:szCs w:val="21"/>
              </w:rPr>
            </w:pPr>
            <w:r>
              <w:rPr>
                <w:color w:val="auto"/>
                <w:szCs w:val="21"/>
              </w:rPr>
              <w:t xml:space="preserve">113 短耳鸮 </w:t>
            </w:r>
            <w:r>
              <w:rPr>
                <w:i/>
                <w:iCs/>
                <w:color w:val="auto"/>
                <w:szCs w:val="21"/>
              </w:rPr>
              <w:t>Asio flammeus</w:t>
            </w:r>
          </w:p>
        </w:tc>
        <w:tc>
          <w:tcPr>
            <w:tcW w:w="0" w:type="auto"/>
            <w:tcBorders>
              <w:tl2br w:val="nil"/>
              <w:tr2bl w:val="nil"/>
            </w:tcBorders>
            <w:vAlign w:val="center"/>
          </w:tcPr>
          <w:p w14:paraId="1564B1BA">
            <w:pPr>
              <w:adjustRightInd w:val="0"/>
              <w:jc w:val="center"/>
              <w:rPr>
                <w:color w:val="auto"/>
                <w:szCs w:val="21"/>
              </w:rPr>
            </w:pPr>
            <w:r>
              <w:rPr>
                <w:color w:val="auto"/>
                <w:szCs w:val="21"/>
              </w:rPr>
              <w:t>R</w:t>
            </w:r>
          </w:p>
        </w:tc>
        <w:tc>
          <w:tcPr>
            <w:tcW w:w="0" w:type="auto"/>
            <w:tcBorders>
              <w:tl2br w:val="nil"/>
              <w:tr2bl w:val="nil"/>
            </w:tcBorders>
            <w:vAlign w:val="center"/>
          </w:tcPr>
          <w:p w14:paraId="5302F360">
            <w:pPr>
              <w:adjustRightInd w:val="0"/>
              <w:jc w:val="center"/>
              <w:rPr>
                <w:color w:val="auto"/>
                <w:szCs w:val="21"/>
              </w:rPr>
            </w:pPr>
            <w:r>
              <w:rPr>
                <w:color w:val="auto"/>
                <w:szCs w:val="21"/>
              </w:rPr>
              <w:t>C</w:t>
            </w:r>
          </w:p>
        </w:tc>
        <w:tc>
          <w:tcPr>
            <w:tcW w:w="0" w:type="auto"/>
            <w:tcBorders>
              <w:tl2br w:val="nil"/>
              <w:tr2bl w:val="nil"/>
            </w:tcBorders>
            <w:vAlign w:val="center"/>
          </w:tcPr>
          <w:p w14:paraId="333F9CAB">
            <w:pPr>
              <w:adjustRightInd w:val="0"/>
              <w:jc w:val="center"/>
              <w:rPr>
                <w:color w:val="auto"/>
                <w:szCs w:val="21"/>
              </w:rPr>
            </w:pPr>
          </w:p>
        </w:tc>
        <w:tc>
          <w:tcPr>
            <w:tcW w:w="0" w:type="auto"/>
            <w:tcBorders>
              <w:tl2br w:val="nil"/>
              <w:tr2bl w:val="nil"/>
            </w:tcBorders>
            <w:vAlign w:val="center"/>
          </w:tcPr>
          <w:p w14:paraId="2A6A0A17">
            <w:pPr>
              <w:adjustRightInd w:val="0"/>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kern w:val="0"/>
                <w:szCs w:val="21"/>
              </w:rPr>
              <w:t>II</w:t>
            </w:r>
            <w:r>
              <w:rPr>
                <w:color w:val="auto"/>
                <w:szCs w:val="21"/>
              </w:rPr>
              <w:fldChar w:fldCharType="end"/>
            </w:r>
          </w:p>
        </w:tc>
        <w:tc>
          <w:tcPr>
            <w:tcW w:w="0" w:type="auto"/>
            <w:tcBorders>
              <w:tl2br w:val="nil"/>
              <w:tr2bl w:val="nil"/>
            </w:tcBorders>
            <w:vAlign w:val="center"/>
          </w:tcPr>
          <w:p w14:paraId="4111D026">
            <w:pPr>
              <w:adjustRightInd w:val="0"/>
              <w:jc w:val="center"/>
              <w:rPr>
                <w:color w:val="auto"/>
                <w:szCs w:val="21"/>
              </w:rPr>
            </w:pPr>
            <w:r>
              <w:rPr>
                <w:color w:val="auto"/>
                <w:szCs w:val="21"/>
              </w:rPr>
              <w:t>NT</w:t>
            </w:r>
          </w:p>
        </w:tc>
        <w:tc>
          <w:tcPr>
            <w:tcW w:w="0" w:type="auto"/>
            <w:tcBorders>
              <w:tl2br w:val="nil"/>
              <w:tr2bl w:val="nil"/>
            </w:tcBorders>
            <w:vAlign w:val="center"/>
          </w:tcPr>
          <w:p w14:paraId="636B19B2">
            <w:pPr>
              <w:adjustRightInd w:val="0"/>
              <w:jc w:val="center"/>
              <w:rPr>
                <w:color w:val="auto"/>
                <w:szCs w:val="21"/>
              </w:rPr>
            </w:pPr>
            <w:r>
              <w:rPr>
                <w:color w:val="auto"/>
                <w:szCs w:val="21"/>
              </w:rPr>
              <w:t>Z</w:t>
            </w:r>
          </w:p>
        </w:tc>
      </w:tr>
      <w:tr w14:paraId="241C8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gridSpan w:val="7"/>
            <w:tcBorders>
              <w:tl2br w:val="nil"/>
              <w:tr2bl w:val="nil"/>
            </w:tcBorders>
            <w:vAlign w:val="center"/>
          </w:tcPr>
          <w:p w14:paraId="1E4A5145">
            <w:pPr>
              <w:adjustRightInd w:val="0"/>
              <w:ind w:firstLine="420" w:firstLineChars="200"/>
              <w:rPr>
                <w:color w:val="auto"/>
                <w:szCs w:val="21"/>
              </w:rPr>
            </w:pPr>
            <w:r>
              <w:rPr>
                <w:color w:val="auto"/>
                <w:szCs w:val="21"/>
              </w:rPr>
              <w:t>注：*—中国特有种。动物区系：P—古北界，O—东洋界，C—广布种。居留类型：R—留鸟，W—冬候鸟，S—夏候鸟或繁殖鸟。保护等级：三有-有重要生态、科学、社会价值的陆生野生动物；湘-湖南省重点保护野生动物。濒危等级：EN-濒危、VU-易危、NT-近危、LC-无危。收录依据：K-实物照片或标本；F-访问记录；Z-文献记录。</w:t>
            </w:r>
          </w:p>
        </w:tc>
      </w:tr>
    </w:tbl>
    <w:p w14:paraId="75AF63CF">
      <w:pPr>
        <w:adjustRightInd w:val="0"/>
        <w:spacing w:line="360" w:lineRule="auto"/>
        <w:jc w:val="left"/>
        <w:outlineLvl w:val="3"/>
        <w:rPr>
          <w:b/>
          <w:bCs/>
          <w:color w:val="auto"/>
          <w:sz w:val="24"/>
        </w:rPr>
      </w:pPr>
      <w:r>
        <w:rPr>
          <w:rFonts w:hint="eastAsia"/>
          <w:b/>
          <w:bCs/>
          <w:color w:val="auto"/>
          <w:sz w:val="24"/>
        </w:rPr>
        <w:t>3.</w:t>
      </w:r>
      <w:r>
        <w:rPr>
          <w:b/>
          <w:bCs/>
          <w:color w:val="auto"/>
          <w:sz w:val="24"/>
        </w:rPr>
        <w:t>7.2.4哺乳类</w:t>
      </w:r>
    </w:p>
    <w:p w14:paraId="6494ED30">
      <w:pPr>
        <w:spacing w:line="360" w:lineRule="auto"/>
        <w:ind w:firstLine="480" w:firstLineChars="200"/>
        <w:rPr>
          <w:color w:val="auto"/>
          <w:kern w:val="0"/>
          <w:sz w:val="24"/>
        </w:rPr>
      </w:pPr>
      <w:r>
        <w:rPr>
          <w:color w:val="auto"/>
          <w:kern w:val="0"/>
          <w:sz w:val="24"/>
        </w:rPr>
        <w:t>通过实地调查和参考相关资料，评价区共记录哺乳动物12种，隶属于5目8科（表</w:t>
      </w:r>
      <w:r>
        <w:rPr>
          <w:rFonts w:hint="eastAsia"/>
          <w:color w:val="auto"/>
          <w:kern w:val="0"/>
          <w:sz w:val="24"/>
        </w:rPr>
        <w:t>3.</w:t>
      </w:r>
      <w:r>
        <w:rPr>
          <w:color w:val="auto"/>
          <w:kern w:val="0"/>
          <w:sz w:val="24"/>
        </w:rPr>
        <w:t>7-</w:t>
      </w:r>
      <w:r>
        <w:rPr>
          <w:rFonts w:hint="eastAsia"/>
          <w:color w:val="auto"/>
          <w:kern w:val="0"/>
          <w:sz w:val="24"/>
        </w:rPr>
        <w:t>3</w:t>
      </w:r>
      <w:r>
        <w:rPr>
          <w:color w:val="auto"/>
          <w:kern w:val="0"/>
          <w:sz w:val="24"/>
        </w:rPr>
        <w:t>），占湖南省104种哺乳动物的11.54%。统计得出，有4种哺乳动物属于</w:t>
      </w:r>
      <w:r>
        <w:rPr>
          <w:rFonts w:hint="eastAsia"/>
          <w:color w:val="auto"/>
          <w:kern w:val="0"/>
          <w:sz w:val="24"/>
        </w:rPr>
        <w:t>“</w:t>
      </w:r>
      <w:r>
        <w:rPr>
          <w:color w:val="auto"/>
          <w:kern w:val="0"/>
          <w:sz w:val="24"/>
        </w:rPr>
        <w:t>有重要生态、科学、社会价值的陆生野生动物</w:t>
      </w:r>
      <w:r>
        <w:rPr>
          <w:rFonts w:hint="eastAsia"/>
          <w:color w:val="auto"/>
          <w:kern w:val="0"/>
          <w:sz w:val="24"/>
        </w:rPr>
        <w:t>”</w:t>
      </w:r>
      <w:r>
        <w:rPr>
          <w:color w:val="auto"/>
          <w:kern w:val="0"/>
          <w:sz w:val="24"/>
        </w:rPr>
        <w:t>，6种哺乳动物被列入《湖南省地方种重点保护野生动物名录》。根据《中国脊椎动物红色名录》（蒋志刚，2016），评价区哺乳动物被列为近危的有2种，即喜马拉雅水麝鼩和鼬獾，其余均被列为无危。</w:t>
      </w:r>
    </w:p>
    <w:p w14:paraId="405C4758">
      <w:pPr>
        <w:jc w:val="center"/>
        <w:rPr>
          <w:b/>
          <w:bCs/>
          <w:color w:val="auto"/>
          <w:szCs w:val="21"/>
        </w:rPr>
      </w:pPr>
      <w:r>
        <w:rPr>
          <w:b/>
          <w:bCs/>
          <w:color w:val="auto"/>
          <w:szCs w:val="21"/>
        </w:rPr>
        <w:t>表</w:t>
      </w:r>
      <w:r>
        <w:rPr>
          <w:rFonts w:hint="eastAsia"/>
          <w:b/>
          <w:bCs/>
          <w:color w:val="auto"/>
          <w:szCs w:val="21"/>
        </w:rPr>
        <w:t>3.</w:t>
      </w:r>
      <w:r>
        <w:rPr>
          <w:b/>
          <w:bCs/>
          <w:color w:val="auto"/>
          <w:szCs w:val="21"/>
        </w:rPr>
        <w:t>7-</w:t>
      </w:r>
      <w:r>
        <w:rPr>
          <w:rFonts w:hint="eastAsia"/>
          <w:b/>
          <w:bCs/>
          <w:color w:val="auto"/>
          <w:szCs w:val="21"/>
        </w:rPr>
        <w:t>3</w:t>
      </w:r>
      <w:r>
        <w:rPr>
          <w:b/>
          <w:bCs/>
          <w:color w:val="auto"/>
          <w:szCs w:val="21"/>
        </w:rPr>
        <w:t xml:space="preserve">   评价区哺乳类名录</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621"/>
        <w:gridCol w:w="479"/>
        <w:gridCol w:w="473"/>
        <w:gridCol w:w="473"/>
        <w:gridCol w:w="5"/>
        <w:gridCol w:w="1237"/>
        <w:gridCol w:w="630"/>
        <w:gridCol w:w="596"/>
      </w:tblGrid>
      <w:tr w14:paraId="411E8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vMerge w:val="restart"/>
            <w:tcBorders>
              <w:tl2br w:val="nil"/>
              <w:tr2bl w:val="nil"/>
            </w:tcBorders>
            <w:vAlign w:val="center"/>
          </w:tcPr>
          <w:p w14:paraId="2F29CCF1">
            <w:pPr>
              <w:adjustRightInd w:val="0"/>
              <w:jc w:val="center"/>
              <w:rPr>
                <w:b/>
                <w:bCs/>
                <w:color w:val="auto"/>
                <w:szCs w:val="21"/>
              </w:rPr>
            </w:pPr>
            <w:r>
              <w:rPr>
                <w:b/>
                <w:bCs/>
                <w:color w:val="auto"/>
                <w:szCs w:val="21"/>
              </w:rPr>
              <w:t>分类地位、物种名称</w:t>
            </w:r>
          </w:p>
        </w:tc>
        <w:tc>
          <w:tcPr>
            <w:tcW w:w="840" w:type="pct"/>
            <w:gridSpan w:val="4"/>
            <w:tcBorders>
              <w:tl2br w:val="nil"/>
              <w:tr2bl w:val="nil"/>
            </w:tcBorders>
            <w:vAlign w:val="center"/>
          </w:tcPr>
          <w:p w14:paraId="71A80873">
            <w:pPr>
              <w:adjustRightInd w:val="0"/>
              <w:jc w:val="center"/>
              <w:rPr>
                <w:b/>
                <w:bCs/>
                <w:color w:val="auto"/>
                <w:szCs w:val="21"/>
              </w:rPr>
            </w:pPr>
            <w:r>
              <w:rPr>
                <w:b/>
                <w:bCs/>
                <w:color w:val="auto"/>
                <w:szCs w:val="21"/>
              </w:rPr>
              <w:t>动物区系</w:t>
            </w:r>
          </w:p>
        </w:tc>
        <w:tc>
          <w:tcPr>
            <w:tcW w:w="726" w:type="pct"/>
            <w:vMerge w:val="restart"/>
            <w:tcBorders>
              <w:tl2br w:val="nil"/>
              <w:tr2bl w:val="nil"/>
            </w:tcBorders>
            <w:vAlign w:val="center"/>
          </w:tcPr>
          <w:p w14:paraId="565907E1">
            <w:pPr>
              <w:adjustRightInd w:val="0"/>
              <w:jc w:val="center"/>
              <w:rPr>
                <w:b/>
                <w:bCs/>
                <w:color w:val="auto"/>
                <w:szCs w:val="21"/>
              </w:rPr>
            </w:pPr>
            <w:r>
              <w:rPr>
                <w:b/>
                <w:bCs/>
                <w:color w:val="auto"/>
                <w:szCs w:val="21"/>
              </w:rPr>
              <w:t>保护等级</w:t>
            </w:r>
          </w:p>
        </w:tc>
        <w:tc>
          <w:tcPr>
            <w:tcW w:w="369" w:type="pct"/>
            <w:vMerge w:val="restart"/>
            <w:tcBorders>
              <w:tl2br w:val="nil"/>
              <w:tr2bl w:val="nil"/>
            </w:tcBorders>
            <w:vAlign w:val="center"/>
          </w:tcPr>
          <w:p w14:paraId="3090365B">
            <w:pPr>
              <w:adjustRightInd w:val="0"/>
              <w:jc w:val="center"/>
              <w:rPr>
                <w:b/>
                <w:bCs/>
                <w:color w:val="auto"/>
                <w:szCs w:val="21"/>
              </w:rPr>
            </w:pPr>
            <w:r>
              <w:rPr>
                <w:b/>
                <w:bCs/>
                <w:color w:val="auto"/>
                <w:szCs w:val="21"/>
              </w:rPr>
              <w:t>濒危等级</w:t>
            </w:r>
          </w:p>
        </w:tc>
        <w:tc>
          <w:tcPr>
            <w:tcW w:w="350" w:type="pct"/>
            <w:vMerge w:val="restart"/>
            <w:tcBorders>
              <w:tl2br w:val="nil"/>
              <w:tr2bl w:val="nil"/>
            </w:tcBorders>
            <w:vAlign w:val="center"/>
          </w:tcPr>
          <w:p w14:paraId="2781FEF4">
            <w:pPr>
              <w:adjustRightInd w:val="0"/>
              <w:jc w:val="center"/>
              <w:rPr>
                <w:b/>
                <w:bCs/>
                <w:color w:val="auto"/>
                <w:szCs w:val="21"/>
              </w:rPr>
            </w:pPr>
            <w:r>
              <w:rPr>
                <w:b/>
                <w:bCs/>
                <w:color w:val="auto"/>
                <w:szCs w:val="21"/>
              </w:rPr>
              <w:t>调查方式</w:t>
            </w:r>
          </w:p>
        </w:tc>
      </w:tr>
      <w:tr w14:paraId="070B69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vMerge w:val="continue"/>
            <w:tcBorders>
              <w:tl2br w:val="nil"/>
              <w:tr2bl w:val="nil"/>
            </w:tcBorders>
            <w:vAlign w:val="center"/>
          </w:tcPr>
          <w:p w14:paraId="4BD9303E">
            <w:pPr>
              <w:adjustRightInd w:val="0"/>
              <w:jc w:val="center"/>
              <w:rPr>
                <w:b/>
                <w:bCs/>
                <w:color w:val="auto"/>
                <w:szCs w:val="21"/>
              </w:rPr>
            </w:pPr>
          </w:p>
        </w:tc>
        <w:tc>
          <w:tcPr>
            <w:tcW w:w="281" w:type="pct"/>
            <w:tcBorders>
              <w:tl2br w:val="nil"/>
              <w:tr2bl w:val="nil"/>
            </w:tcBorders>
            <w:vAlign w:val="center"/>
          </w:tcPr>
          <w:p w14:paraId="661C9675">
            <w:pPr>
              <w:adjustRightInd w:val="0"/>
              <w:jc w:val="center"/>
              <w:rPr>
                <w:b/>
                <w:bCs/>
                <w:color w:val="auto"/>
                <w:szCs w:val="21"/>
              </w:rPr>
            </w:pPr>
            <w:r>
              <w:rPr>
                <w:b/>
                <w:bCs/>
                <w:color w:val="auto"/>
                <w:szCs w:val="21"/>
              </w:rPr>
              <w:t>东洋界</w:t>
            </w:r>
          </w:p>
        </w:tc>
        <w:tc>
          <w:tcPr>
            <w:tcW w:w="278" w:type="pct"/>
            <w:tcBorders>
              <w:tl2br w:val="nil"/>
              <w:tr2bl w:val="nil"/>
            </w:tcBorders>
            <w:vAlign w:val="center"/>
          </w:tcPr>
          <w:p w14:paraId="71C501D5">
            <w:pPr>
              <w:adjustRightInd w:val="0"/>
              <w:jc w:val="center"/>
              <w:rPr>
                <w:b/>
                <w:bCs/>
                <w:color w:val="auto"/>
                <w:szCs w:val="21"/>
              </w:rPr>
            </w:pPr>
            <w:r>
              <w:rPr>
                <w:b/>
                <w:bCs/>
                <w:color w:val="auto"/>
                <w:szCs w:val="21"/>
              </w:rPr>
              <w:t>古北界</w:t>
            </w:r>
          </w:p>
        </w:tc>
        <w:tc>
          <w:tcPr>
            <w:tcW w:w="279" w:type="pct"/>
            <w:gridSpan w:val="2"/>
            <w:tcBorders>
              <w:tl2br w:val="nil"/>
              <w:tr2bl w:val="nil"/>
            </w:tcBorders>
            <w:vAlign w:val="center"/>
          </w:tcPr>
          <w:p w14:paraId="2DE447D5">
            <w:pPr>
              <w:adjustRightInd w:val="0"/>
              <w:jc w:val="center"/>
              <w:rPr>
                <w:b/>
                <w:bCs/>
                <w:color w:val="auto"/>
                <w:szCs w:val="21"/>
              </w:rPr>
            </w:pPr>
            <w:r>
              <w:rPr>
                <w:b/>
                <w:bCs/>
                <w:color w:val="auto"/>
                <w:szCs w:val="21"/>
              </w:rPr>
              <w:t>广布种</w:t>
            </w:r>
          </w:p>
        </w:tc>
        <w:tc>
          <w:tcPr>
            <w:tcW w:w="726" w:type="pct"/>
            <w:vMerge w:val="continue"/>
            <w:tcBorders>
              <w:tl2br w:val="nil"/>
              <w:tr2bl w:val="nil"/>
            </w:tcBorders>
            <w:vAlign w:val="center"/>
          </w:tcPr>
          <w:p w14:paraId="29A48F2C">
            <w:pPr>
              <w:adjustRightInd w:val="0"/>
              <w:jc w:val="center"/>
              <w:rPr>
                <w:b/>
                <w:bCs/>
                <w:color w:val="auto"/>
                <w:szCs w:val="21"/>
              </w:rPr>
            </w:pPr>
          </w:p>
        </w:tc>
        <w:tc>
          <w:tcPr>
            <w:tcW w:w="369" w:type="pct"/>
            <w:vMerge w:val="continue"/>
            <w:tcBorders>
              <w:tl2br w:val="nil"/>
              <w:tr2bl w:val="nil"/>
            </w:tcBorders>
            <w:vAlign w:val="center"/>
          </w:tcPr>
          <w:p w14:paraId="291547D4">
            <w:pPr>
              <w:adjustRightInd w:val="0"/>
              <w:jc w:val="center"/>
              <w:rPr>
                <w:b/>
                <w:bCs/>
                <w:color w:val="auto"/>
                <w:szCs w:val="21"/>
              </w:rPr>
            </w:pPr>
          </w:p>
        </w:tc>
        <w:tc>
          <w:tcPr>
            <w:tcW w:w="350" w:type="pct"/>
            <w:vMerge w:val="continue"/>
            <w:tcBorders>
              <w:tl2br w:val="nil"/>
              <w:tr2bl w:val="nil"/>
            </w:tcBorders>
            <w:vAlign w:val="center"/>
          </w:tcPr>
          <w:p w14:paraId="30715660">
            <w:pPr>
              <w:adjustRightInd w:val="0"/>
              <w:jc w:val="center"/>
              <w:rPr>
                <w:b/>
                <w:bCs/>
                <w:color w:val="auto"/>
                <w:szCs w:val="21"/>
              </w:rPr>
            </w:pPr>
          </w:p>
        </w:tc>
      </w:tr>
      <w:tr w14:paraId="74C661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5BE8CD40">
            <w:pPr>
              <w:adjustRightInd w:val="0"/>
              <w:jc w:val="left"/>
              <w:rPr>
                <w:b/>
                <w:bCs/>
                <w:color w:val="auto"/>
                <w:szCs w:val="21"/>
              </w:rPr>
            </w:pPr>
            <w:r>
              <w:rPr>
                <w:b/>
                <w:bCs/>
                <w:color w:val="auto"/>
                <w:szCs w:val="21"/>
              </w:rPr>
              <w:t>Ⅰ劳亚食虫目 INSECTIVORA</w:t>
            </w:r>
          </w:p>
        </w:tc>
        <w:tc>
          <w:tcPr>
            <w:tcW w:w="278" w:type="pct"/>
            <w:tcBorders>
              <w:tl2br w:val="nil"/>
              <w:tr2bl w:val="nil"/>
            </w:tcBorders>
            <w:vAlign w:val="center"/>
          </w:tcPr>
          <w:p w14:paraId="0D16F029">
            <w:pPr>
              <w:adjustRightInd w:val="0"/>
              <w:jc w:val="center"/>
              <w:rPr>
                <w:b/>
                <w:bCs/>
                <w:color w:val="auto"/>
                <w:szCs w:val="21"/>
              </w:rPr>
            </w:pPr>
          </w:p>
        </w:tc>
        <w:tc>
          <w:tcPr>
            <w:tcW w:w="278" w:type="pct"/>
            <w:tcBorders>
              <w:tl2br w:val="nil"/>
              <w:tr2bl w:val="nil"/>
            </w:tcBorders>
            <w:vAlign w:val="center"/>
          </w:tcPr>
          <w:p w14:paraId="44081B8D">
            <w:pPr>
              <w:adjustRightInd w:val="0"/>
              <w:jc w:val="center"/>
              <w:rPr>
                <w:b/>
                <w:bCs/>
                <w:color w:val="auto"/>
                <w:szCs w:val="21"/>
              </w:rPr>
            </w:pPr>
          </w:p>
        </w:tc>
        <w:tc>
          <w:tcPr>
            <w:tcW w:w="278" w:type="pct"/>
            <w:tcBorders>
              <w:tl2br w:val="nil"/>
              <w:tr2bl w:val="nil"/>
            </w:tcBorders>
            <w:vAlign w:val="center"/>
          </w:tcPr>
          <w:p w14:paraId="0615D514">
            <w:pPr>
              <w:adjustRightInd w:val="0"/>
              <w:jc w:val="center"/>
              <w:rPr>
                <w:b/>
                <w:bCs/>
                <w:color w:val="auto"/>
                <w:szCs w:val="21"/>
              </w:rPr>
            </w:pPr>
          </w:p>
        </w:tc>
        <w:tc>
          <w:tcPr>
            <w:tcW w:w="728" w:type="pct"/>
            <w:gridSpan w:val="2"/>
            <w:tcBorders>
              <w:tl2br w:val="nil"/>
              <w:tr2bl w:val="nil"/>
            </w:tcBorders>
            <w:vAlign w:val="center"/>
          </w:tcPr>
          <w:p w14:paraId="0E9C267A">
            <w:pPr>
              <w:adjustRightInd w:val="0"/>
              <w:jc w:val="center"/>
              <w:rPr>
                <w:b/>
                <w:bCs/>
                <w:color w:val="auto"/>
                <w:szCs w:val="21"/>
              </w:rPr>
            </w:pPr>
          </w:p>
        </w:tc>
        <w:tc>
          <w:tcPr>
            <w:tcW w:w="370" w:type="pct"/>
            <w:tcBorders>
              <w:tl2br w:val="nil"/>
              <w:tr2bl w:val="nil"/>
            </w:tcBorders>
            <w:vAlign w:val="center"/>
          </w:tcPr>
          <w:p w14:paraId="177CD15E">
            <w:pPr>
              <w:adjustRightInd w:val="0"/>
              <w:jc w:val="center"/>
              <w:rPr>
                <w:b/>
                <w:bCs/>
                <w:color w:val="auto"/>
                <w:szCs w:val="21"/>
              </w:rPr>
            </w:pPr>
          </w:p>
        </w:tc>
        <w:tc>
          <w:tcPr>
            <w:tcW w:w="348" w:type="pct"/>
            <w:tcBorders>
              <w:tl2br w:val="nil"/>
              <w:tr2bl w:val="nil"/>
            </w:tcBorders>
            <w:vAlign w:val="center"/>
          </w:tcPr>
          <w:p w14:paraId="2A78BBB9">
            <w:pPr>
              <w:adjustRightInd w:val="0"/>
              <w:jc w:val="center"/>
              <w:rPr>
                <w:b/>
                <w:bCs/>
                <w:color w:val="auto"/>
                <w:szCs w:val="21"/>
              </w:rPr>
            </w:pPr>
          </w:p>
        </w:tc>
      </w:tr>
      <w:tr w14:paraId="523BD4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79843110">
            <w:pPr>
              <w:widowControl/>
              <w:jc w:val="left"/>
              <w:rPr>
                <w:b/>
                <w:bCs/>
                <w:color w:val="auto"/>
                <w:szCs w:val="21"/>
              </w:rPr>
            </w:pPr>
            <w:r>
              <w:rPr>
                <w:b/>
                <w:bCs/>
                <w:color w:val="auto"/>
                <w:szCs w:val="21"/>
              </w:rPr>
              <w:t>（一）猬科 Erinaceidae</w:t>
            </w:r>
          </w:p>
        </w:tc>
        <w:tc>
          <w:tcPr>
            <w:tcW w:w="278" w:type="pct"/>
            <w:tcBorders>
              <w:tl2br w:val="nil"/>
              <w:tr2bl w:val="nil"/>
            </w:tcBorders>
            <w:vAlign w:val="center"/>
          </w:tcPr>
          <w:p w14:paraId="5F5B1A96">
            <w:pPr>
              <w:adjustRightInd w:val="0"/>
              <w:jc w:val="center"/>
              <w:rPr>
                <w:b/>
                <w:bCs/>
                <w:color w:val="auto"/>
                <w:szCs w:val="21"/>
              </w:rPr>
            </w:pPr>
          </w:p>
        </w:tc>
        <w:tc>
          <w:tcPr>
            <w:tcW w:w="278" w:type="pct"/>
            <w:tcBorders>
              <w:tl2br w:val="nil"/>
              <w:tr2bl w:val="nil"/>
            </w:tcBorders>
            <w:vAlign w:val="center"/>
          </w:tcPr>
          <w:p w14:paraId="4517DC5C">
            <w:pPr>
              <w:adjustRightInd w:val="0"/>
              <w:jc w:val="center"/>
              <w:rPr>
                <w:b/>
                <w:bCs/>
                <w:color w:val="auto"/>
                <w:szCs w:val="21"/>
              </w:rPr>
            </w:pPr>
          </w:p>
        </w:tc>
        <w:tc>
          <w:tcPr>
            <w:tcW w:w="278" w:type="pct"/>
            <w:tcBorders>
              <w:tl2br w:val="nil"/>
              <w:tr2bl w:val="nil"/>
            </w:tcBorders>
            <w:vAlign w:val="center"/>
          </w:tcPr>
          <w:p w14:paraId="3F6D9688">
            <w:pPr>
              <w:adjustRightInd w:val="0"/>
              <w:jc w:val="center"/>
              <w:rPr>
                <w:b/>
                <w:bCs/>
                <w:color w:val="auto"/>
                <w:szCs w:val="21"/>
              </w:rPr>
            </w:pPr>
          </w:p>
        </w:tc>
        <w:tc>
          <w:tcPr>
            <w:tcW w:w="728" w:type="pct"/>
            <w:gridSpan w:val="2"/>
            <w:tcBorders>
              <w:tl2br w:val="nil"/>
              <w:tr2bl w:val="nil"/>
            </w:tcBorders>
            <w:vAlign w:val="center"/>
          </w:tcPr>
          <w:p w14:paraId="6A34A277">
            <w:pPr>
              <w:adjustRightInd w:val="0"/>
              <w:jc w:val="center"/>
              <w:rPr>
                <w:b/>
                <w:bCs/>
                <w:color w:val="auto"/>
                <w:szCs w:val="21"/>
              </w:rPr>
            </w:pPr>
          </w:p>
        </w:tc>
        <w:tc>
          <w:tcPr>
            <w:tcW w:w="370" w:type="pct"/>
            <w:tcBorders>
              <w:tl2br w:val="nil"/>
              <w:tr2bl w:val="nil"/>
            </w:tcBorders>
            <w:vAlign w:val="center"/>
          </w:tcPr>
          <w:p w14:paraId="00499EE1">
            <w:pPr>
              <w:adjustRightInd w:val="0"/>
              <w:jc w:val="center"/>
              <w:rPr>
                <w:b/>
                <w:bCs/>
                <w:color w:val="auto"/>
                <w:szCs w:val="21"/>
              </w:rPr>
            </w:pPr>
          </w:p>
        </w:tc>
        <w:tc>
          <w:tcPr>
            <w:tcW w:w="348" w:type="pct"/>
            <w:tcBorders>
              <w:tl2br w:val="nil"/>
              <w:tr2bl w:val="nil"/>
            </w:tcBorders>
            <w:vAlign w:val="center"/>
          </w:tcPr>
          <w:p w14:paraId="2360C394">
            <w:pPr>
              <w:adjustRightInd w:val="0"/>
              <w:jc w:val="center"/>
              <w:rPr>
                <w:b/>
                <w:bCs/>
                <w:color w:val="auto"/>
                <w:szCs w:val="21"/>
              </w:rPr>
            </w:pPr>
          </w:p>
        </w:tc>
      </w:tr>
      <w:tr w14:paraId="63B877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5C483257">
            <w:pPr>
              <w:widowControl/>
              <w:jc w:val="left"/>
              <w:rPr>
                <w:color w:val="auto"/>
                <w:szCs w:val="21"/>
              </w:rPr>
            </w:pPr>
            <w:r>
              <w:rPr>
                <w:color w:val="auto"/>
                <w:szCs w:val="21"/>
              </w:rPr>
              <w:t xml:space="preserve">1 东北刺猬 </w:t>
            </w:r>
            <w:r>
              <w:rPr>
                <w:i/>
                <w:iCs/>
                <w:color w:val="auto"/>
                <w:szCs w:val="21"/>
              </w:rPr>
              <w:t>Erinaceus amurensis</w:t>
            </w:r>
          </w:p>
        </w:tc>
        <w:tc>
          <w:tcPr>
            <w:tcW w:w="278" w:type="pct"/>
            <w:tcBorders>
              <w:tl2br w:val="nil"/>
              <w:tr2bl w:val="nil"/>
            </w:tcBorders>
            <w:vAlign w:val="center"/>
          </w:tcPr>
          <w:p w14:paraId="58C02BF0">
            <w:pPr>
              <w:adjustRightInd w:val="0"/>
              <w:jc w:val="center"/>
              <w:rPr>
                <w:color w:val="auto"/>
                <w:szCs w:val="21"/>
              </w:rPr>
            </w:pPr>
          </w:p>
        </w:tc>
        <w:tc>
          <w:tcPr>
            <w:tcW w:w="278" w:type="pct"/>
            <w:tcBorders>
              <w:tl2br w:val="nil"/>
              <w:tr2bl w:val="nil"/>
            </w:tcBorders>
            <w:vAlign w:val="center"/>
          </w:tcPr>
          <w:p w14:paraId="5F628B73">
            <w:pPr>
              <w:adjustRightInd w:val="0"/>
              <w:jc w:val="center"/>
              <w:rPr>
                <w:color w:val="auto"/>
                <w:szCs w:val="21"/>
              </w:rPr>
            </w:pPr>
          </w:p>
        </w:tc>
        <w:tc>
          <w:tcPr>
            <w:tcW w:w="278" w:type="pct"/>
            <w:tcBorders>
              <w:tl2br w:val="nil"/>
              <w:tr2bl w:val="nil"/>
            </w:tcBorders>
            <w:vAlign w:val="center"/>
          </w:tcPr>
          <w:p w14:paraId="628C9EE1">
            <w:pPr>
              <w:widowControl/>
              <w:jc w:val="center"/>
              <w:rPr>
                <w:color w:val="auto"/>
                <w:szCs w:val="21"/>
              </w:rPr>
            </w:pPr>
            <w:r>
              <w:rPr>
                <w:b/>
                <w:bCs/>
                <w:color w:val="auto"/>
                <w:szCs w:val="21"/>
              </w:rPr>
              <w:t>※</w:t>
            </w:r>
          </w:p>
        </w:tc>
        <w:tc>
          <w:tcPr>
            <w:tcW w:w="728" w:type="pct"/>
            <w:gridSpan w:val="2"/>
            <w:tcBorders>
              <w:tl2br w:val="nil"/>
              <w:tr2bl w:val="nil"/>
            </w:tcBorders>
            <w:vAlign w:val="center"/>
          </w:tcPr>
          <w:p w14:paraId="47B8115A">
            <w:pPr>
              <w:adjustRightInd w:val="0"/>
              <w:jc w:val="center"/>
              <w:rPr>
                <w:color w:val="auto"/>
                <w:szCs w:val="21"/>
              </w:rPr>
            </w:pPr>
            <w:r>
              <w:rPr>
                <w:color w:val="auto"/>
                <w:szCs w:val="21"/>
              </w:rPr>
              <w:t>三有；湘</w:t>
            </w:r>
          </w:p>
        </w:tc>
        <w:tc>
          <w:tcPr>
            <w:tcW w:w="370" w:type="pct"/>
            <w:tcBorders>
              <w:tl2br w:val="nil"/>
              <w:tr2bl w:val="nil"/>
            </w:tcBorders>
            <w:vAlign w:val="center"/>
          </w:tcPr>
          <w:p w14:paraId="7B7E8DF2">
            <w:pPr>
              <w:adjustRightInd w:val="0"/>
              <w:jc w:val="center"/>
              <w:rPr>
                <w:color w:val="auto"/>
                <w:szCs w:val="21"/>
              </w:rPr>
            </w:pPr>
            <w:r>
              <w:rPr>
                <w:color w:val="auto"/>
                <w:szCs w:val="21"/>
              </w:rPr>
              <w:t>LC</w:t>
            </w:r>
          </w:p>
        </w:tc>
        <w:tc>
          <w:tcPr>
            <w:tcW w:w="348" w:type="pct"/>
            <w:tcBorders>
              <w:tl2br w:val="nil"/>
              <w:tr2bl w:val="nil"/>
            </w:tcBorders>
            <w:vAlign w:val="center"/>
          </w:tcPr>
          <w:p w14:paraId="41187E77">
            <w:pPr>
              <w:adjustRightInd w:val="0"/>
              <w:jc w:val="center"/>
              <w:rPr>
                <w:color w:val="auto"/>
                <w:szCs w:val="21"/>
              </w:rPr>
            </w:pPr>
            <w:r>
              <w:rPr>
                <w:color w:val="auto"/>
                <w:szCs w:val="21"/>
              </w:rPr>
              <w:t>K</w:t>
            </w:r>
          </w:p>
        </w:tc>
      </w:tr>
      <w:tr w14:paraId="113A31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36C64155">
            <w:pPr>
              <w:adjustRightInd w:val="0"/>
              <w:jc w:val="left"/>
              <w:rPr>
                <w:b/>
                <w:bCs/>
                <w:color w:val="auto"/>
                <w:szCs w:val="21"/>
              </w:rPr>
            </w:pPr>
            <w:r>
              <w:rPr>
                <w:b/>
                <w:bCs/>
                <w:color w:val="auto"/>
                <w:szCs w:val="21"/>
              </w:rPr>
              <w:t>（二）鼩鼱科 Soricidae</w:t>
            </w:r>
          </w:p>
        </w:tc>
        <w:tc>
          <w:tcPr>
            <w:tcW w:w="278" w:type="pct"/>
            <w:tcBorders>
              <w:tl2br w:val="nil"/>
              <w:tr2bl w:val="nil"/>
            </w:tcBorders>
            <w:vAlign w:val="center"/>
          </w:tcPr>
          <w:p w14:paraId="6EC52AB9">
            <w:pPr>
              <w:adjustRightInd w:val="0"/>
              <w:jc w:val="center"/>
              <w:rPr>
                <w:b/>
                <w:bCs/>
                <w:color w:val="auto"/>
                <w:szCs w:val="21"/>
              </w:rPr>
            </w:pPr>
          </w:p>
        </w:tc>
        <w:tc>
          <w:tcPr>
            <w:tcW w:w="278" w:type="pct"/>
            <w:tcBorders>
              <w:tl2br w:val="nil"/>
              <w:tr2bl w:val="nil"/>
            </w:tcBorders>
            <w:vAlign w:val="center"/>
          </w:tcPr>
          <w:p w14:paraId="1D04FB0A">
            <w:pPr>
              <w:adjustRightInd w:val="0"/>
              <w:jc w:val="center"/>
              <w:rPr>
                <w:b/>
                <w:bCs/>
                <w:color w:val="auto"/>
                <w:szCs w:val="21"/>
              </w:rPr>
            </w:pPr>
          </w:p>
        </w:tc>
        <w:tc>
          <w:tcPr>
            <w:tcW w:w="278" w:type="pct"/>
            <w:tcBorders>
              <w:tl2br w:val="nil"/>
              <w:tr2bl w:val="nil"/>
            </w:tcBorders>
            <w:vAlign w:val="center"/>
          </w:tcPr>
          <w:p w14:paraId="631F5D9C">
            <w:pPr>
              <w:adjustRightInd w:val="0"/>
              <w:jc w:val="center"/>
              <w:rPr>
                <w:b/>
                <w:bCs/>
                <w:color w:val="auto"/>
                <w:szCs w:val="21"/>
              </w:rPr>
            </w:pPr>
          </w:p>
        </w:tc>
        <w:tc>
          <w:tcPr>
            <w:tcW w:w="728" w:type="pct"/>
            <w:gridSpan w:val="2"/>
            <w:tcBorders>
              <w:tl2br w:val="nil"/>
              <w:tr2bl w:val="nil"/>
            </w:tcBorders>
            <w:vAlign w:val="center"/>
          </w:tcPr>
          <w:p w14:paraId="4557259A">
            <w:pPr>
              <w:adjustRightInd w:val="0"/>
              <w:jc w:val="center"/>
              <w:rPr>
                <w:b/>
                <w:bCs/>
                <w:color w:val="auto"/>
                <w:szCs w:val="21"/>
              </w:rPr>
            </w:pPr>
          </w:p>
        </w:tc>
        <w:tc>
          <w:tcPr>
            <w:tcW w:w="370" w:type="pct"/>
            <w:tcBorders>
              <w:tl2br w:val="nil"/>
              <w:tr2bl w:val="nil"/>
            </w:tcBorders>
            <w:vAlign w:val="center"/>
          </w:tcPr>
          <w:p w14:paraId="3B4A6F6B">
            <w:pPr>
              <w:adjustRightInd w:val="0"/>
              <w:jc w:val="center"/>
              <w:rPr>
                <w:b/>
                <w:bCs/>
                <w:color w:val="auto"/>
                <w:szCs w:val="21"/>
              </w:rPr>
            </w:pPr>
          </w:p>
        </w:tc>
        <w:tc>
          <w:tcPr>
            <w:tcW w:w="348" w:type="pct"/>
            <w:tcBorders>
              <w:tl2br w:val="nil"/>
              <w:tr2bl w:val="nil"/>
            </w:tcBorders>
            <w:vAlign w:val="center"/>
          </w:tcPr>
          <w:p w14:paraId="31A139FB">
            <w:pPr>
              <w:adjustRightInd w:val="0"/>
              <w:jc w:val="center"/>
              <w:rPr>
                <w:b/>
                <w:bCs/>
                <w:color w:val="auto"/>
                <w:szCs w:val="21"/>
              </w:rPr>
            </w:pPr>
          </w:p>
        </w:tc>
      </w:tr>
      <w:tr w14:paraId="311CDD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0086AA8B">
            <w:pPr>
              <w:adjustRightInd w:val="0"/>
              <w:jc w:val="left"/>
              <w:rPr>
                <w:color w:val="auto"/>
                <w:szCs w:val="21"/>
              </w:rPr>
            </w:pPr>
            <w:r>
              <w:rPr>
                <w:color w:val="auto"/>
                <w:szCs w:val="21"/>
              </w:rPr>
              <w:t xml:space="preserve">2 喜马拉雅水麝鼩 </w:t>
            </w:r>
            <w:r>
              <w:rPr>
                <w:i/>
                <w:iCs/>
                <w:color w:val="auto"/>
                <w:szCs w:val="21"/>
              </w:rPr>
              <w:t>Chimarrogale himalayica</w:t>
            </w:r>
          </w:p>
        </w:tc>
        <w:tc>
          <w:tcPr>
            <w:tcW w:w="278" w:type="pct"/>
            <w:tcBorders>
              <w:tl2br w:val="nil"/>
              <w:tr2bl w:val="nil"/>
            </w:tcBorders>
            <w:vAlign w:val="center"/>
          </w:tcPr>
          <w:p w14:paraId="494953B6">
            <w:pPr>
              <w:adjustRightInd w:val="0"/>
              <w:jc w:val="center"/>
              <w:rPr>
                <w:b/>
                <w:bCs/>
                <w:color w:val="auto"/>
                <w:szCs w:val="21"/>
              </w:rPr>
            </w:pPr>
            <w:r>
              <w:rPr>
                <w:b/>
                <w:bCs/>
                <w:color w:val="auto"/>
                <w:szCs w:val="21"/>
              </w:rPr>
              <w:t>※</w:t>
            </w:r>
          </w:p>
        </w:tc>
        <w:tc>
          <w:tcPr>
            <w:tcW w:w="278" w:type="pct"/>
            <w:tcBorders>
              <w:tl2br w:val="nil"/>
              <w:tr2bl w:val="nil"/>
            </w:tcBorders>
            <w:vAlign w:val="center"/>
          </w:tcPr>
          <w:p w14:paraId="1D1D5652">
            <w:pPr>
              <w:adjustRightInd w:val="0"/>
              <w:jc w:val="center"/>
              <w:rPr>
                <w:b/>
                <w:bCs/>
                <w:color w:val="auto"/>
                <w:szCs w:val="21"/>
              </w:rPr>
            </w:pPr>
          </w:p>
        </w:tc>
        <w:tc>
          <w:tcPr>
            <w:tcW w:w="278" w:type="pct"/>
            <w:tcBorders>
              <w:tl2br w:val="nil"/>
              <w:tr2bl w:val="nil"/>
            </w:tcBorders>
            <w:vAlign w:val="center"/>
          </w:tcPr>
          <w:p w14:paraId="098547A2">
            <w:pPr>
              <w:adjustRightInd w:val="0"/>
              <w:jc w:val="center"/>
              <w:rPr>
                <w:b/>
                <w:bCs/>
                <w:color w:val="auto"/>
                <w:szCs w:val="21"/>
              </w:rPr>
            </w:pPr>
          </w:p>
        </w:tc>
        <w:tc>
          <w:tcPr>
            <w:tcW w:w="728" w:type="pct"/>
            <w:gridSpan w:val="2"/>
            <w:tcBorders>
              <w:tl2br w:val="nil"/>
              <w:tr2bl w:val="nil"/>
            </w:tcBorders>
            <w:vAlign w:val="center"/>
          </w:tcPr>
          <w:p w14:paraId="5919BC09">
            <w:pPr>
              <w:adjustRightInd w:val="0"/>
              <w:jc w:val="center"/>
              <w:rPr>
                <w:color w:val="auto"/>
                <w:szCs w:val="21"/>
              </w:rPr>
            </w:pPr>
            <w:r>
              <w:rPr>
                <w:color w:val="auto"/>
                <w:szCs w:val="21"/>
              </w:rPr>
              <w:t>三有；湘</w:t>
            </w:r>
          </w:p>
        </w:tc>
        <w:tc>
          <w:tcPr>
            <w:tcW w:w="370" w:type="pct"/>
            <w:tcBorders>
              <w:tl2br w:val="nil"/>
              <w:tr2bl w:val="nil"/>
            </w:tcBorders>
            <w:vAlign w:val="center"/>
          </w:tcPr>
          <w:p w14:paraId="4B4F8939">
            <w:pPr>
              <w:adjustRightInd w:val="0"/>
              <w:jc w:val="center"/>
              <w:rPr>
                <w:color w:val="auto"/>
                <w:szCs w:val="21"/>
              </w:rPr>
            </w:pPr>
            <w:r>
              <w:rPr>
                <w:color w:val="auto"/>
                <w:szCs w:val="21"/>
              </w:rPr>
              <w:t>NT</w:t>
            </w:r>
          </w:p>
        </w:tc>
        <w:tc>
          <w:tcPr>
            <w:tcW w:w="348" w:type="pct"/>
            <w:tcBorders>
              <w:tl2br w:val="nil"/>
              <w:tr2bl w:val="nil"/>
            </w:tcBorders>
            <w:vAlign w:val="center"/>
          </w:tcPr>
          <w:p w14:paraId="45503562">
            <w:pPr>
              <w:adjustRightInd w:val="0"/>
              <w:jc w:val="center"/>
              <w:rPr>
                <w:b/>
                <w:bCs/>
                <w:color w:val="auto"/>
                <w:szCs w:val="21"/>
              </w:rPr>
            </w:pPr>
            <w:r>
              <w:rPr>
                <w:color w:val="auto"/>
                <w:szCs w:val="21"/>
              </w:rPr>
              <w:t>F</w:t>
            </w:r>
          </w:p>
        </w:tc>
      </w:tr>
      <w:tr w14:paraId="5E99F1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3B5AE285">
            <w:pPr>
              <w:adjustRightInd w:val="0"/>
              <w:jc w:val="left"/>
              <w:rPr>
                <w:b/>
                <w:bCs/>
                <w:color w:val="auto"/>
                <w:szCs w:val="21"/>
              </w:rPr>
            </w:pPr>
            <w:r>
              <w:rPr>
                <w:b/>
                <w:bCs/>
                <w:color w:val="auto"/>
                <w:szCs w:val="21"/>
              </w:rPr>
              <w:t>Ⅱ 翼手目 CHIROPTERA</w:t>
            </w:r>
          </w:p>
        </w:tc>
        <w:tc>
          <w:tcPr>
            <w:tcW w:w="278" w:type="pct"/>
            <w:tcBorders>
              <w:tl2br w:val="nil"/>
              <w:tr2bl w:val="nil"/>
            </w:tcBorders>
            <w:vAlign w:val="center"/>
          </w:tcPr>
          <w:p w14:paraId="28B0EB60">
            <w:pPr>
              <w:adjustRightInd w:val="0"/>
              <w:jc w:val="center"/>
              <w:rPr>
                <w:b/>
                <w:bCs/>
                <w:color w:val="auto"/>
                <w:szCs w:val="21"/>
              </w:rPr>
            </w:pPr>
          </w:p>
        </w:tc>
        <w:tc>
          <w:tcPr>
            <w:tcW w:w="278" w:type="pct"/>
            <w:tcBorders>
              <w:tl2br w:val="nil"/>
              <w:tr2bl w:val="nil"/>
            </w:tcBorders>
            <w:vAlign w:val="center"/>
          </w:tcPr>
          <w:p w14:paraId="26427A4C">
            <w:pPr>
              <w:adjustRightInd w:val="0"/>
              <w:jc w:val="center"/>
              <w:rPr>
                <w:b/>
                <w:bCs/>
                <w:color w:val="auto"/>
                <w:szCs w:val="21"/>
              </w:rPr>
            </w:pPr>
          </w:p>
        </w:tc>
        <w:tc>
          <w:tcPr>
            <w:tcW w:w="278" w:type="pct"/>
            <w:tcBorders>
              <w:tl2br w:val="nil"/>
              <w:tr2bl w:val="nil"/>
            </w:tcBorders>
            <w:vAlign w:val="center"/>
          </w:tcPr>
          <w:p w14:paraId="5F5A86D4">
            <w:pPr>
              <w:adjustRightInd w:val="0"/>
              <w:jc w:val="center"/>
              <w:rPr>
                <w:b/>
                <w:bCs/>
                <w:color w:val="auto"/>
                <w:szCs w:val="21"/>
              </w:rPr>
            </w:pPr>
          </w:p>
        </w:tc>
        <w:tc>
          <w:tcPr>
            <w:tcW w:w="728" w:type="pct"/>
            <w:gridSpan w:val="2"/>
            <w:tcBorders>
              <w:tl2br w:val="nil"/>
              <w:tr2bl w:val="nil"/>
            </w:tcBorders>
            <w:vAlign w:val="center"/>
          </w:tcPr>
          <w:p w14:paraId="2EF36F53">
            <w:pPr>
              <w:adjustRightInd w:val="0"/>
              <w:jc w:val="center"/>
              <w:rPr>
                <w:color w:val="auto"/>
                <w:szCs w:val="21"/>
              </w:rPr>
            </w:pPr>
          </w:p>
        </w:tc>
        <w:tc>
          <w:tcPr>
            <w:tcW w:w="370" w:type="pct"/>
            <w:tcBorders>
              <w:tl2br w:val="nil"/>
              <w:tr2bl w:val="nil"/>
            </w:tcBorders>
            <w:vAlign w:val="center"/>
          </w:tcPr>
          <w:p w14:paraId="4C0283BD">
            <w:pPr>
              <w:adjustRightInd w:val="0"/>
              <w:jc w:val="center"/>
              <w:rPr>
                <w:color w:val="auto"/>
                <w:szCs w:val="21"/>
              </w:rPr>
            </w:pPr>
          </w:p>
        </w:tc>
        <w:tc>
          <w:tcPr>
            <w:tcW w:w="348" w:type="pct"/>
            <w:tcBorders>
              <w:tl2br w:val="nil"/>
              <w:tr2bl w:val="nil"/>
            </w:tcBorders>
            <w:vAlign w:val="center"/>
          </w:tcPr>
          <w:p w14:paraId="1784D988">
            <w:pPr>
              <w:adjustRightInd w:val="0"/>
              <w:jc w:val="center"/>
              <w:rPr>
                <w:b/>
                <w:bCs/>
                <w:color w:val="auto"/>
                <w:szCs w:val="21"/>
              </w:rPr>
            </w:pPr>
          </w:p>
        </w:tc>
      </w:tr>
      <w:tr w14:paraId="399375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52C5283A">
            <w:pPr>
              <w:adjustRightInd w:val="0"/>
              <w:jc w:val="left"/>
              <w:rPr>
                <w:b/>
                <w:bCs/>
                <w:color w:val="auto"/>
                <w:szCs w:val="21"/>
              </w:rPr>
            </w:pPr>
            <w:r>
              <w:rPr>
                <w:b/>
                <w:bCs/>
                <w:color w:val="auto"/>
                <w:szCs w:val="21"/>
              </w:rPr>
              <w:t>（三）蹄蝠科 Hipposideridae</w:t>
            </w:r>
          </w:p>
        </w:tc>
        <w:tc>
          <w:tcPr>
            <w:tcW w:w="278" w:type="pct"/>
            <w:tcBorders>
              <w:tl2br w:val="nil"/>
              <w:tr2bl w:val="nil"/>
            </w:tcBorders>
            <w:vAlign w:val="center"/>
          </w:tcPr>
          <w:p w14:paraId="70A528B6">
            <w:pPr>
              <w:adjustRightInd w:val="0"/>
              <w:jc w:val="center"/>
              <w:rPr>
                <w:b/>
                <w:bCs/>
                <w:color w:val="auto"/>
                <w:szCs w:val="21"/>
              </w:rPr>
            </w:pPr>
          </w:p>
        </w:tc>
        <w:tc>
          <w:tcPr>
            <w:tcW w:w="278" w:type="pct"/>
            <w:tcBorders>
              <w:tl2br w:val="nil"/>
              <w:tr2bl w:val="nil"/>
            </w:tcBorders>
            <w:vAlign w:val="center"/>
          </w:tcPr>
          <w:p w14:paraId="0B17C0B0">
            <w:pPr>
              <w:adjustRightInd w:val="0"/>
              <w:jc w:val="center"/>
              <w:rPr>
                <w:b/>
                <w:bCs/>
                <w:color w:val="auto"/>
                <w:szCs w:val="21"/>
              </w:rPr>
            </w:pPr>
          </w:p>
        </w:tc>
        <w:tc>
          <w:tcPr>
            <w:tcW w:w="278" w:type="pct"/>
            <w:tcBorders>
              <w:tl2br w:val="nil"/>
              <w:tr2bl w:val="nil"/>
            </w:tcBorders>
            <w:vAlign w:val="center"/>
          </w:tcPr>
          <w:p w14:paraId="2947C913">
            <w:pPr>
              <w:adjustRightInd w:val="0"/>
              <w:jc w:val="center"/>
              <w:rPr>
                <w:b/>
                <w:bCs/>
                <w:color w:val="auto"/>
                <w:szCs w:val="21"/>
              </w:rPr>
            </w:pPr>
          </w:p>
        </w:tc>
        <w:tc>
          <w:tcPr>
            <w:tcW w:w="728" w:type="pct"/>
            <w:gridSpan w:val="2"/>
            <w:tcBorders>
              <w:tl2br w:val="nil"/>
              <w:tr2bl w:val="nil"/>
            </w:tcBorders>
            <w:vAlign w:val="center"/>
          </w:tcPr>
          <w:p w14:paraId="41F9AD07">
            <w:pPr>
              <w:adjustRightInd w:val="0"/>
              <w:jc w:val="center"/>
              <w:rPr>
                <w:color w:val="auto"/>
                <w:szCs w:val="21"/>
              </w:rPr>
            </w:pPr>
          </w:p>
        </w:tc>
        <w:tc>
          <w:tcPr>
            <w:tcW w:w="370" w:type="pct"/>
            <w:tcBorders>
              <w:tl2br w:val="nil"/>
              <w:tr2bl w:val="nil"/>
            </w:tcBorders>
            <w:vAlign w:val="center"/>
          </w:tcPr>
          <w:p w14:paraId="226FB831">
            <w:pPr>
              <w:adjustRightInd w:val="0"/>
              <w:jc w:val="center"/>
              <w:rPr>
                <w:color w:val="auto"/>
                <w:szCs w:val="21"/>
              </w:rPr>
            </w:pPr>
          </w:p>
        </w:tc>
        <w:tc>
          <w:tcPr>
            <w:tcW w:w="348" w:type="pct"/>
            <w:tcBorders>
              <w:tl2br w:val="nil"/>
              <w:tr2bl w:val="nil"/>
            </w:tcBorders>
            <w:vAlign w:val="center"/>
          </w:tcPr>
          <w:p w14:paraId="32F9F0B1">
            <w:pPr>
              <w:adjustRightInd w:val="0"/>
              <w:jc w:val="center"/>
              <w:rPr>
                <w:b/>
                <w:bCs/>
                <w:color w:val="auto"/>
                <w:szCs w:val="21"/>
              </w:rPr>
            </w:pPr>
          </w:p>
        </w:tc>
      </w:tr>
      <w:tr w14:paraId="0C116F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6908750C">
            <w:pPr>
              <w:adjustRightInd w:val="0"/>
              <w:jc w:val="left"/>
              <w:rPr>
                <w:color w:val="auto"/>
                <w:szCs w:val="21"/>
              </w:rPr>
            </w:pPr>
            <w:r>
              <w:rPr>
                <w:color w:val="auto"/>
                <w:szCs w:val="21"/>
              </w:rPr>
              <w:t xml:space="preserve">3 大蹄蝠 </w:t>
            </w:r>
            <w:r>
              <w:rPr>
                <w:i/>
                <w:iCs/>
                <w:color w:val="auto"/>
                <w:szCs w:val="21"/>
              </w:rPr>
              <w:t>Hipposideros armiger</w:t>
            </w:r>
          </w:p>
        </w:tc>
        <w:tc>
          <w:tcPr>
            <w:tcW w:w="278" w:type="pct"/>
            <w:tcBorders>
              <w:tl2br w:val="nil"/>
              <w:tr2bl w:val="nil"/>
            </w:tcBorders>
            <w:vAlign w:val="center"/>
          </w:tcPr>
          <w:p w14:paraId="047F3849">
            <w:pPr>
              <w:adjustRightInd w:val="0"/>
              <w:jc w:val="center"/>
              <w:rPr>
                <w:b/>
                <w:bCs/>
                <w:color w:val="auto"/>
                <w:szCs w:val="21"/>
              </w:rPr>
            </w:pPr>
            <w:r>
              <w:rPr>
                <w:b/>
                <w:bCs/>
                <w:color w:val="auto"/>
                <w:szCs w:val="21"/>
              </w:rPr>
              <w:t>※</w:t>
            </w:r>
          </w:p>
        </w:tc>
        <w:tc>
          <w:tcPr>
            <w:tcW w:w="278" w:type="pct"/>
            <w:tcBorders>
              <w:tl2br w:val="nil"/>
              <w:tr2bl w:val="nil"/>
            </w:tcBorders>
            <w:vAlign w:val="center"/>
          </w:tcPr>
          <w:p w14:paraId="1F9F03B7">
            <w:pPr>
              <w:adjustRightInd w:val="0"/>
              <w:jc w:val="center"/>
              <w:rPr>
                <w:b/>
                <w:bCs/>
                <w:color w:val="auto"/>
                <w:szCs w:val="21"/>
              </w:rPr>
            </w:pPr>
          </w:p>
        </w:tc>
        <w:tc>
          <w:tcPr>
            <w:tcW w:w="278" w:type="pct"/>
            <w:tcBorders>
              <w:tl2br w:val="nil"/>
              <w:tr2bl w:val="nil"/>
            </w:tcBorders>
            <w:vAlign w:val="center"/>
          </w:tcPr>
          <w:p w14:paraId="325E49FD">
            <w:pPr>
              <w:adjustRightInd w:val="0"/>
              <w:jc w:val="center"/>
              <w:rPr>
                <w:b/>
                <w:bCs/>
                <w:color w:val="auto"/>
                <w:szCs w:val="21"/>
              </w:rPr>
            </w:pPr>
          </w:p>
        </w:tc>
        <w:tc>
          <w:tcPr>
            <w:tcW w:w="728" w:type="pct"/>
            <w:gridSpan w:val="2"/>
            <w:tcBorders>
              <w:tl2br w:val="nil"/>
              <w:tr2bl w:val="nil"/>
            </w:tcBorders>
            <w:vAlign w:val="center"/>
          </w:tcPr>
          <w:p w14:paraId="664945D3">
            <w:pPr>
              <w:adjustRightInd w:val="0"/>
              <w:jc w:val="center"/>
              <w:rPr>
                <w:color w:val="auto"/>
                <w:szCs w:val="21"/>
              </w:rPr>
            </w:pPr>
            <w:r>
              <w:rPr>
                <w:color w:val="auto"/>
                <w:szCs w:val="21"/>
              </w:rPr>
              <w:t>三有；湘</w:t>
            </w:r>
          </w:p>
        </w:tc>
        <w:tc>
          <w:tcPr>
            <w:tcW w:w="370" w:type="pct"/>
            <w:tcBorders>
              <w:tl2br w:val="nil"/>
              <w:tr2bl w:val="nil"/>
            </w:tcBorders>
            <w:vAlign w:val="center"/>
          </w:tcPr>
          <w:p w14:paraId="2408A478">
            <w:pPr>
              <w:adjustRightInd w:val="0"/>
              <w:jc w:val="center"/>
              <w:rPr>
                <w:color w:val="auto"/>
                <w:szCs w:val="21"/>
              </w:rPr>
            </w:pPr>
            <w:r>
              <w:rPr>
                <w:color w:val="auto"/>
                <w:szCs w:val="21"/>
              </w:rPr>
              <w:t>LC</w:t>
            </w:r>
          </w:p>
        </w:tc>
        <w:tc>
          <w:tcPr>
            <w:tcW w:w="348" w:type="pct"/>
            <w:tcBorders>
              <w:tl2br w:val="nil"/>
              <w:tr2bl w:val="nil"/>
            </w:tcBorders>
            <w:vAlign w:val="center"/>
          </w:tcPr>
          <w:p w14:paraId="7A9A49E2">
            <w:pPr>
              <w:adjustRightInd w:val="0"/>
              <w:jc w:val="center"/>
              <w:rPr>
                <w:b/>
                <w:bCs/>
                <w:color w:val="auto"/>
                <w:szCs w:val="21"/>
              </w:rPr>
            </w:pPr>
            <w:r>
              <w:rPr>
                <w:color w:val="auto"/>
                <w:szCs w:val="21"/>
              </w:rPr>
              <w:t>K</w:t>
            </w:r>
          </w:p>
        </w:tc>
      </w:tr>
      <w:tr w14:paraId="5EBB20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13ED2423">
            <w:pPr>
              <w:adjustRightInd w:val="0"/>
              <w:jc w:val="left"/>
              <w:rPr>
                <w:color w:val="auto"/>
                <w:szCs w:val="21"/>
              </w:rPr>
            </w:pPr>
            <w:r>
              <w:rPr>
                <w:b/>
                <w:bCs/>
                <w:color w:val="auto"/>
                <w:szCs w:val="21"/>
              </w:rPr>
              <w:t>（四）蝙蝠科 Vespertilionidae</w:t>
            </w:r>
          </w:p>
        </w:tc>
        <w:tc>
          <w:tcPr>
            <w:tcW w:w="278" w:type="pct"/>
            <w:tcBorders>
              <w:tl2br w:val="nil"/>
              <w:tr2bl w:val="nil"/>
            </w:tcBorders>
            <w:vAlign w:val="center"/>
          </w:tcPr>
          <w:p w14:paraId="0B8FFD47">
            <w:pPr>
              <w:adjustRightInd w:val="0"/>
              <w:jc w:val="center"/>
              <w:rPr>
                <w:b/>
                <w:bCs/>
                <w:color w:val="auto"/>
                <w:szCs w:val="21"/>
              </w:rPr>
            </w:pPr>
          </w:p>
        </w:tc>
        <w:tc>
          <w:tcPr>
            <w:tcW w:w="278" w:type="pct"/>
            <w:tcBorders>
              <w:tl2br w:val="nil"/>
              <w:tr2bl w:val="nil"/>
            </w:tcBorders>
            <w:vAlign w:val="center"/>
          </w:tcPr>
          <w:p w14:paraId="2DF446DD">
            <w:pPr>
              <w:adjustRightInd w:val="0"/>
              <w:jc w:val="center"/>
              <w:rPr>
                <w:b/>
                <w:bCs/>
                <w:color w:val="auto"/>
                <w:szCs w:val="21"/>
              </w:rPr>
            </w:pPr>
          </w:p>
        </w:tc>
        <w:tc>
          <w:tcPr>
            <w:tcW w:w="278" w:type="pct"/>
            <w:tcBorders>
              <w:tl2br w:val="nil"/>
              <w:tr2bl w:val="nil"/>
            </w:tcBorders>
            <w:vAlign w:val="center"/>
          </w:tcPr>
          <w:p w14:paraId="0F4F5D5C">
            <w:pPr>
              <w:adjustRightInd w:val="0"/>
              <w:jc w:val="center"/>
              <w:rPr>
                <w:b/>
                <w:bCs/>
                <w:color w:val="auto"/>
                <w:szCs w:val="21"/>
              </w:rPr>
            </w:pPr>
          </w:p>
        </w:tc>
        <w:tc>
          <w:tcPr>
            <w:tcW w:w="728" w:type="pct"/>
            <w:gridSpan w:val="2"/>
            <w:tcBorders>
              <w:tl2br w:val="nil"/>
              <w:tr2bl w:val="nil"/>
            </w:tcBorders>
            <w:vAlign w:val="center"/>
          </w:tcPr>
          <w:p w14:paraId="72BD5A6D">
            <w:pPr>
              <w:adjustRightInd w:val="0"/>
              <w:jc w:val="center"/>
              <w:rPr>
                <w:color w:val="auto"/>
                <w:szCs w:val="21"/>
              </w:rPr>
            </w:pPr>
          </w:p>
        </w:tc>
        <w:tc>
          <w:tcPr>
            <w:tcW w:w="370" w:type="pct"/>
            <w:tcBorders>
              <w:tl2br w:val="nil"/>
              <w:tr2bl w:val="nil"/>
            </w:tcBorders>
            <w:vAlign w:val="center"/>
          </w:tcPr>
          <w:p w14:paraId="6542F6CA">
            <w:pPr>
              <w:adjustRightInd w:val="0"/>
              <w:jc w:val="center"/>
              <w:rPr>
                <w:color w:val="auto"/>
                <w:szCs w:val="21"/>
              </w:rPr>
            </w:pPr>
          </w:p>
        </w:tc>
        <w:tc>
          <w:tcPr>
            <w:tcW w:w="348" w:type="pct"/>
            <w:tcBorders>
              <w:tl2br w:val="nil"/>
              <w:tr2bl w:val="nil"/>
            </w:tcBorders>
            <w:vAlign w:val="center"/>
          </w:tcPr>
          <w:p w14:paraId="55029280">
            <w:pPr>
              <w:adjustRightInd w:val="0"/>
              <w:jc w:val="center"/>
              <w:rPr>
                <w:b/>
                <w:bCs/>
                <w:color w:val="auto"/>
                <w:szCs w:val="21"/>
              </w:rPr>
            </w:pPr>
          </w:p>
        </w:tc>
      </w:tr>
      <w:tr w14:paraId="79A650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4BE06C93">
            <w:pPr>
              <w:adjustRightInd w:val="0"/>
              <w:jc w:val="left"/>
              <w:rPr>
                <w:color w:val="auto"/>
                <w:szCs w:val="21"/>
              </w:rPr>
            </w:pPr>
            <w:r>
              <w:rPr>
                <w:color w:val="auto"/>
                <w:szCs w:val="21"/>
              </w:rPr>
              <w:t xml:space="preserve">4 东方蝙蝠 </w:t>
            </w:r>
            <w:r>
              <w:rPr>
                <w:i/>
                <w:iCs/>
                <w:color w:val="auto"/>
                <w:szCs w:val="21"/>
              </w:rPr>
              <w:t>Vespertilio sinensis</w:t>
            </w:r>
          </w:p>
        </w:tc>
        <w:tc>
          <w:tcPr>
            <w:tcW w:w="278" w:type="pct"/>
            <w:tcBorders>
              <w:tl2br w:val="nil"/>
              <w:tr2bl w:val="nil"/>
            </w:tcBorders>
            <w:vAlign w:val="center"/>
          </w:tcPr>
          <w:p w14:paraId="7BB22F4C">
            <w:pPr>
              <w:adjustRightInd w:val="0"/>
              <w:jc w:val="center"/>
              <w:rPr>
                <w:b/>
                <w:bCs/>
                <w:color w:val="auto"/>
                <w:szCs w:val="21"/>
              </w:rPr>
            </w:pPr>
          </w:p>
        </w:tc>
        <w:tc>
          <w:tcPr>
            <w:tcW w:w="278" w:type="pct"/>
            <w:tcBorders>
              <w:tl2br w:val="nil"/>
              <w:tr2bl w:val="nil"/>
            </w:tcBorders>
            <w:vAlign w:val="center"/>
          </w:tcPr>
          <w:p w14:paraId="7DCD6606">
            <w:pPr>
              <w:adjustRightInd w:val="0"/>
              <w:jc w:val="center"/>
              <w:rPr>
                <w:b/>
                <w:bCs/>
                <w:color w:val="auto"/>
                <w:szCs w:val="21"/>
              </w:rPr>
            </w:pPr>
            <w:r>
              <w:rPr>
                <w:b/>
                <w:bCs/>
                <w:color w:val="auto"/>
                <w:szCs w:val="21"/>
              </w:rPr>
              <w:t>※</w:t>
            </w:r>
          </w:p>
        </w:tc>
        <w:tc>
          <w:tcPr>
            <w:tcW w:w="278" w:type="pct"/>
            <w:tcBorders>
              <w:tl2br w:val="nil"/>
              <w:tr2bl w:val="nil"/>
            </w:tcBorders>
            <w:vAlign w:val="center"/>
          </w:tcPr>
          <w:p w14:paraId="4BCFF847">
            <w:pPr>
              <w:adjustRightInd w:val="0"/>
              <w:jc w:val="center"/>
              <w:rPr>
                <w:b/>
                <w:bCs/>
                <w:color w:val="auto"/>
                <w:szCs w:val="21"/>
              </w:rPr>
            </w:pPr>
          </w:p>
        </w:tc>
        <w:tc>
          <w:tcPr>
            <w:tcW w:w="728" w:type="pct"/>
            <w:gridSpan w:val="2"/>
            <w:tcBorders>
              <w:tl2br w:val="nil"/>
              <w:tr2bl w:val="nil"/>
            </w:tcBorders>
            <w:vAlign w:val="center"/>
          </w:tcPr>
          <w:p w14:paraId="04749EA1">
            <w:pPr>
              <w:adjustRightInd w:val="0"/>
              <w:jc w:val="center"/>
              <w:rPr>
                <w:color w:val="auto"/>
                <w:szCs w:val="21"/>
              </w:rPr>
            </w:pPr>
            <w:r>
              <w:rPr>
                <w:color w:val="auto"/>
                <w:szCs w:val="21"/>
              </w:rPr>
              <w:t>湘</w:t>
            </w:r>
          </w:p>
        </w:tc>
        <w:tc>
          <w:tcPr>
            <w:tcW w:w="370" w:type="pct"/>
            <w:tcBorders>
              <w:tl2br w:val="nil"/>
              <w:tr2bl w:val="nil"/>
            </w:tcBorders>
            <w:vAlign w:val="center"/>
          </w:tcPr>
          <w:p w14:paraId="08F62A02">
            <w:pPr>
              <w:adjustRightInd w:val="0"/>
              <w:jc w:val="center"/>
              <w:rPr>
                <w:color w:val="auto"/>
                <w:szCs w:val="21"/>
              </w:rPr>
            </w:pPr>
            <w:r>
              <w:rPr>
                <w:color w:val="auto"/>
                <w:szCs w:val="21"/>
              </w:rPr>
              <w:t>LC</w:t>
            </w:r>
          </w:p>
        </w:tc>
        <w:tc>
          <w:tcPr>
            <w:tcW w:w="348" w:type="pct"/>
            <w:tcBorders>
              <w:tl2br w:val="nil"/>
              <w:tr2bl w:val="nil"/>
            </w:tcBorders>
            <w:vAlign w:val="center"/>
          </w:tcPr>
          <w:p w14:paraId="66B645F2">
            <w:pPr>
              <w:adjustRightInd w:val="0"/>
              <w:jc w:val="center"/>
              <w:rPr>
                <w:b/>
                <w:bCs/>
                <w:color w:val="auto"/>
                <w:szCs w:val="21"/>
              </w:rPr>
            </w:pPr>
            <w:r>
              <w:rPr>
                <w:color w:val="auto"/>
                <w:szCs w:val="21"/>
              </w:rPr>
              <w:t>K</w:t>
            </w:r>
          </w:p>
        </w:tc>
      </w:tr>
      <w:tr w14:paraId="64107A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7C5B9A3B">
            <w:pPr>
              <w:adjustRightInd w:val="0"/>
              <w:jc w:val="left"/>
              <w:rPr>
                <w:color w:val="auto"/>
                <w:szCs w:val="21"/>
              </w:rPr>
            </w:pPr>
            <w:r>
              <w:rPr>
                <w:color w:val="auto"/>
                <w:szCs w:val="21"/>
              </w:rPr>
              <w:t xml:space="preserve">5 东亚伏翼 </w:t>
            </w:r>
            <w:r>
              <w:rPr>
                <w:i/>
                <w:iCs/>
                <w:color w:val="auto"/>
                <w:szCs w:val="21"/>
              </w:rPr>
              <w:t>Pipistrellus abramus</w:t>
            </w:r>
          </w:p>
        </w:tc>
        <w:tc>
          <w:tcPr>
            <w:tcW w:w="278" w:type="pct"/>
            <w:tcBorders>
              <w:tl2br w:val="nil"/>
              <w:tr2bl w:val="nil"/>
            </w:tcBorders>
            <w:vAlign w:val="center"/>
          </w:tcPr>
          <w:p w14:paraId="6138D0D4">
            <w:pPr>
              <w:adjustRightInd w:val="0"/>
              <w:jc w:val="center"/>
              <w:rPr>
                <w:b/>
                <w:bCs/>
                <w:color w:val="auto"/>
                <w:szCs w:val="21"/>
              </w:rPr>
            </w:pPr>
          </w:p>
        </w:tc>
        <w:tc>
          <w:tcPr>
            <w:tcW w:w="278" w:type="pct"/>
            <w:tcBorders>
              <w:tl2br w:val="nil"/>
              <w:tr2bl w:val="nil"/>
            </w:tcBorders>
            <w:vAlign w:val="center"/>
          </w:tcPr>
          <w:p w14:paraId="5BB0378C">
            <w:pPr>
              <w:adjustRightInd w:val="0"/>
              <w:jc w:val="center"/>
              <w:rPr>
                <w:b/>
                <w:bCs/>
                <w:color w:val="auto"/>
                <w:szCs w:val="21"/>
              </w:rPr>
            </w:pPr>
            <w:r>
              <w:rPr>
                <w:b/>
                <w:bCs/>
                <w:color w:val="auto"/>
                <w:szCs w:val="21"/>
              </w:rPr>
              <w:t>※</w:t>
            </w:r>
          </w:p>
        </w:tc>
        <w:tc>
          <w:tcPr>
            <w:tcW w:w="278" w:type="pct"/>
            <w:tcBorders>
              <w:tl2br w:val="nil"/>
              <w:tr2bl w:val="nil"/>
            </w:tcBorders>
            <w:vAlign w:val="center"/>
          </w:tcPr>
          <w:p w14:paraId="124FCA3B">
            <w:pPr>
              <w:adjustRightInd w:val="0"/>
              <w:jc w:val="center"/>
              <w:rPr>
                <w:b/>
                <w:bCs/>
                <w:color w:val="auto"/>
                <w:szCs w:val="21"/>
              </w:rPr>
            </w:pPr>
          </w:p>
        </w:tc>
        <w:tc>
          <w:tcPr>
            <w:tcW w:w="728" w:type="pct"/>
            <w:gridSpan w:val="2"/>
            <w:tcBorders>
              <w:tl2br w:val="nil"/>
              <w:tr2bl w:val="nil"/>
            </w:tcBorders>
            <w:vAlign w:val="center"/>
          </w:tcPr>
          <w:p w14:paraId="1A0E0125">
            <w:pPr>
              <w:adjustRightInd w:val="0"/>
              <w:jc w:val="center"/>
              <w:rPr>
                <w:color w:val="auto"/>
                <w:szCs w:val="21"/>
              </w:rPr>
            </w:pPr>
            <w:r>
              <w:rPr>
                <w:color w:val="auto"/>
                <w:szCs w:val="21"/>
              </w:rPr>
              <w:t>湘</w:t>
            </w:r>
          </w:p>
        </w:tc>
        <w:tc>
          <w:tcPr>
            <w:tcW w:w="370" w:type="pct"/>
            <w:tcBorders>
              <w:tl2br w:val="nil"/>
              <w:tr2bl w:val="nil"/>
            </w:tcBorders>
            <w:vAlign w:val="center"/>
          </w:tcPr>
          <w:p w14:paraId="264E9566">
            <w:pPr>
              <w:adjustRightInd w:val="0"/>
              <w:jc w:val="center"/>
              <w:rPr>
                <w:color w:val="auto"/>
                <w:szCs w:val="21"/>
              </w:rPr>
            </w:pPr>
            <w:r>
              <w:rPr>
                <w:color w:val="auto"/>
                <w:szCs w:val="21"/>
              </w:rPr>
              <w:t>LC</w:t>
            </w:r>
          </w:p>
        </w:tc>
        <w:tc>
          <w:tcPr>
            <w:tcW w:w="348" w:type="pct"/>
            <w:tcBorders>
              <w:tl2br w:val="nil"/>
              <w:tr2bl w:val="nil"/>
            </w:tcBorders>
            <w:vAlign w:val="center"/>
          </w:tcPr>
          <w:p w14:paraId="2FC6434C">
            <w:pPr>
              <w:adjustRightInd w:val="0"/>
              <w:jc w:val="center"/>
              <w:rPr>
                <w:b/>
                <w:bCs/>
                <w:color w:val="auto"/>
                <w:szCs w:val="21"/>
              </w:rPr>
            </w:pPr>
            <w:r>
              <w:rPr>
                <w:color w:val="auto"/>
                <w:szCs w:val="21"/>
              </w:rPr>
              <w:t>K</w:t>
            </w:r>
          </w:p>
        </w:tc>
      </w:tr>
      <w:tr w14:paraId="6EF60F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67479D8C">
            <w:pPr>
              <w:adjustRightInd w:val="0"/>
              <w:jc w:val="left"/>
              <w:rPr>
                <w:b/>
                <w:bCs/>
                <w:color w:val="auto"/>
                <w:szCs w:val="21"/>
              </w:rPr>
            </w:pPr>
            <w:r>
              <w:rPr>
                <w:b/>
                <w:bCs/>
                <w:color w:val="auto"/>
                <w:szCs w:val="21"/>
              </w:rPr>
              <w:t>Ⅲ 兔形目 LAGOMORPHA</w:t>
            </w:r>
          </w:p>
        </w:tc>
        <w:tc>
          <w:tcPr>
            <w:tcW w:w="278" w:type="pct"/>
            <w:tcBorders>
              <w:tl2br w:val="nil"/>
              <w:tr2bl w:val="nil"/>
            </w:tcBorders>
            <w:vAlign w:val="center"/>
          </w:tcPr>
          <w:p w14:paraId="4173F573">
            <w:pPr>
              <w:adjustRightInd w:val="0"/>
              <w:jc w:val="center"/>
              <w:rPr>
                <w:b/>
                <w:bCs/>
                <w:color w:val="auto"/>
                <w:szCs w:val="21"/>
              </w:rPr>
            </w:pPr>
          </w:p>
        </w:tc>
        <w:tc>
          <w:tcPr>
            <w:tcW w:w="278" w:type="pct"/>
            <w:tcBorders>
              <w:tl2br w:val="nil"/>
              <w:tr2bl w:val="nil"/>
            </w:tcBorders>
            <w:vAlign w:val="center"/>
          </w:tcPr>
          <w:p w14:paraId="189C24B5">
            <w:pPr>
              <w:adjustRightInd w:val="0"/>
              <w:jc w:val="center"/>
              <w:rPr>
                <w:b/>
                <w:bCs/>
                <w:color w:val="auto"/>
                <w:szCs w:val="21"/>
              </w:rPr>
            </w:pPr>
          </w:p>
        </w:tc>
        <w:tc>
          <w:tcPr>
            <w:tcW w:w="278" w:type="pct"/>
            <w:tcBorders>
              <w:tl2br w:val="nil"/>
              <w:tr2bl w:val="nil"/>
            </w:tcBorders>
            <w:vAlign w:val="center"/>
          </w:tcPr>
          <w:p w14:paraId="3938E4C2">
            <w:pPr>
              <w:adjustRightInd w:val="0"/>
              <w:jc w:val="center"/>
              <w:rPr>
                <w:b/>
                <w:bCs/>
                <w:color w:val="auto"/>
                <w:szCs w:val="21"/>
              </w:rPr>
            </w:pPr>
          </w:p>
        </w:tc>
        <w:tc>
          <w:tcPr>
            <w:tcW w:w="728" w:type="pct"/>
            <w:gridSpan w:val="2"/>
            <w:tcBorders>
              <w:tl2br w:val="nil"/>
              <w:tr2bl w:val="nil"/>
            </w:tcBorders>
            <w:vAlign w:val="center"/>
          </w:tcPr>
          <w:p w14:paraId="56ACB85F">
            <w:pPr>
              <w:adjustRightInd w:val="0"/>
              <w:jc w:val="center"/>
              <w:rPr>
                <w:color w:val="auto"/>
                <w:szCs w:val="21"/>
              </w:rPr>
            </w:pPr>
          </w:p>
        </w:tc>
        <w:tc>
          <w:tcPr>
            <w:tcW w:w="370" w:type="pct"/>
            <w:tcBorders>
              <w:tl2br w:val="nil"/>
              <w:tr2bl w:val="nil"/>
            </w:tcBorders>
            <w:vAlign w:val="center"/>
          </w:tcPr>
          <w:p w14:paraId="3B2A02CF">
            <w:pPr>
              <w:adjustRightInd w:val="0"/>
              <w:jc w:val="center"/>
              <w:rPr>
                <w:color w:val="auto"/>
                <w:szCs w:val="21"/>
              </w:rPr>
            </w:pPr>
          </w:p>
        </w:tc>
        <w:tc>
          <w:tcPr>
            <w:tcW w:w="348" w:type="pct"/>
            <w:tcBorders>
              <w:tl2br w:val="nil"/>
              <w:tr2bl w:val="nil"/>
            </w:tcBorders>
            <w:vAlign w:val="center"/>
          </w:tcPr>
          <w:p w14:paraId="55BA810F">
            <w:pPr>
              <w:adjustRightInd w:val="0"/>
              <w:jc w:val="center"/>
              <w:rPr>
                <w:b/>
                <w:bCs/>
                <w:color w:val="auto"/>
                <w:szCs w:val="21"/>
              </w:rPr>
            </w:pPr>
          </w:p>
        </w:tc>
      </w:tr>
      <w:tr w14:paraId="5AC269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70C4BAB6">
            <w:pPr>
              <w:adjustRightInd w:val="0"/>
              <w:jc w:val="left"/>
              <w:rPr>
                <w:b/>
                <w:bCs/>
                <w:color w:val="auto"/>
                <w:szCs w:val="21"/>
              </w:rPr>
            </w:pPr>
            <w:r>
              <w:rPr>
                <w:b/>
                <w:bCs/>
                <w:color w:val="auto"/>
                <w:szCs w:val="21"/>
              </w:rPr>
              <w:t>（五）兔科 Leporidae</w:t>
            </w:r>
          </w:p>
        </w:tc>
        <w:tc>
          <w:tcPr>
            <w:tcW w:w="278" w:type="pct"/>
            <w:tcBorders>
              <w:tl2br w:val="nil"/>
              <w:tr2bl w:val="nil"/>
            </w:tcBorders>
            <w:vAlign w:val="center"/>
          </w:tcPr>
          <w:p w14:paraId="463BC7FC">
            <w:pPr>
              <w:adjustRightInd w:val="0"/>
              <w:jc w:val="center"/>
              <w:rPr>
                <w:b/>
                <w:bCs/>
                <w:color w:val="auto"/>
                <w:szCs w:val="21"/>
              </w:rPr>
            </w:pPr>
          </w:p>
        </w:tc>
        <w:tc>
          <w:tcPr>
            <w:tcW w:w="278" w:type="pct"/>
            <w:tcBorders>
              <w:tl2br w:val="nil"/>
              <w:tr2bl w:val="nil"/>
            </w:tcBorders>
            <w:vAlign w:val="center"/>
          </w:tcPr>
          <w:p w14:paraId="7E73EFBA">
            <w:pPr>
              <w:adjustRightInd w:val="0"/>
              <w:jc w:val="center"/>
              <w:rPr>
                <w:b/>
                <w:bCs/>
                <w:color w:val="auto"/>
                <w:szCs w:val="21"/>
              </w:rPr>
            </w:pPr>
          </w:p>
        </w:tc>
        <w:tc>
          <w:tcPr>
            <w:tcW w:w="278" w:type="pct"/>
            <w:tcBorders>
              <w:tl2br w:val="nil"/>
              <w:tr2bl w:val="nil"/>
            </w:tcBorders>
            <w:vAlign w:val="center"/>
          </w:tcPr>
          <w:p w14:paraId="40C0A2F7">
            <w:pPr>
              <w:adjustRightInd w:val="0"/>
              <w:jc w:val="center"/>
              <w:rPr>
                <w:b/>
                <w:bCs/>
                <w:color w:val="auto"/>
                <w:szCs w:val="21"/>
              </w:rPr>
            </w:pPr>
          </w:p>
        </w:tc>
        <w:tc>
          <w:tcPr>
            <w:tcW w:w="728" w:type="pct"/>
            <w:gridSpan w:val="2"/>
            <w:tcBorders>
              <w:tl2br w:val="nil"/>
              <w:tr2bl w:val="nil"/>
            </w:tcBorders>
            <w:vAlign w:val="center"/>
          </w:tcPr>
          <w:p w14:paraId="3938A2E4">
            <w:pPr>
              <w:adjustRightInd w:val="0"/>
              <w:jc w:val="center"/>
              <w:rPr>
                <w:color w:val="auto"/>
                <w:szCs w:val="21"/>
              </w:rPr>
            </w:pPr>
          </w:p>
        </w:tc>
        <w:tc>
          <w:tcPr>
            <w:tcW w:w="370" w:type="pct"/>
            <w:tcBorders>
              <w:tl2br w:val="nil"/>
              <w:tr2bl w:val="nil"/>
            </w:tcBorders>
            <w:vAlign w:val="center"/>
          </w:tcPr>
          <w:p w14:paraId="4CCDD168">
            <w:pPr>
              <w:adjustRightInd w:val="0"/>
              <w:jc w:val="center"/>
              <w:rPr>
                <w:color w:val="auto"/>
                <w:szCs w:val="21"/>
              </w:rPr>
            </w:pPr>
          </w:p>
        </w:tc>
        <w:tc>
          <w:tcPr>
            <w:tcW w:w="348" w:type="pct"/>
            <w:tcBorders>
              <w:tl2br w:val="nil"/>
              <w:tr2bl w:val="nil"/>
            </w:tcBorders>
            <w:vAlign w:val="center"/>
          </w:tcPr>
          <w:p w14:paraId="0EE74EB0">
            <w:pPr>
              <w:adjustRightInd w:val="0"/>
              <w:jc w:val="center"/>
              <w:rPr>
                <w:b/>
                <w:bCs/>
                <w:color w:val="auto"/>
                <w:szCs w:val="21"/>
              </w:rPr>
            </w:pPr>
          </w:p>
        </w:tc>
      </w:tr>
      <w:tr w14:paraId="3043EB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6F55B90C">
            <w:pPr>
              <w:adjustRightInd w:val="0"/>
              <w:jc w:val="left"/>
              <w:rPr>
                <w:color w:val="auto"/>
                <w:szCs w:val="21"/>
              </w:rPr>
            </w:pPr>
            <w:r>
              <w:rPr>
                <w:color w:val="auto"/>
                <w:szCs w:val="21"/>
              </w:rPr>
              <w:t>6 华南兔</w:t>
            </w:r>
            <w:r>
              <w:rPr>
                <w:i/>
                <w:iCs/>
                <w:color w:val="auto"/>
                <w:szCs w:val="21"/>
              </w:rPr>
              <w:t xml:space="preserve"> Lepus sinensis</w:t>
            </w:r>
          </w:p>
        </w:tc>
        <w:tc>
          <w:tcPr>
            <w:tcW w:w="278" w:type="pct"/>
            <w:tcBorders>
              <w:tl2br w:val="nil"/>
              <w:tr2bl w:val="nil"/>
            </w:tcBorders>
            <w:vAlign w:val="center"/>
          </w:tcPr>
          <w:p w14:paraId="46A8FCFE">
            <w:pPr>
              <w:adjustRightInd w:val="0"/>
              <w:jc w:val="center"/>
              <w:rPr>
                <w:b/>
                <w:bCs/>
                <w:color w:val="auto"/>
                <w:szCs w:val="21"/>
              </w:rPr>
            </w:pPr>
            <w:r>
              <w:rPr>
                <w:b/>
                <w:bCs/>
                <w:color w:val="auto"/>
                <w:szCs w:val="21"/>
              </w:rPr>
              <w:t>※</w:t>
            </w:r>
          </w:p>
        </w:tc>
        <w:tc>
          <w:tcPr>
            <w:tcW w:w="278" w:type="pct"/>
            <w:tcBorders>
              <w:tl2br w:val="nil"/>
              <w:tr2bl w:val="nil"/>
            </w:tcBorders>
            <w:vAlign w:val="center"/>
          </w:tcPr>
          <w:p w14:paraId="5BFE6B06">
            <w:pPr>
              <w:adjustRightInd w:val="0"/>
              <w:jc w:val="center"/>
              <w:rPr>
                <w:b/>
                <w:bCs/>
                <w:color w:val="auto"/>
                <w:szCs w:val="21"/>
              </w:rPr>
            </w:pPr>
          </w:p>
        </w:tc>
        <w:tc>
          <w:tcPr>
            <w:tcW w:w="278" w:type="pct"/>
            <w:tcBorders>
              <w:tl2br w:val="nil"/>
              <w:tr2bl w:val="nil"/>
            </w:tcBorders>
            <w:vAlign w:val="center"/>
          </w:tcPr>
          <w:p w14:paraId="4A5C9B59">
            <w:pPr>
              <w:adjustRightInd w:val="0"/>
              <w:jc w:val="center"/>
              <w:rPr>
                <w:b/>
                <w:bCs/>
                <w:color w:val="auto"/>
                <w:szCs w:val="21"/>
              </w:rPr>
            </w:pPr>
          </w:p>
        </w:tc>
        <w:tc>
          <w:tcPr>
            <w:tcW w:w="728" w:type="pct"/>
            <w:gridSpan w:val="2"/>
            <w:tcBorders>
              <w:tl2br w:val="nil"/>
              <w:tr2bl w:val="nil"/>
            </w:tcBorders>
            <w:vAlign w:val="center"/>
          </w:tcPr>
          <w:p w14:paraId="5DC07AD3">
            <w:pPr>
              <w:adjustRightInd w:val="0"/>
              <w:jc w:val="center"/>
              <w:rPr>
                <w:color w:val="auto"/>
                <w:szCs w:val="21"/>
              </w:rPr>
            </w:pPr>
            <w:r>
              <w:rPr>
                <w:color w:val="auto"/>
                <w:szCs w:val="21"/>
              </w:rPr>
              <w:t>三有；湘</w:t>
            </w:r>
          </w:p>
        </w:tc>
        <w:tc>
          <w:tcPr>
            <w:tcW w:w="370" w:type="pct"/>
            <w:tcBorders>
              <w:tl2br w:val="nil"/>
              <w:tr2bl w:val="nil"/>
            </w:tcBorders>
            <w:vAlign w:val="center"/>
          </w:tcPr>
          <w:p w14:paraId="3C34D428">
            <w:pPr>
              <w:adjustRightInd w:val="0"/>
              <w:jc w:val="center"/>
              <w:rPr>
                <w:color w:val="auto"/>
                <w:szCs w:val="21"/>
              </w:rPr>
            </w:pPr>
            <w:r>
              <w:rPr>
                <w:color w:val="auto"/>
                <w:szCs w:val="21"/>
              </w:rPr>
              <w:t>LC</w:t>
            </w:r>
          </w:p>
        </w:tc>
        <w:tc>
          <w:tcPr>
            <w:tcW w:w="348" w:type="pct"/>
            <w:tcBorders>
              <w:tl2br w:val="nil"/>
              <w:tr2bl w:val="nil"/>
            </w:tcBorders>
            <w:vAlign w:val="center"/>
          </w:tcPr>
          <w:p w14:paraId="51BBE4C3">
            <w:pPr>
              <w:adjustRightInd w:val="0"/>
              <w:jc w:val="center"/>
              <w:rPr>
                <w:b/>
                <w:bCs/>
                <w:color w:val="auto"/>
                <w:szCs w:val="21"/>
              </w:rPr>
            </w:pPr>
            <w:r>
              <w:rPr>
                <w:color w:val="auto"/>
                <w:szCs w:val="21"/>
              </w:rPr>
              <w:t>K</w:t>
            </w:r>
          </w:p>
        </w:tc>
      </w:tr>
      <w:tr w14:paraId="3EC86C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38B60A38">
            <w:pPr>
              <w:adjustRightInd w:val="0"/>
              <w:jc w:val="left"/>
              <w:rPr>
                <w:color w:val="auto"/>
                <w:szCs w:val="21"/>
              </w:rPr>
            </w:pPr>
            <w:r>
              <w:rPr>
                <w:b/>
                <w:bCs/>
                <w:color w:val="auto"/>
                <w:szCs w:val="21"/>
              </w:rPr>
              <w:t>Ⅳ 啮齿目 RODENTIA</w:t>
            </w:r>
          </w:p>
        </w:tc>
        <w:tc>
          <w:tcPr>
            <w:tcW w:w="278" w:type="pct"/>
            <w:tcBorders>
              <w:tl2br w:val="nil"/>
              <w:tr2bl w:val="nil"/>
            </w:tcBorders>
            <w:vAlign w:val="center"/>
          </w:tcPr>
          <w:p w14:paraId="3AB2D82B">
            <w:pPr>
              <w:adjustRightInd w:val="0"/>
              <w:jc w:val="center"/>
              <w:rPr>
                <w:b/>
                <w:bCs/>
                <w:color w:val="auto"/>
                <w:szCs w:val="21"/>
              </w:rPr>
            </w:pPr>
          </w:p>
        </w:tc>
        <w:tc>
          <w:tcPr>
            <w:tcW w:w="278" w:type="pct"/>
            <w:tcBorders>
              <w:tl2br w:val="nil"/>
              <w:tr2bl w:val="nil"/>
            </w:tcBorders>
            <w:vAlign w:val="center"/>
          </w:tcPr>
          <w:p w14:paraId="7A1BAA95">
            <w:pPr>
              <w:adjustRightInd w:val="0"/>
              <w:jc w:val="center"/>
              <w:rPr>
                <w:b/>
                <w:bCs/>
                <w:color w:val="auto"/>
                <w:szCs w:val="21"/>
              </w:rPr>
            </w:pPr>
          </w:p>
        </w:tc>
        <w:tc>
          <w:tcPr>
            <w:tcW w:w="278" w:type="pct"/>
            <w:tcBorders>
              <w:tl2br w:val="nil"/>
              <w:tr2bl w:val="nil"/>
            </w:tcBorders>
            <w:vAlign w:val="center"/>
          </w:tcPr>
          <w:p w14:paraId="126C027A">
            <w:pPr>
              <w:adjustRightInd w:val="0"/>
              <w:jc w:val="center"/>
              <w:rPr>
                <w:b/>
                <w:bCs/>
                <w:color w:val="auto"/>
                <w:szCs w:val="21"/>
              </w:rPr>
            </w:pPr>
          </w:p>
        </w:tc>
        <w:tc>
          <w:tcPr>
            <w:tcW w:w="728" w:type="pct"/>
            <w:gridSpan w:val="2"/>
            <w:tcBorders>
              <w:tl2br w:val="nil"/>
              <w:tr2bl w:val="nil"/>
            </w:tcBorders>
            <w:vAlign w:val="center"/>
          </w:tcPr>
          <w:p w14:paraId="54A7CEF9">
            <w:pPr>
              <w:adjustRightInd w:val="0"/>
              <w:jc w:val="center"/>
              <w:rPr>
                <w:color w:val="auto"/>
                <w:szCs w:val="21"/>
              </w:rPr>
            </w:pPr>
          </w:p>
        </w:tc>
        <w:tc>
          <w:tcPr>
            <w:tcW w:w="370" w:type="pct"/>
            <w:tcBorders>
              <w:tl2br w:val="nil"/>
              <w:tr2bl w:val="nil"/>
            </w:tcBorders>
            <w:vAlign w:val="center"/>
          </w:tcPr>
          <w:p w14:paraId="44BBF954">
            <w:pPr>
              <w:adjustRightInd w:val="0"/>
              <w:jc w:val="center"/>
              <w:rPr>
                <w:color w:val="auto"/>
                <w:szCs w:val="21"/>
              </w:rPr>
            </w:pPr>
          </w:p>
        </w:tc>
        <w:tc>
          <w:tcPr>
            <w:tcW w:w="348" w:type="pct"/>
            <w:tcBorders>
              <w:tl2br w:val="nil"/>
              <w:tr2bl w:val="nil"/>
            </w:tcBorders>
            <w:vAlign w:val="center"/>
          </w:tcPr>
          <w:p w14:paraId="7A58E14E">
            <w:pPr>
              <w:adjustRightInd w:val="0"/>
              <w:jc w:val="center"/>
              <w:rPr>
                <w:color w:val="auto"/>
                <w:szCs w:val="21"/>
              </w:rPr>
            </w:pPr>
          </w:p>
        </w:tc>
      </w:tr>
      <w:tr w14:paraId="458038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29FF7A3B">
            <w:pPr>
              <w:adjustRightInd w:val="0"/>
              <w:jc w:val="left"/>
              <w:rPr>
                <w:color w:val="auto"/>
                <w:szCs w:val="21"/>
              </w:rPr>
            </w:pPr>
            <w:r>
              <w:rPr>
                <w:b/>
                <w:bCs/>
                <w:color w:val="auto"/>
                <w:szCs w:val="21"/>
              </w:rPr>
              <w:t>（六）仓鼠科 Cricetidae</w:t>
            </w:r>
          </w:p>
        </w:tc>
        <w:tc>
          <w:tcPr>
            <w:tcW w:w="278" w:type="pct"/>
            <w:tcBorders>
              <w:tl2br w:val="nil"/>
              <w:tr2bl w:val="nil"/>
            </w:tcBorders>
            <w:vAlign w:val="center"/>
          </w:tcPr>
          <w:p w14:paraId="4900E36E">
            <w:pPr>
              <w:adjustRightInd w:val="0"/>
              <w:jc w:val="center"/>
              <w:rPr>
                <w:b/>
                <w:bCs/>
                <w:color w:val="auto"/>
                <w:szCs w:val="21"/>
              </w:rPr>
            </w:pPr>
          </w:p>
        </w:tc>
        <w:tc>
          <w:tcPr>
            <w:tcW w:w="278" w:type="pct"/>
            <w:tcBorders>
              <w:tl2br w:val="nil"/>
              <w:tr2bl w:val="nil"/>
            </w:tcBorders>
            <w:vAlign w:val="center"/>
          </w:tcPr>
          <w:p w14:paraId="4221BD11">
            <w:pPr>
              <w:adjustRightInd w:val="0"/>
              <w:jc w:val="center"/>
              <w:rPr>
                <w:b/>
                <w:bCs/>
                <w:color w:val="auto"/>
                <w:szCs w:val="21"/>
              </w:rPr>
            </w:pPr>
          </w:p>
        </w:tc>
        <w:tc>
          <w:tcPr>
            <w:tcW w:w="278" w:type="pct"/>
            <w:tcBorders>
              <w:tl2br w:val="nil"/>
              <w:tr2bl w:val="nil"/>
            </w:tcBorders>
            <w:vAlign w:val="center"/>
          </w:tcPr>
          <w:p w14:paraId="235F014E">
            <w:pPr>
              <w:adjustRightInd w:val="0"/>
              <w:jc w:val="center"/>
              <w:rPr>
                <w:b/>
                <w:bCs/>
                <w:color w:val="auto"/>
                <w:szCs w:val="21"/>
              </w:rPr>
            </w:pPr>
          </w:p>
        </w:tc>
        <w:tc>
          <w:tcPr>
            <w:tcW w:w="728" w:type="pct"/>
            <w:gridSpan w:val="2"/>
            <w:tcBorders>
              <w:tl2br w:val="nil"/>
              <w:tr2bl w:val="nil"/>
            </w:tcBorders>
            <w:vAlign w:val="center"/>
          </w:tcPr>
          <w:p w14:paraId="0EC1D5CC">
            <w:pPr>
              <w:adjustRightInd w:val="0"/>
              <w:jc w:val="center"/>
              <w:rPr>
                <w:color w:val="auto"/>
                <w:szCs w:val="21"/>
              </w:rPr>
            </w:pPr>
          </w:p>
        </w:tc>
        <w:tc>
          <w:tcPr>
            <w:tcW w:w="370" w:type="pct"/>
            <w:tcBorders>
              <w:tl2br w:val="nil"/>
              <w:tr2bl w:val="nil"/>
            </w:tcBorders>
            <w:vAlign w:val="center"/>
          </w:tcPr>
          <w:p w14:paraId="3D339906">
            <w:pPr>
              <w:adjustRightInd w:val="0"/>
              <w:jc w:val="center"/>
              <w:rPr>
                <w:color w:val="auto"/>
                <w:szCs w:val="21"/>
              </w:rPr>
            </w:pPr>
          </w:p>
        </w:tc>
        <w:tc>
          <w:tcPr>
            <w:tcW w:w="348" w:type="pct"/>
            <w:tcBorders>
              <w:tl2br w:val="nil"/>
              <w:tr2bl w:val="nil"/>
            </w:tcBorders>
            <w:vAlign w:val="center"/>
          </w:tcPr>
          <w:p w14:paraId="7F825192">
            <w:pPr>
              <w:adjustRightInd w:val="0"/>
              <w:jc w:val="center"/>
              <w:rPr>
                <w:color w:val="auto"/>
                <w:szCs w:val="21"/>
              </w:rPr>
            </w:pPr>
          </w:p>
        </w:tc>
      </w:tr>
      <w:tr w14:paraId="69B512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6301F7D4">
            <w:pPr>
              <w:adjustRightInd w:val="0"/>
              <w:jc w:val="left"/>
              <w:rPr>
                <w:color w:val="auto"/>
                <w:szCs w:val="21"/>
              </w:rPr>
            </w:pPr>
            <w:r>
              <w:rPr>
                <w:color w:val="auto"/>
                <w:szCs w:val="21"/>
              </w:rPr>
              <w:t xml:space="preserve">7 东方田鼠 </w:t>
            </w:r>
            <w:r>
              <w:rPr>
                <w:i/>
                <w:iCs/>
                <w:color w:val="auto"/>
                <w:szCs w:val="21"/>
              </w:rPr>
              <w:t>Microtus fortis</w:t>
            </w:r>
          </w:p>
        </w:tc>
        <w:tc>
          <w:tcPr>
            <w:tcW w:w="278" w:type="pct"/>
            <w:tcBorders>
              <w:tl2br w:val="nil"/>
              <w:tr2bl w:val="nil"/>
            </w:tcBorders>
            <w:vAlign w:val="center"/>
          </w:tcPr>
          <w:p w14:paraId="5D8D635E">
            <w:pPr>
              <w:adjustRightInd w:val="0"/>
              <w:jc w:val="center"/>
              <w:rPr>
                <w:b/>
                <w:bCs/>
                <w:color w:val="auto"/>
                <w:szCs w:val="21"/>
              </w:rPr>
            </w:pPr>
          </w:p>
        </w:tc>
        <w:tc>
          <w:tcPr>
            <w:tcW w:w="278" w:type="pct"/>
            <w:tcBorders>
              <w:tl2br w:val="nil"/>
              <w:tr2bl w:val="nil"/>
            </w:tcBorders>
            <w:vAlign w:val="center"/>
          </w:tcPr>
          <w:p w14:paraId="142A07CF">
            <w:pPr>
              <w:adjustRightInd w:val="0"/>
              <w:jc w:val="center"/>
              <w:rPr>
                <w:b/>
                <w:bCs/>
                <w:color w:val="auto"/>
                <w:szCs w:val="21"/>
              </w:rPr>
            </w:pPr>
            <w:r>
              <w:rPr>
                <w:b/>
                <w:bCs/>
                <w:color w:val="auto"/>
                <w:szCs w:val="21"/>
              </w:rPr>
              <w:t>※</w:t>
            </w:r>
          </w:p>
        </w:tc>
        <w:tc>
          <w:tcPr>
            <w:tcW w:w="278" w:type="pct"/>
            <w:tcBorders>
              <w:tl2br w:val="nil"/>
              <w:tr2bl w:val="nil"/>
            </w:tcBorders>
            <w:vAlign w:val="center"/>
          </w:tcPr>
          <w:p w14:paraId="2B7A50F0">
            <w:pPr>
              <w:adjustRightInd w:val="0"/>
              <w:jc w:val="center"/>
              <w:rPr>
                <w:b/>
                <w:bCs/>
                <w:color w:val="auto"/>
                <w:szCs w:val="21"/>
              </w:rPr>
            </w:pPr>
          </w:p>
        </w:tc>
        <w:tc>
          <w:tcPr>
            <w:tcW w:w="728" w:type="pct"/>
            <w:gridSpan w:val="2"/>
            <w:tcBorders>
              <w:tl2br w:val="nil"/>
              <w:tr2bl w:val="nil"/>
            </w:tcBorders>
            <w:vAlign w:val="center"/>
          </w:tcPr>
          <w:p w14:paraId="0E7FDEA2">
            <w:pPr>
              <w:adjustRightInd w:val="0"/>
              <w:jc w:val="center"/>
              <w:rPr>
                <w:color w:val="auto"/>
                <w:szCs w:val="21"/>
              </w:rPr>
            </w:pPr>
          </w:p>
        </w:tc>
        <w:tc>
          <w:tcPr>
            <w:tcW w:w="370" w:type="pct"/>
            <w:tcBorders>
              <w:tl2br w:val="nil"/>
              <w:tr2bl w:val="nil"/>
            </w:tcBorders>
            <w:vAlign w:val="center"/>
          </w:tcPr>
          <w:p w14:paraId="5A8C9F5A">
            <w:pPr>
              <w:adjustRightInd w:val="0"/>
              <w:jc w:val="center"/>
              <w:rPr>
                <w:color w:val="auto"/>
                <w:szCs w:val="21"/>
              </w:rPr>
            </w:pPr>
            <w:r>
              <w:rPr>
                <w:color w:val="auto"/>
                <w:szCs w:val="21"/>
              </w:rPr>
              <w:t>LC</w:t>
            </w:r>
          </w:p>
        </w:tc>
        <w:tc>
          <w:tcPr>
            <w:tcW w:w="348" w:type="pct"/>
            <w:tcBorders>
              <w:tl2br w:val="nil"/>
              <w:tr2bl w:val="nil"/>
            </w:tcBorders>
            <w:vAlign w:val="center"/>
          </w:tcPr>
          <w:p w14:paraId="5FCA29DE">
            <w:pPr>
              <w:adjustRightInd w:val="0"/>
              <w:jc w:val="center"/>
              <w:rPr>
                <w:color w:val="auto"/>
                <w:szCs w:val="21"/>
              </w:rPr>
            </w:pPr>
            <w:r>
              <w:rPr>
                <w:color w:val="auto"/>
                <w:szCs w:val="21"/>
              </w:rPr>
              <w:t>K</w:t>
            </w:r>
          </w:p>
        </w:tc>
      </w:tr>
      <w:tr w14:paraId="3CCB03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6289EA9A">
            <w:pPr>
              <w:adjustRightInd w:val="0"/>
              <w:jc w:val="left"/>
              <w:rPr>
                <w:color w:val="auto"/>
                <w:szCs w:val="21"/>
              </w:rPr>
            </w:pPr>
            <w:r>
              <w:rPr>
                <w:b/>
                <w:bCs/>
                <w:color w:val="auto"/>
                <w:szCs w:val="21"/>
              </w:rPr>
              <w:t>（七）鼠科 Muridae</w:t>
            </w:r>
          </w:p>
        </w:tc>
        <w:tc>
          <w:tcPr>
            <w:tcW w:w="278" w:type="pct"/>
            <w:tcBorders>
              <w:tl2br w:val="nil"/>
              <w:tr2bl w:val="nil"/>
            </w:tcBorders>
            <w:vAlign w:val="center"/>
          </w:tcPr>
          <w:p w14:paraId="5FFA0F7A">
            <w:pPr>
              <w:adjustRightInd w:val="0"/>
              <w:jc w:val="center"/>
              <w:rPr>
                <w:b/>
                <w:bCs/>
                <w:color w:val="auto"/>
                <w:szCs w:val="21"/>
              </w:rPr>
            </w:pPr>
          </w:p>
        </w:tc>
        <w:tc>
          <w:tcPr>
            <w:tcW w:w="278" w:type="pct"/>
            <w:tcBorders>
              <w:tl2br w:val="nil"/>
              <w:tr2bl w:val="nil"/>
            </w:tcBorders>
            <w:vAlign w:val="center"/>
          </w:tcPr>
          <w:p w14:paraId="1730ACFD">
            <w:pPr>
              <w:adjustRightInd w:val="0"/>
              <w:jc w:val="center"/>
              <w:rPr>
                <w:b/>
                <w:bCs/>
                <w:color w:val="auto"/>
                <w:szCs w:val="21"/>
              </w:rPr>
            </w:pPr>
          </w:p>
        </w:tc>
        <w:tc>
          <w:tcPr>
            <w:tcW w:w="278" w:type="pct"/>
            <w:tcBorders>
              <w:tl2br w:val="nil"/>
              <w:tr2bl w:val="nil"/>
            </w:tcBorders>
            <w:vAlign w:val="center"/>
          </w:tcPr>
          <w:p w14:paraId="41692E71">
            <w:pPr>
              <w:adjustRightInd w:val="0"/>
              <w:jc w:val="center"/>
              <w:rPr>
                <w:b/>
                <w:bCs/>
                <w:color w:val="auto"/>
                <w:szCs w:val="21"/>
              </w:rPr>
            </w:pPr>
          </w:p>
        </w:tc>
        <w:tc>
          <w:tcPr>
            <w:tcW w:w="728" w:type="pct"/>
            <w:gridSpan w:val="2"/>
            <w:tcBorders>
              <w:tl2br w:val="nil"/>
              <w:tr2bl w:val="nil"/>
            </w:tcBorders>
            <w:vAlign w:val="center"/>
          </w:tcPr>
          <w:p w14:paraId="7B27784B">
            <w:pPr>
              <w:adjustRightInd w:val="0"/>
              <w:jc w:val="center"/>
              <w:rPr>
                <w:color w:val="auto"/>
                <w:szCs w:val="21"/>
              </w:rPr>
            </w:pPr>
          </w:p>
        </w:tc>
        <w:tc>
          <w:tcPr>
            <w:tcW w:w="370" w:type="pct"/>
            <w:tcBorders>
              <w:tl2br w:val="nil"/>
              <w:tr2bl w:val="nil"/>
            </w:tcBorders>
            <w:vAlign w:val="center"/>
          </w:tcPr>
          <w:p w14:paraId="343ECDE2">
            <w:pPr>
              <w:adjustRightInd w:val="0"/>
              <w:jc w:val="center"/>
              <w:rPr>
                <w:color w:val="auto"/>
                <w:szCs w:val="21"/>
              </w:rPr>
            </w:pPr>
          </w:p>
        </w:tc>
        <w:tc>
          <w:tcPr>
            <w:tcW w:w="348" w:type="pct"/>
            <w:tcBorders>
              <w:tl2br w:val="nil"/>
              <w:tr2bl w:val="nil"/>
            </w:tcBorders>
            <w:vAlign w:val="center"/>
          </w:tcPr>
          <w:p w14:paraId="686D1BA9">
            <w:pPr>
              <w:adjustRightInd w:val="0"/>
              <w:jc w:val="center"/>
              <w:rPr>
                <w:color w:val="auto"/>
                <w:szCs w:val="21"/>
              </w:rPr>
            </w:pPr>
          </w:p>
        </w:tc>
      </w:tr>
      <w:tr w14:paraId="30C27B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53636E26">
            <w:pPr>
              <w:adjustRightInd w:val="0"/>
              <w:jc w:val="left"/>
              <w:rPr>
                <w:color w:val="auto"/>
                <w:szCs w:val="21"/>
              </w:rPr>
            </w:pPr>
            <w:r>
              <w:rPr>
                <w:color w:val="auto"/>
                <w:szCs w:val="21"/>
              </w:rPr>
              <w:t xml:space="preserve">8 小家鼠 </w:t>
            </w:r>
            <w:r>
              <w:rPr>
                <w:i/>
                <w:iCs/>
                <w:color w:val="auto"/>
                <w:szCs w:val="21"/>
              </w:rPr>
              <w:t>Mus musculus</w:t>
            </w:r>
          </w:p>
        </w:tc>
        <w:tc>
          <w:tcPr>
            <w:tcW w:w="278" w:type="pct"/>
            <w:tcBorders>
              <w:tl2br w:val="nil"/>
              <w:tr2bl w:val="nil"/>
            </w:tcBorders>
            <w:vAlign w:val="center"/>
          </w:tcPr>
          <w:p w14:paraId="28857EB9">
            <w:pPr>
              <w:adjustRightInd w:val="0"/>
              <w:jc w:val="center"/>
              <w:rPr>
                <w:b/>
                <w:bCs/>
                <w:color w:val="auto"/>
                <w:szCs w:val="21"/>
              </w:rPr>
            </w:pPr>
          </w:p>
        </w:tc>
        <w:tc>
          <w:tcPr>
            <w:tcW w:w="278" w:type="pct"/>
            <w:tcBorders>
              <w:tl2br w:val="nil"/>
              <w:tr2bl w:val="nil"/>
            </w:tcBorders>
            <w:vAlign w:val="center"/>
          </w:tcPr>
          <w:p w14:paraId="245B4DA9">
            <w:pPr>
              <w:adjustRightInd w:val="0"/>
              <w:jc w:val="center"/>
              <w:rPr>
                <w:b/>
                <w:bCs/>
                <w:color w:val="auto"/>
                <w:szCs w:val="21"/>
              </w:rPr>
            </w:pPr>
            <w:r>
              <w:rPr>
                <w:b/>
                <w:bCs/>
                <w:color w:val="auto"/>
                <w:szCs w:val="21"/>
              </w:rPr>
              <w:t>※</w:t>
            </w:r>
          </w:p>
        </w:tc>
        <w:tc>
          <w:tcPr>
            <w:tcW w:w="278" w:type="pct"/>
            <w:tcBorders>
              <w:tl2br w:val="nil"/>
              <w:tr2bl w:val="nil"/>
            </w:tcBorders>
            <w:vAlign w:val="center"/>
          </w:tcPr>
          <w:p w14:paraId="5DBF06B0">
            <w:pPr>
              <w:adjustRightInd w:val="0"/>
              <w:jc w:val="center"/>
              <w:rPr>
                <w:b/>
                <w:bCs/>
                <w:color w:val="auto"/>
                <w:szCs w:val="21"/>
              </w:rPr>
            </w:pPr>
          </w:p>
        </w:tc>
        <w:tc>
          <w:tcPr>
            <w:tcW w:w="728" w:type="pct"/>
            <w:gridSpan w:val="2"/>
            <w:tcBorders>
              <w:tl2br w:val="nil"/>
              <w:tr2bl w:val="nil"/>
            </w:tcBorders>
            <w:vAlign w:val="center"/>
          </w:tcPr>
          <w:p w14:paraId="047073EB">
            <w:pPr>
              <w:adjustRightInd w:val="0"/>
              <w:jc w:val="center"/>
              <w:rPr>
                <w:color w:val="auto"/>
                <w:szCs w:val="21"/>
              </w:rPr>
            </w:pPr>
          </w:p>
        </w:tc>
        <w:tc>
          <w:tcPr>
            <w:tcW w:w="370" w:type="pct"/>
            <w:tcBorders>
              <w:tl2br w:val="nil"/>
              <w:tr2bl w:val="nil"/>
            </w:tcBorders>
            <w:vAlign w:val="center"/>
          </w:tcPr>
          <w:p w14:paraId="691BBA03">
            <w:pPr>
              <w:adjustRightInd w:val="0"/>
              <w:jc w:val="center"/>
              <w:rPr>
                <w:color w:val="auto"/>
                <w:szCs w:val="21"/>
              </w:rPr>
            </w:pPr>
            <w:r>
              <w:rPr>
                <w:color w:val="auto"/>
                <w:szCs w:val="21"/>
              </w:rPr>
              <w:t>LC</w:t>
            </w:r>
          </w:p>
        </w:tc>
        <w:tc>
          <w:tcPr>
            <w:tcW w:w="348" w:type="pct"/>
            <w:tcBorders>
              <w:tl2br w:val="nil"/>
              <w:tr2bl w:val="nil"/>
            </w:tcBorders>
            <w:vAlign w:val="center"/>
          </w:tcPr>
          <w:p w14:paraId="67BBF568">
            <w:pPr>
              <w:adjustRightInd w:val="0"/>
              <w:jc w:val="center"/>
              <w:rPr>
                <w:color w:val="auto"/>
                <w:szCs w:val="21"/>
              </w:rPr>
            </w:pPr>
            <w:r>
              <w:rPr>
                <w:color w:val="auto"/>
                <w:szCs w:val="21"/>
              </w:rPr>
              <w:t>K</w:t>
            </w:r>
          </w:p>
        </w:tc>
      </w:tr>
      <w:tr w14:paraId="2B851D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300262F1">
            <w:pPr>
              <w:adjustRightInd w:val="0"/>
              <w:jc w:val="left"/>
              <w:rPr>
                <w:color w:val="auto"/>
                <w:szCs w:val="21"/>
              </w:rPr>
            </w:pPr>
            <w:r>
              <w:rPr>
                <w:color w:val="auto"/>
                <w:szCs w:val="21"/>
              </w:rPr>
              <w:t xml:space="preserve">9 褐家鼠 </w:t>
            </w:r>
            <w:r>
              <w:rPr>
                <w:i/>
                <w:iCs/>
                <w:color w:val="auto"/>
                <w:szCs w:val="21"/>
              </w:rPr>
              <w:t>Rattus norvegicus</w:t>
            </w:r>
          </w:p>
        </w:tc>
        <w:tc>
          <w:tcPr>
            <w:tcW w:w="278" w:type="pct"/>
            <w:tcBorders>
              <w:tl2br w:val="nil"/>
              <w:tr2bl w:val="nil"/>
            </w:tcBorders>
            <w:vAlign w:val="center"/>
          </w:tcPr>
          <w:p w14:paraId="669A8314">
            <w:pPr>
              <w:adjustRightInd w:val="0"/>
              <w:jc w:val="center"/>
              <w:rPr>
                <w:b/>
                <w:bCs/>
                <w:color w:val="auto"/>
                <w:szCs w:val="21"/>
              </w:rPr>
            </w:pPr>
          </w:p>
        </w:tc>
        <w:tc>
          <w:tcPr>
            <w:tcW w:w="278" w:type="pct"/>
            <w:tcBorders>
              <w:tl2br w:val="nil"/>
              <w:tr2bl w:val="nil"/>
            </w:tcBorders>
            <w:vAlign w:val="center"/>
          </w:tcPr>
          <w:p w14:paraId="50A373B3">
            <w:pPr>
              <w:adjustRightInd w:val="0"/>
              <w:jc w:val="center"/>
              <w:rPr>
                <w:b/>
                <w:bCs/>
                <w:color w:val="auto"/>
                <w:szCs w:val="21"/>
              </w:rPr>
            </w:pPr>
          </w:p>
        </w:tc>
        <w:tc>
          <w:tcPr>
            <w:tcW w:w="278" w:type="pct"/>
            <w:tcBorders>
              <w:tl2br w:val="nil"/>
              <w:tr2bl w:val="nil"/>
            </w:tcBorders>
            <w:vAlign w:val="center"/>
          </w:tcPr>
          <w:p w14:paraId="299A8746">
            <w:pPr>
              <w:adjustRightInd w:val="0"/>
              <w:jc w:val="center"/>
              <w:rPr>
                <w:b/>
                <w:bCs/>
                <w:color w:val="auto"/>
                <w:szCs w:val="21"/>
              </w:rPr>
            </w:pPr>
            <w:r>
              <w:rPr>
                <w:b/>
                <w:bCs/>
                <w:color w:val="auto"/>
                <w:szCs w:val="21"/>
              </w:rPr>
              <w:t>※</w:t>
            </w:r>
          </w:p>
        </w:tc>
        <w:tc>
          <w:tcPr>
            <w:tcW w:w="728" w:type="pct"/>
            <w:gridSpan w:val="2"/>
            <w:tcBorders>
              <w:tl2br w:val="nil"/>
              <w:tr2bl w:val="nil"/>
            </w:tcBorders>
            <w:vAlign w:val="center"/>
          </w:tcPr>
          <w:p w14:paraId="28445BD4">
            <w:pPr>
              <w:adjustRightInd w:val="0"/>
              <w:jc w:val="center"/>
              <w:rPr>
                <w:color w:val="auto"/>
                <w:szCs w:val="21"/>
              </w:rPr>
            </w:pPr>
          </w:p>
        </w:tc>
        <w:tc>
          <w:tcPr>
            <w:tcW w:w="370" w:type="pct"/>
            <w:tcBorders>
              <w:tl2br w:val="nil"/>
              <w:tr2bl w:val="nil"/>
            </w:tcBorders>
            <w:vAlign w:val="center"/>
          </w:tcPr>
          <w:p w14:paraId="61838DDC">
            <w:pPr>
              <w:adjustRightInd w:val="0"/>
              <w:jc w:val="center"/>
              <w:rPr>
                <w:color w:val="auto"/>
                <w:szCs w:val="21"/>
              </w:rPr>
            </w:pPr>
            <w:r>
              <w:rPr>
                <w:color w:val="auto"/>
                <w:szCs w:val="21"/>
              </w:rPr>
              <w:t>LC</w:t>
            </w:r>
          </w:p>
        </w:tc>
        <w:tc>
          <w:tcPr>
            <w:tcW w:w="348" w:type="pct"/>
            <w:tcBorders>
              <w:tl2br w:val="nil"/>
              <w:tr2bl w:val="nil"/>
            </w:tcBorders>
            <w:vAlign w:val="center"/>
          </w:tcPr>
          <w:p w14:paraId="0EE61375">
            <w:pPr>
              <w:adjustRightInd w:val="0"/>
              <w:jc w:val="center"/>
              <w:rPr>
                <w:color w:val="auto"/>
                <w:szCs w:val="21"/>
              </w:rPr>
            </w:pPr>
            <w:r>
              <w:rPr>
                <w:color w:val="auto"/>
                <w:szCs w:val="21"/>
              </w:rPr>
              <w:t>K</w:t>
            </w:r>
          </w:p>
        </w:tc>
      </w:tr>
      <w:tr w14:paraId="3E0F05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2CC9F24C">
            <w:pPr>
              <w:adjustRightInd w:val="0"/>
              <w:jc w:val="left"/>
              <w:rPr>
                <w:b/>
                <w:bCs/>
                <w:color w:val="auto"/>
                <w:szCs w:val="21"/>
              </w:rPr>
            </w:pPr>
            <w:r>
              <w:rPr>
                <w:color w:val="auto"/>
                <w:szCs w:val="21"/>
              </w:rPr>
              <w:t xml:space="preserve">10 黑线姬鼠 </w:t>
            </w:r>
            <w:r>
              <w:rPr>
                <w:i/>
                <w:iCs/>
                <w:color w:val="auto"/>
                <w:szCs w:val="21"/>
              </w:rPr>
              <w:t>Apodemus agrarius</w:t>
            </w:r>
          </w:p>
        </w:tc>
        <w:tc>
          <w:tcPr>
            <w:tcW w:w="278" w:type="pct"/>
            <w:tcBorders>
              <w:tl2br w:val="nil"/>
              <w:tr2bl w:val="nil"/>
            </w:tcBorders>
            <w:vAlign w:val="center"/>
          </w:tcPr>
          <w:p w14:paraId="5A6120EE">
            <w:pPr>
              <w:adjustRightInd w:val="0"/>
              <w:jc w:val="center"/>
              <w:rPr>
                <w:b/>
                <w:bCs/>
                <w:color w:val="auto"/>
                <w:szCs w:val="21"/>
              </w:rPr>
            </w:pPr>
            <w:r>
              <w:rPr>
                <w:b/>
                <w:bCs/>
                <w:color w:val="auto"/>
                <w:szCs w:val="21"/>
              </w:rPr>
              <w:t>※</w:t>
            </w:r>
          </w:p>
        </w:tc>
        <w:tc>
          <w:tcPr>
            <w:tcW w:w="278" w:type="pct"/>
            <w:tcBorders>
              <w:tl2br w:val="nil"/>
              <w:tr2bl w:val="nil"/>
            </w:tcBorders>
            <w:vAlign w:val="center"/>
          </w:tcPr>
          <w:p w14:paraId="5B3923B3">
            <w:pPr>
              <w:adjustRightInd w:val="0"/>
              <w:jc w:val="center"/>
              <w:rPr>
                <w:b/>
                <w:bCs/>
                <w:color w:val="auto"/>
                <w:szCs w:val="21"/>
              </w:rPr>
            </w:pPr>
          </w:p>
        </w:tc>
        <w:tc>
          <w:tcPr>
            <w:tcW w:w="278" w:type="pct"/>
            <w:tcBorders>
              <w:tl2br w:val="nil"/>
              <w:tr2bl w:val="nil"/>
            </w:tcBorders>
            <w:vAlign w:val="center"/>
          </w:tcPr>
          <w:p w14:paraId="3A1B70AE">
            <w:pPr>
              <w:adjustRightInd w:val="0"/>
              <w:jc w:val="center"/>
              <w:rPr>
                <w:b/>
                <w:bCs/>
                <w:color w:val="auto"/>
                <w:szCs w:val="21"/>
              </w:rPr>
            </w:pPr>
          </w:p>
        </w:tc>
        <w:tc>
          <w:tcPr>
            <w:tcW w:w="728" w:type="pct"/>
            <w:gridSpan w:val="2"/>
            <w:tcBorders>
              <w:tl2br w:val="nil"/>
              <w:tr2bl w:val="nil"/>
            </w:tcBorders>
            <w:vAlign w:val="center"/>
          </w:tcPr>
          <w:p w14:paraId="49BE9735">
            <w:pPr>
              <w:adjustRightInd w:val="0"/>
              <w:jc w:val="center"/>
              <w:rPr>
                <w:color w:val="auto"/>
                <w:szCs w:val="21"/>
              </w:rPr>
            </w:pPr>
          </w:p>
        </w:tc>
        <w:tc>
          <w:tcPr>
            <w:tcW w:w="370" w:type="pct"/>
            <w:tcBorders>
              <w:tl2br w:val="nil"/>
              <w:tr2bl w:val="nil"/>
            </w:tcBorders>
            <w:vAlign w:val="center"/>
          </w:tcPr>
          <w:p w14:paraId="2FBB977C">
            <w:pPr>
              <w:adjustRightInd w:val="0"/>
              <w:jc w:val="center"/>
              <w:rPr>
                <w:color w:val="auto"/>
                <w:szCs w:val="21"/>
              </w:rPr>
            </w:pPr>
            <w:r>
              <w:rPr>
                <w:color w:val="auto"/>
                <w:szCs w:val="21"/>
              </w:rPr>
              <w:t>LC</w:t>
            </w:r>
          </w:p>
        </w:tc>
        <w:tc>
          <w:tcPr>
            <w:tcW w:w="348" w:type="pct"/>
            <w:tcBorders>
              <w:tl2br w:val="nil"/>
              <w:tr2bl w:val="nil"/>
            </w:tcBorders>
            <w:vAlign w:val="center"/>
          </w:tcPr>
          <w:p w14:paraId="4AAF319C">
            <w:pPr>
              <w:adjustRightInd w:val="0"/>
              <w:jc w:val="center"/>
              <w:rPr>
                <w:b/>
                <w:bCs/>
                <w:color w:val="auto"/>
                <w:szCs w:val="21"/>
              </w:rPr>
            </w:pPr>
            <w:r>
              <w:rPr>
                <w:color w:val="auto"/>
                <w:szCs w:val="21"/>
              </w:rPr>
              <w:t>K</w:t>
            </w:r>
          </w:p>
        </w:tc>
      </w:tr>
      <w:tr w14:paraId="67ACD0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713" w:type="pct"/>
            <w:tcBorders>
              <w:tl2br w:val="nil"/>
              <w:tr2bl w:val="nil"/>
            </w:tcBorders>
            <w:vAlign w:val="center"/>
          </w:tcPr>
          <w:p w14:paraId="61412287">
            <w:pPr>
              <w:adjustRightInd w:val="0"/>
              <w:jc w:val="left"/>
              <w:rPr>
                <w:b/>
                <w:bCs/>
                <w:color w:val="auto"/>
                <w:szCs w:val="21"/>
              </w:rPr>
            </w:pPr>
            <w:r>
              <w:rPr>
                <w:b/>
                <w:bCs/>
                <w:color w:val="auto"/>
                <w:szCs w:val="21"/>
              </w:rPr>
              <w:t>Ⅴ 食肉目 CARNIVORA</w:t>
            </w:r>
          </w:p>
        </w:tc>
        <w:tc>
          <w:tcPr>
            <w:tcW w:w="278" w:type="pct"/>
            <w:tcBorders>
              <w:tl2br w:val="nil"/>
              <w:tr2bl w:val="nil"/>
            </w:tcBorders>
            <w:vAlign w:val="center"/>
          </w:tcPr>
          <w:p w14:paraId="1AD68357">
            <w:pPr>
              <w:adjustRightInd w:val="0"/>
              <w:jc w:val="center"/>
              <w:rPr>
                <w:b/>
                <w:bCs/>
                <w:color w:val="auto"/>
                <w:szCs w:val="21"/>
              </w:rPr>
            </w:pPr>
          </w:p>
        </w:tc>
        <w:tc>
          <w:tcPr>
            <w:tcW w:w="278" w:type="pct"/>
            <w:tcBorders>
              <w:tl2br w:val="nil"/>
              <w:tr2bl w:val="nil"/>
            </w:tcBorders>
            <w:vAlign w:val="center"/>
          </w:tcPr>
          <w:p w14:paraId="32796278">
            <w:pPr>
              <w:adjustRightInd w:val="0"/>
              <w:jc w:val="center"/>
              <w:rPr>
                <w:b/>
                <w:bCs/>
                <w:color w:val="auto"/>
                <w:szCs w:val="21"/>
              </w:rPr>
            </w:pPr>
          </w:p>
        </w:tc>
        <w:tc>
          <w:tcPr>
            <w:tcW w:w="278" w:type="pct"/>
            <w:tcBorders>
              <w:tl2br w:val="nil"/>
              <w:tr2bl w:val="nil"/>
            </w:tcBorders>
            <w:vAlign w:val="center"/>
          </w:tcPr>
          <w:p w14:paraId="75C36278">
            <w:pPr>
              <w:adjustRightInd w:val="0"/>
              <w:jc w:val="center"/>
              <w:rPr>
                <w:b/>
                <w:bCs/>
                <w:color w:val="auto"/>
                <w:szCs w:val="21"/>
              </w:rPr>
            </w:pPr>
          </w:p>
        </w:tc>
        <w:tc>
          <w:tcPr>
            <w:tcW w:w="728" w:type="pct"/>
            <w:gridSpan w:val="2"/>
            <w:tcBorders>
              <w:tl2br w:val="nil"/>
              <w:tr2bl w:val="nil"/>
            </w:tcBorders>
            <w:vAlign w:val="center"/>
          </w:tcPr>
          <w:p w14:paraId="63A57D5E">
            <w:pPr>
              <w:adjustRightInd w:val="0"/>
              <w:jc w:val="center"/>
              <w:rPr>
                <w:color w:val="auto"/>
                <w:szCs w:val="21"/>
              </w:rPr>
            </w:pPr>
          </w:p>
        </w:tc>
        <w:tc>
          <w:tcPr>
            <w:tcW w:w="370" w:type="pct"/>
            <w:tcBorders>
              <w:tl2br w:val="nil"/>
              <w:tr2bl w:val="nil"/>
            </w:tcBorders>
            <w:vAlign w:val="center"/>
          </w:tcPr>
          <w:p w14:paraId="5EC76F04">
            <w:pPr>
              <w:adjustRightInd w:val="0"/>
              <w:jc w:val="center"/>
              <w:rPr>
                <w:color w:val="auto"/>
                <w:szCs w:val="21"/>
              </w:rPr>
            </w:pPr>
          </w:p>
        </w:tc>
        <w:tc>
          <w:tcPr>
            <w:tcW w:w="348" w:type="pct"/>
            <w:tcBorders>
              <w:tl2br w:val="nil"/>
              <w:tr2bl w:val="nil"/>
            </w:tcBorders>
            <w:vAlign w:val="center"/>
          </w:tcPr>
          <w:p w14:paraId="23FACD90">
            <w:pPr>
              <w:adjustRightInd w:val="0"/>
              <w:jc w:val="center"/>
              <w:rPr>
                <w:b/>
                <w:bCs/>
                <w:color w:val="auto"/>
                <w:szCs w:val="21"/>
              </w:rPr>
            </w:pPr>
          </w:p>
        </w:tc>
      </w:tr>
      <w:tr w14:paraId="74756C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6BC2BC27">
            <w:pPr>
              <w:adjustRightInd w:val="0"/>
              <w:jc w:val="left"/>
              <w:rPr>
                <w:b/>
                <w:bCs/>
                <w:color w:val="auto"/>
                <w:szCs w:val="21"/>
              </w:rPr>
            </w:pPr>
            <w:r>
              <w:rPr>
                <w:b/>
                <w:bCs/>
                <w:color w:val="auto"/>
                <w:szCs w:val="21"/>
              </w:rPr>
              <w:t>（八）鼬科 Mustelidae</w:t>
            </w:r>
          </w:p>
        </w:tc>
        <w:tc>
          <w:tcPr>
            <w:tcW w:w="278" w:type="pct"/>
            <w:tcBorders>
              <w:tl2br w:val="nil"/>
              <w:tr2bl w:val="nil"/>
            </w:tcBorders>
            <w:vAlign w:val="center"/>
          </w:tcPr>
          <w:p w14:paraId="28B916BC">
            <w:pPr>
              <w:adjustRightInd w:val="0"/>
              <w:jc w:val="center"/>
              <w:rPr>
                <w:b/>
                <w:bCs/>
                <w:color w:val="auto"/>
                <w:szCs w:val="21"/>
              </w:rPr>
            </w:pPr>
          </w:p>
        </w:tc>
        <w:tc>
          <w:tcPr>
            <w:tcW w:w="278" w:type="pct"/>
            <w:tcBorders>
              <w:tl2br w:val="nil"/>
              <w:tr2bl w:val="nil"/>
            </w:tcBorders>
            <w:vAlign w:val="center"/>
          </w:tcPr>
          <w:p w14:paraId="5FA9F9CB">
            <w:pPr>
              <w:adjustRightInd w:val="0"/>
              <w:jc w:val="center"/>
              <w:rPr>
                <w:b/>
                <w:bCs/>
                <w:color w:val="auto"/>
                <w:szCs w:val="21"/>
              </w:rPr>
            </w:pPr>
          </w:p>
        </w:tc>
        <w:tc>
          <w:tcPr>
            <w:tcW w:w="278" w:type="pct"/>
            <w:tcBorders>
              <w:tl2br w:val="nil"/>
              <w:tr2bl w:val="nil"/>
            </w:tcBorders>
            <w:vAlign w:val="center"/>
          </w:tcPr>
          <w:p w14:paraId="16E0D63D">
            <w:pPr>
              <w:adjustRightInd w:val="0"/>
              <w:jc w:val="center"/>
              <w:rPr>
                <w:b/>
                <w:bCs/>
                <w:color w:val="auto"/>
                <w:szCs w:val="21"/>
              </w:rPr>
            </w:pPr>
          </w:p>
        </w:tc>
        <w:tc>
          <w:tcPr>
            <w:tcW w:w="728" w:type="pct"/>
            <w:gridSpan w:val="2"/>
            <w:tcBorders>
              <w:tl2br w:val="nil"/>
              <w:tr2bl w:val="nil"/>
            </w:tcBorders>
            <w:vAlign w:val="center"/>
          </w:tcPr>
          <w:p w14:paraId="4A878E71">
            <w:pPr>
              <w:adjustRightInd w:val="0"/>
              <w:jc w:val="center"/>
              <w:rPr>
                <w:color w:val="auto"/>
                <w:szCs w:val="21"/>
              </w:rPr>
            </w:pPr>
          </w:p>
        </w:tc>
        <w:tc>
          <w:tcPr>
            <w:tcW w:w="370" w:type="pct"/>
            <w:tcBorders>
              <w:tl2br w:val="nil"/>
              <w:tr2bl w:val="nil"/>
            </w:tcBorders>
            <w:vAlign w:val="center"/>
          </w:tcPr>
          <w:p w14:paraId="4D706C4D">
            <w:pPr>
              <w:adjustRightInd w:val="0"/>
              <w:jc w:val="center"/>
              <w:rPr>
                <w:color w:val="auto"/>
                <w:szCs w:val="21"/>
              </w:rPr>
            </w:pPr>
          </w:p>
        </w:tc>
        <w:tc>
          <w:tcPr>
            <w:tcW w:w="348" w:type="pct"/>
            <w:tcBorders>
              <w:tl2br w:val="nil"/>
              <w:tr2bl w:val="nil"/>
            </w:tcBorders>
            <w:vAlign w:val="center"/>
          </w:tcPr>
          <w:p w14:paraId="6CF7AB59">
            <w:pPr>
              <w:adjustRightInd w:val="0"/>
              <w:jc w:val="center"/>
              <w:rPr>
                <w:color w:val="auto"/>
                <w:szCs w:val="21"/>
              </w:rPr>
            </w:pPr>
          </w:p>
        </w:tc>
      </w:tr>
      <w:tr w14:paraId="049B16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57C94A59">
            <w:pPr>
              <w:adjustRightInd w:val="0"/>
              <w:jc w:val="left"/>
              <w:rPr>
                <w:color w:val="auto"/>
                <w:szCs w:val="21"/>
              </w:rPr>
            </w:pPr>
            <w:r>
              <w:rPr>
                <w:color w:val="auto"/>
                <w:szCs w:val="21"/>
              </w:rPr>
              <w:t xml:space="preserve">11 黄鼬 </w:t>
            </w:r>
            <w:r>
              <w:rPr>
                <w:i/>
                <w:iCs/>
                <w:color w:val="auto"/>
                <w:szCs w:val="21"/>
              </w:rPr>
              <w:t>Mustela sibirica</w:t>
            </w:r>
          </w:p>
        </w:tc>
        <w:tc>
          <w:tcPr>
            <w:tcW w:w="278" w:type="pct"/>
            <w:tcBorders>
              <w:tl2br w:val="nil"/>
              <w:tr2bl w:val="nil"/>
            </w:tcBorders>
            <w:vAlign w:val="center"/>
          </w:tcPr>
          <w:p w14:paraId="603619F6">
            <w:pPr>
              <w:adjustRightInd w:val="0"/>
              <w:jc w:val="center"/>
              <w:rPr>
                <w:b/>
                <w:bCs/>
                <w:color w:val="auto"/>
                <w:szCs w:val="21"/>
              </w:rPr>
            </w:pPr>
            <w:r>
              <w:rPr>
                <w:b/>
                <w:bCs/>
                <w:color w:val="auto"/>
                <w:szCs w:val="21"/>
              </w:rPr>
              <w:t>※</w:t>
            </w:r>
          </w:p>
        </w:tc>
        <w:tc>
          <w:tcPr>
            <w:tcW w:w="278" w:type="pct"/>
            <w:tcBorders>
              <w:tl2br w:val="nil"/>
              <w:tr2bl w:val="nil"/>
            </w:tcBorders>
            <w:vAlign w:val="center"/>
          </w:tcPr>
          <w:p w14:paraId="168EE636">
            <w:pPr>
              <w:adjustRightInd w:val="0"/>
              <w:jc w:val="center"/>
              <w:rPr>
                <w:b/>
                <w:bCs/>
                <w:color w:val="auto"/>
                <w:szCs w:val="21"/>
              </w:rPr>
            </w:pPr>
          </w:p>
        </w:tc>
        <w:tc>
          <w:tcPr>
            <w:tcW w:w="278" w:type="pct"/>
            <w:tcBorders>
              <w:tl2br w:val="nil"/>
              <w:tr2bl w:val="nil"/>
            </w:tcBorders>
            <w:vAlign w:val="center"/>
          </w:tcPr>
          <w:p w14:paraId="0322520E">
            <w:pPr>
              <w:adjustRightInd w:val="0"/>
              <w:jc w:val="center"/>
              <w:rPr>
                <w:b/>
                <w:bCs/>
                <w:color w:val="auto"/>
                <w:szCs w:val="21"/>
              </w:rPr>
            </w:pPr>
          </w:p>
        </w:tc>
        <w:tc>
          <w:tcPr>
            <w:tcW w:w="728" w:type="pct"/>
            <w:gridSpan w:val="2"/>
            <w:tcBorders>
              <w:tl2br w:val="nil"/>
              <w:tr2bl w:val="nil"/>
            </w:tcBorders>
            <w:vAlign w:val="center"/>
          </w:tcPr>
          <w:p w14:paraId="56B28B8C">
            <w:pPr>
              <w:adjustRightInd w:val="0"/>
              <w:jc w:val="center"/>
              <w:rPr>
                <w:color w:val="auto"/>
                <w:szCs w:val="21"/>
              </w:rPr>
            </w:pPr>
          </w:p>
        </w:tc>
        <w:tc>
          <w:tcPr>
            <w:tcW w:w="370" w:type="pct"/>
            <w:tcBorders>
              <w:tl2br w:val="nil"/>
              <w:tr2bl w:val="nil"/>
            </w:tcBorders>
            <w:vAlign w:val="center"/>
          </w:tcPr>
          <w:p w14:paraId="1AA05700">
            <w:pPr>
              <w:adjustRightInd w:val="0"/>
              <w:jc w:val="center"/>
              <w:rPr>
                <w:color w:val="auto"/>
                <w:szCs w:val="21"/>
              </w:rPr>
            </w:pPr>
            <w:r>
              <w:rPr>
                <w:color w:val="auto"/>
                <w:szCs w:val="21"/>
              </w:rPr>
              <w:t>LC</w:t>
            </w:r>
          </w:p>
        </w:tc>
        <w:tc>
          <w:tcPr>
            <w:tcW w:w="348" w:type="pct"/>
            <w:tcBorders>
              <w:tl2br w:val="nil"/>
              <w:tr2bl w:val="nil"/>
            </w:tcBorders>
            <w:vAlign w:val="center"/>
          </w:tcPr>
          <w:p w14:paraId="14365D04">
            <w:pPr>
              <w:adjustRightInd w:val="0"/>
              <w:jc w:val="center"/>
              <w:rPr>
                <w:color w:val="auto"/>
                <w:szCs w:val="21"/>
              </w:rPr>
            </w:pPr>
            <w:r>
              <w:rPr>
                <w:color w:val="auto"/>
                <w:szCs w:val="21"/>
              </w:rPr>
              <w:t>K</w:t>
            </w:r>
          </w:p>
        </w:tc>
      </w:tr>
      <w:tr w14:paraId="5C8A0A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713" w:type="pct"/>
            <w:tcBorders>
              <w:tl2br w:val="nil"/>
              <w:tr2bl w:val="nil"/>
            </w:tcBorders>
            <w:vAlign w:val="center"/>
          </w:tcPr>
          <w:p w14:paraId="4CCA7B73">
            <w:pPr>
              <w:adjustRightInd w:val="0"/>
              <w:jc w:val="left"/>
              <w:rPr>
                <w:color w:val="auto"/>
                <w:szCs w:val="21"/>
              </w:rPr>
            </w:pPr>
            <w:r>
              <w:rPr>
                <w:color w:val="auto"/>
                <w:szCs w:val="21"/>
              </w:rPr>
              <w:t xml:space="preserve">12 鼬獾 </w:t>
            </w:r>
            <w:r>
              <w:rPr>
                <w:i/>
                <w:iCs/>
                <w:color w:val="auto"/>
                <w:szCs w:val="21"/>
              </w:rPr>
              <w:t>Melogale moschata</w:t>
            </w:r>
          </w:p>
        </w:tc>
        <w:tc>
          <w:tcPr>
            <w:tcW w:w="278" w:type="pct"/>
            <w:tcBorders>
              <w:tl2br w:val="nil"/>
              <w:tr2bl w:val="nil"/>
            </w:tcBorders>
            <w:vAlign w:val="center"/>
          </w:tcPr>
          <w:p w14:paraId="0EEEDB53">
            <w:pPr>
              <w:adjustRightInd w:val="0"/>
              <w:jc w:val="center"/>
              <w:rPr>
                <w:b/>
                <w:bCs/>
                <w:color w:val="auto"/>
                <w:szCs w:val="21"/>
              </w:rPr>
            </w:pPr>
            <w:r>
              <w:rPr>
                <w:b/>
                <w:bCs/>
                <w:color w:val="auto"/>
                <w:szCs w:val="21"/>
              </w:rPr>
              <w:t>※</w:t>
            </w:r>
          </w:p>
        </w:tc>
        <w:tc>
          <w:tcPr>
            <w:tcW w:w="278" w:type="pct"/>
            <w:tcBorders>
              <w:tl2br w:val="nil"/>
              <w:tr2bl w:val="nil"/>
            </w:tcBorders>
            <w:vAlign w:val="center"/>
          </w:tcPr>
          <w:p w14:paraId="7C60ABE2">
            <w:pPr>
              <w:adjustRightInd w:val="0"/>
              <w:jc w:val="center"/>
              <w:rPr>
                <w:b/>
                <w:bCs/>
                <w:color w:val="auto"/>
                <w:szCs w:val="21"/>
              </w:rPr>
            </w:pPr>
          </w:p>
        </w:tc>
        <w:tc>
          <w:tcPr>
            <w:tcW w:w="278" w:type="pct"/>
            <w:tcBorders>
              <w:tl2br w:val="nil"/>
              <w:tr2bl w:val="nil"/>
            </w:tcBorders>
            <w:vAlign w:val="center"/>
          </w:tcPr>
          <w:p w14:paraId="23AEE7CD">
            <w:pPr>
              <w:adjustRightInd w:val="0"/>
              <w:jc w:val="center"/>
              <w:rPr>
                <w:b/>
                <w:bCs/>
                <w:color w:val="auto"/>
                <w:szCs w:val="21"/>
              </w:rPr>
            </w:pPr>
          </w:p>
        </w:tc>
        <w:tc>
          <w:tcPr>
            <w:tcW w:w="728" w:type="pct"/>
            <w:gridSpan w:val="2"/>
            <w:tcBorders>
              <w:tl2br w:val="nil"/>
              <w:tr2bl w:val="nil"/>
            </w:tcBorders>
            <w:vAlign w:val="center"/>
          </w:tcPr>
          <w:p w14:paraId="07FF7021">
            <w:pPr>
              <w:adjustRightInd w:val="0"/>
              <w:jc w:val="center"/>
              <w:rPr>
                <w:color w:val="auto"/>
                <w:szCs w:val="21"/>
              </w:rPr>
            </w:pPr>
          </w:p>
        </w:tc>
        <w:tc>
          <w:tcPr>
            <w:tcW w:w="370" w:type="pct"/>
            <w:tcBorders>
              <w:tl2br w:val="nil"/>
              <w:tr2bl w:val="nil"/>
            </w:tcBorders>
            <w:vAlign w:val="center"/>
          </w:tcPr>
          <w:p w14:paraId="6D7D4E7E">
            <w:pPr>
              <w:adjustRightInd w:val="0"/>
              <w:jc w:val="center"/>
              <w:rPr>
                <w:color w:val="auto"/>
                <w:szCs w:val="21"/>
              </w:rPr>
            </w:pPr>
            <w:r>
              <w:rPr>
                <w:color w:val="auto"/>
                <w:szCs w:val="21"/>
              </w:rPr>
              <w:t>NT</w:t>
            </w:r>
          </w:p>
        </w:tc>
        <w:tc>
          <w:tcPr>
            <w:tcW w:w="348" w:type="pct"/>
            <w:tcBorders>
              <w:tl2br w:val="nil"/>
              <w:tr2bl w:val="nil"/>
            </w:tcBorders>
            <w:vAlign w:val="center"/>
          </w:tcPr>
          <w:p w14:paraId="7B3933ED">
            <w:pPr>
              <w:adjustRightInd w:val="0"/>
              <w:jc w:val="center"/>
              <w:rPr>
                <w:color w:val="auto"/>
                <w:szCs w:val="21"/>
              </w:rPr>
            </w:pPr>
            <w:r>
              <w:rPr>
                <w:color w:val="auto"/>
                <w:szCs w:val="21"/>
              </w:rPr>
              <w:t>F</w:t>
            </w:r>
          </w:p>
        </w:tc>
      </w:tr>
      <w:tr w14:paraId="094502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997" w:type="pct"/>
            <w:gridSpan w:val="8"/>
            <w:tcBorders>
              <w:tl2br w:val="nil"/>
              <w:tr2bl w:val="nil"/>
            </w:tcBorders>
            <w:vAlign w:val="center"/>
          </w:tcPr>
          <w:p w14:paraId="36C39C03">
            <w:pPr>
              <w:adjustRightInd w:val="0"/>
              <w:ind w:firstLine="420" w:firstLineChars="200"/>
              <w:rPr>
                <w:color w:val="auto"/>
                <w:szCs w:val="21"/>
              </w:rPr>
            </w:pPr>
            <w:r>
              <w:rPr>
                <w:color w:val="auto"/>
                <w:szCs w:val="21"/>
              </w:rPr>
              <w:t>注：*—中国特有种；</w:t>
            </w:r>
            <w:r>
              <w:rPr>
                <w:rFonts w:hint="eastAsia"/>
                <w:color w:val="auto"/>
                <w:szCs w:val="21"/>
              </w:rPr>
              <w:t>“</w:t>
            </w:r>
            <w:r>
              <w:rPr>
                <w:color w:val="auto"/>
                <w:szCs w:val="21"/>
              </w:rPr>
              <w:t>※</w:t>
            </w:r>
            <w:r>
              <w:rPr>
                <w:rFonts w:hint="eastAsia"/>
                <w:color w:val="auto"/>
                <w:szCs w:val="21"/>
              </w:rPr>
              <w:t>”</w:t>
            </w:r>
            <w:r>
              <w:rPr>
                <w:color w:val="auto"/>
                <w:szCs w:val="21"/>
              </w:rPr>
              <w:t>—区系从属。保护等级：三有-有重要生态、科学、社会价值的陆生野生动物；湘-湖南省重点保护野生动物。濒危等级：CR—极危；EN—濒危；VU—易危；NT—近危；LC—低危。收录依据：K-实物照片或标本；F-访问记录；Z-文献记录。</w:t>
            </w:r>
          </w:p>
        </w:tc>
      </w:tr>
    </w:tbl>
    <w:p w14:paraId="3775E3F8">
      <w:pPr>
        <w:pStyle w:val="82"/>
        <w:widowControl w:val="0"/>
        <w:spacing w:line="360" w:lineRule="auto"/>
        <w:outlineLvl w:val="1"/>
        <w:rPr>
          <w:rFonts w:ascii="Times New Roman" w:hAnsi="Times New Roman" w:eastAsia="宋体" w:cs="Times New Roman"/>
          <w:b/>
          <w:color w:val="auto"/>
          <w:sz w:val="30"/>
          <w:szCs w:val="30"/>
        </w:rPr>
      </w:pPr>
      <w:bookmarkStart w:id="137" w:name="_Toc27725"/>
      <w:bookmarkStart w:id="138" w:name="_Toc6247"/>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8水生生物调查</w:t>
      </w:r>
      <w:bookmarkEnd w:id="137"/>
      <w:bookmarkEnd w:id="138"/>
    </w:p>
    <w:p w14:paraId="40B76A13">
      <w:pPr>
        <w:adjustRightInd w:val="0"/>
        <w:spacing w:line="360" w:lineRule="auto"/>
        <w:jc w:val="left"/>
        <w:outlineLvl w:val="2"/>
        <w:rPr>
          <w:b/>
          <w:color w:val="auto"/>
          <w:kern w:val="0"/>
          <w:sz w:val="28"/>
          <w:szCs w:val="28"/>
        </w:rPr>
      </w:pPr>
      <w:bookmarkStart w:id="139" w:name="_Toc472494242"/>
      <w:r>
        <w:rPr>
          <w:rFonts w:hint="eastAsia"/>
          <w:b/>
          <w:color w:val="auto"/>
          <w:sz w:val="28"/>
          <w:szCs w:val="28"/>
        </w:rPr>
        <w:t>3.</w:t>
      </w:r>
      <w:r>
        <w:rPr>
          <w:b/>
          <w:color w:val="auto"/>
          <w:sz w:val="28"/>
          <w:szCs w:val="28"/>
        </w:rPr>
        <w:t>8.1鱼类资源概况及评价</w:t>
      </w:r>
      <w:bookmarkEnd w:id="139"/>
    </w:p>
    <w:p w14:paraId="0E4B4549">
      <w:pPr>
        <w:adjustRightInd w:val="0"/>
        <w:spacing w:line="360" w:lineRule="auto"/>
        <w:ind w:firstLine="480" w:firstLineChars="200"/>
        <w:rPr>
          <w:rFonts w:hint="eastAsia"/>
          <w:color w:val="auto"/>
          <w:sz w:val="24"/>
          <w:szCs w:val="20"/>
          <w:lang w:val="en-US" w:eastAsia="zh-CN"/>
        </w:rPr>
      </w:pPr>
      <w:r>
        <w:rPr>
          <w:rFonts w:hint="eastAsia"/>
          <w:color w:val="auto"/>
          <w:sz w:val="24"/>
          <w:szCs w:val="20"/>
          <w:lang w:val="en-US" w:eastAsia="zh-CN"/>
        </w:rPr>
        <w:t>本项目水生评价范围在项目池塘内，</w:t>
      </w:r>
      <w:r>
        <w:rPr>
          <w:color w:val="auto"/>
          <w:kern w:val="0"/>
          <w:sz w:val="24"/>
        </w:rPr>
        <w:t>根据实地调查</w:t>
      </w:r>
      <w:r>
        <w:rPr>
          <w:rFonts w:hint="eastAsia"/>
          <w:color w:val="auto"/>
          <w:kern w:val="0"/>
          <w:sz w:val="24"/>
          <w:lang w:eastAsia="zh-CN"/>
        </w:rPr>
        <w:t>，</w:t>
      </w:r>
      <w:r>
        <w:rPr>
          <w:rFonts w:hint="eastAsia"/>
          <w:color w:val="auto"/>
          <w:kern w:val="0"/>
          <w:sz w:val="24"/>
          <w:lang w:val="en-US" w:eastAsia="zh-CN"/>
        </w:rPr>
        <w:t>鱼塘区域</w:t>
      </w:r>
      <w:r>
        <w:rPr>
          <w:color w:val="auto"/>
          <w:kern w:val="0"/>
          <w:sz w:val="24"/>
        </w:rPr>
        <w:t>以人工养殖为辅、自然增殖为主，具备典型的城郊淡水鱼塘生态特征。调查涵盖鱼类、浮游动物、底栖动物三大类水生生物，重点记录其种类组成、数量占比及核心生活习性。访问调查和查阅相关文献得知，</w:t>
      </w:r>
      <w:r>
        <w:rPr>
          <w:rFonts w:hint="eastAsia"/>
          <w:color w:val="auto"/>
          <w:sz w:val="24"/>
          <w:szCs w:val="20"/>
          <w:lang w:val="en-US" w:eastAsia="zh-CN"/>
        </w:rPr>
        <w:t>池塘内为常见养殖及自然繁殖物种，分别为：鲤鱼、鲶鱼、草鱼、鲫鱼、等。</w:t>
      </w:r>
    </w:p>
    <w:p w14:paraId="10035628">
      <w:pPr>
        <w:jc w:val="center"/>
        <w:rPr>
          <w:color w:val="auto"/>
          <w:kern w:val="0"/>
          <w:szCs w:val="21"/>
        </w:rPr>
      </w:pPr>
      <w:r>
        <w:rPr>
          <w:b/>
          <w:bCs/>
          <w:color w:val="auto"/>
          <w:kern w:val="0"/>
          <w:szCs w:val="21"/>
        </w:rPr>
        <w:t>表</w:t>
      </w:r>
      <w:r>
        <w:rPr>
          <w:rFonts w:hint="eastAsia"/>
          <w:b/>
          <w:bCs/>
          <w:color w:val="auto"/>
          <w:kern w:val="0"/>
          <w:szCs w:val="21"/>
        </w:rPr>
        <w:t>3.</w:t>
      </w:r>
      <w:r>
        <w:rPr>
          <w:b/>
          <w:bCs/>
          <w:color w:val="auto"/>
          <w:kern w:val="0"/>
          <w:szCs w:val="21"/>
        </w:rPr>
        <w:t>8-1   评价区鱼类名录</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645"/>
        <w:gridCol w:w="1869"/>
      </w:tblGrid>
      <w:tr w14:paraId="4E4894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67E5086">
            <w:pPr>
              <w:widowControl/>
              <w:jc w:val="left"/>
              <w:textAlignment w:val="center"/>
              <w:rPr>
                <w:b/>
                <w:bCs/>
                <w:color w:val="auto"/>
                <w:kern w:val="0"/>
                <w:szCs w:val="21"/>
              </w:rPr>
            </w:pPr>
            <w:r>
              <w:rPr>
                <w:b/>
                <w:bCs/>
                <w:color w:val="auto"/>
                <w:kern w:val="0"/>
                <w:szCs w:val="21"/>
                <w:lang w:bidi="ar"/>
              </w:rPr>
              <w:t>分类地位及种类名称</w:t>
            </w:r>
          </w:p>
        </w:tc>
        <w:tc>
          <w:tcPr>
            <w:tcW w:w="1869" w:type="dxa"/>
            <w:tcBorders>
              <w:tl2br w:val="nil"/>
              <w:tr2bl w:val="nil"/>
            </w:tcBorders>
            <w:vAlign w:val="center"/>
          </w:tcPr>
          <w:p w14:paraId="6C71369A">
            <w:pPr>
              <w:widowControl/>
              <w:jc w:val="left"/>
              <w:textAlignment w:val="center"/>
              <w:rPr>
                <w:b/>
                <w:bCs/>
                <w:color w:val="auto"/>
                <w:kern w:val="0"/>
                <w:szCs w:val="21"/>
              </w:rPr>
            </w:pPr>
            <w:r>
              <w:rPr>
                <w:b/>
                <w:bCs/>
                <w:color w:val="auto"/>
                <w:kern w:val="0"/>
                <w:szCs w:val="21"/>
                <w:lang w:bidi="ar"/>
              </w:rPr>
              <w:t>生态类型</w:t>
            </w:r>
          </w:p>
        </w:tc>
      </w:tr>
      <w:tr w14:paraId="1A52BF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5174E0C4">
            <w:pPr>
              <w:widowControl/>
              <w:jc w:val="left"/>
              <w:textAlignment w:val="center"/>
              <w:rPr>
                <w:color w:val="auto"/>
                <w:kern w:val="0"/>
                <w:szCs w:val="21"/>
              </w:rPr>
            </w:pPr>
            <w:r>
              <w:rPr>
                <w:b/>
                <w:bCs/>
                <w:color w:val="auto"/>
                <w:kern w:val="0"/>
                <w:szCs w:val="21"/>
                <w:lang w:bidi="ar"/>
              </w:rPr>
              <w:t>一、鲤形目Cypriniformes</w:t>
            </w:r>
          </w:p>
        </w:tc>
        <w:tc>
          <w:tcPr>
            <w:tcW w:w="1869" w:type="dxa"/>
            <w:tcBorders>
              <w:tl2br w:val="nil"/>
              <w:tr2bl w:val="nil"/>
            </w:tcBorders>
            <w:vAlign w:val="center"/>
          </w:tcPr>
          <w:p w14:paraId="0BDF8DE2">
            <w:pPr>
              <w:widowControl/>
              <w:jc w:val="left"/>
              <w:rPr>
                <w:b/>
                <w:bCs/>
                <w:color w:val="auto"/>
                <w:kern w:val="0"/>
                <w:szCs w:val="21"/>
              </w:rPr>
            </w:pPr>
          </w:p>
        </w:tc>
      </w:tr>
      <w:tr w14:paraId="1BB653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39A33CD">
            <w:pPr>
              <w:widowControl/>
              <w:ind w:firstLine="210" w:firstLineChars="100"/>
              <w:jc w:val="left"/>
              <w:textAlignment w:val="center"/>
              <w:rPr>
                <w:b/>
                <w:bCs/>
                <w:color w:val="auto"/>
                <w:kern w:val="0"/>
                <w:szCs w:val="21"/>
              </w:rPr>
            </w:pPr>
            <w:r>
              <w:rPr>
                <w:color w:val="auto"/>
                <w:kern w:val="0"/>
                <w:szCs w:val="21"/>
                <w:lang w:bidi="ar"/>
              </w:rPr>
              <w:t>鲤科Cyprinidae</w:t>
            </w:r>
          </w:p>
        </w:tc>
        <w:tc>
          <w:tcPr>
            <w:tcW w:w="1869" w:type="dxa"/>
            <w:tcBorders>
              <w:tl2br w:val="nil"/>
              <w:tr2bl w:val="nil"/>
            </w:tcBorders>
            <w:vAlign w:val="center"/>
          </w:tcPr>
          <w:p w14:paraId="7DC22299">
            <w:pPr>
              <w:widowControl/>
              <w:jc w:val="left"/>
              <w:rPr>
                <w:b/>
                <w:bCs/>
                <w:color w:val="auto"/>
                <w:kern w:val="0"/>
                <w:szCs w:val="21"/>
              </w:rPr>
            </w:pPr>
          </w:p>
        </w:tc>
      </w:tr>
      <w:tr w14:paraId="5D7534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CB8A713">
            <w:pPr>
              <w:widowControl/>
              <w:ind w:firstLine="420" w:firstLineChars="200"/>
              <w:jc w:val="left"/>
              <w:textAlignment w:val="center"/>
              <w:rPr>
                <w:b/>
                <w:bCs/>
                <w:color w:val="auto"/>
                <w:kern w:val="0"/>
                <w:szCs w:val="21"/>
              </w:rPr>
            </w:pPr>
            <w:r>
              <w:rPr>
                <w:color w:val="auto"/>
                <w:kern w:val="0"/>
                <w:szCs w:val="21"/>
                <w:lang w:bidi="ar"/>
              </w:rPr>
              <w:t>1）草鱼属</w:t>
            </w:r>
            <w:r>
              <w:rPr>
                <w:i/>
                <w:iCs/>
                <w:color w:val="auto"/>
                <w:kern w:val="0"/>
                <w:szCs w:val="21"/>
                <w:lang w:bidi="ar"/>
              </w:rPr>
              <w:t>Ctenopharyngodon</w:t>
            </w:r>
          </w:p>
        </w:tc>
        <w:tc>
          <w:tcPr>
            <w:tcW w:w="1869" w:type="dxa"/>
            <w:tcBorders>
              <w:tl2br w:val="nil"/>
              <w:tr2bl w:val="nil"/>
            </w:tcBorders>
            <w:vAlign w:val="center"/>
          </w:tcPr>
          <w:p w14:paraId="12EE5D12">
            <w:pPr>
              <w:widowControl/>
              <w:jc w:val="left"/>
              <w:rPr>
                <w:b/>
                <w:bCs/>
                <w:color w:val="auto"/>
                <w:kern w:val="0"/>
                <w:szCs w:val="21"/>
              </w:rPr>
            </w:pPr>
          </w:p>
        </w:tc>
      </w:tr>
      <w:tr w14:paraId="27BEB6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479B409">
            <w:pPr>
              <w:widowControl/>
              <w:ind w:firstLine="840" w:firstLineChars="400"/>
              <w:jc w:val="left"/>
              <w:textAlignment w:val="center"/>
              <w:rPr>
                <w:color w:val="auto"/>
                <w:kern w:val="0"/>
                <w:szCs w:val="21"/>
                <w:lang w:bidi="ar"/>
              </w:rPr>
            </w:pPr>
            <w:r>
              <w:rPr>
                <w:color w:val="auto"/>
                <w:kern w:val="0"/>
                <w:szCs w:val="21"/>
                <w:lang w:bidi="ar"/>
              </w:rPr>
              <w:t>1草鱼</w:t>
            </w:r>
            <w:r>
              <w:rPr>
                <w:i/>
                <w:iCs/>
                <w:color w:val="auto"/>
                <w:kern w:val="0"/>
                <w:szCs w:val="21"/>
                <w:lang w:bidi="ar"/>
              </w:rPr>
              <w:t>Ctenopharyngodon idella</w:t>
            </w:r>
          </w:p>
        </w:tc>
        <w:tc>
          <w:tcPr>
            <w:tcW w:w="1869" w:type="dxa"/>
            <w:tcBorders>
              <w:tl2br w:val="nil"/>
              <w:tr2bl w:val="nil"/>
            </w:tcBorders>
            <w:vAlign w:val="center"/>
          </w:tcPr>
          <w:p w14:paraId="7BFCAE7C">
            <w:pPr>
              <w:widowControl/>
              <w:jc w:val="left"/>
              <w:rPr>
                <w:color w:val="auto"/>
                <w:kern w:val="0"/>
                <w:szCs w:val="21"/>
                <w:lang w:bidi="ar"/>
              </w:rPr>
            </w:pPr>
            <w:r>
              <w:rPr>
                <w:color w:val="auto"/>
                <w:kern w:val="0"/>
                <w:szCs w:val="21"/>
                <w:lang w:bidi="ar"/>
              </w:rPr>
              <w:t>RL，MD，H，Ve</w:t>
            </w:r>
          </w:p>
        </w:tc>
      </w:tr>
      <w:tr w14:paraId="5C2917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01E7A73F">
            <w:pPr>
              <w:widowControl/>
              <w:ind w:firstLine="420" w:firstLineChars="200"/>
              <w:jc w:val="left"/>
              <w:textAlignment w:val="center"/>
              <w:rPr>
                <w:color w:val="auto"/>
                <w:kern w:val="0"/>
                <w:szCs w:val="21"/>
                <w:lang w:bidi="ar"/>
              </w:rPr>
            </w:pPr>
            <w:r>
              <w:rPr>
                <w:rFonts w:hint="eastAsia"/>
                <w:color w:val="auto"/>
                <w:kern w:val="0"/>
                <w:szCs w:val="21"/>
                <w:lang w:val="en-US" w:eastAsia="zh-CN" w:bidi="ar"/>
              </w:rPr>
              <w:t>2</w:t>
            </w:r>
            <w:r>
              <w:rPr>
                <w:color w:val="auto"/>
                <w:kern w:val="0"/>
                <w:szCs w:val="21"/>
                <w:lang w:bidi="ar"/>
              </w:rPr>
              <w:t>）鳊属Parabramis</w:t>
            </w:r>
          </w:p>
        </w:tc>
        <w:tc>
          <w:tcPr>
            <w:tcW w:w="1869" w:type="dxa"/>
            <w:tcBorders>
              <w:tl2br w:val="nil"/>
              <w:tr2bl w:val="nil"/>
            </w:tcBorders>
            <w:vAlign w:val="center"/>
          </w:tcPr>
          <w:p w14:paraId="2F07DFFF">
            <w:pPr>
              <w:widowControl/>
              <w:jc w:val="left"/>
              <w:textAlignment w:val="center"/>
              <w:rPr>
                <w:color w:val="auto"/>
                <w:kern w:val="0"/>
                <w:szCs w:val="21"/>
                <w:lang w:bidi="ar"/>
              </w:rPr>
            </w:pPr>
          </w:p>
        </w:tc>
      </w:tr>
      <w:tr w14:paraId="7A2EC4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2F80F0A0">
            <w:pPr>
              <w:widowControl/>
              <w:ind w:firstLine="840" w:firstLineChars="400"/>
              <w:jc w:val="left"/>
              <w:textAlignment w:val="center"/>
              <w:rPr>
                <w:color w:val="auto"/>
                <w:kern w:val="0"/>
                <w:szCs w:val="21"/>
              </w:rPr>
            </w:pPr>
            <w:r>
              <w:rPr>
                <w:color w:val="auto"/>
                <w:kern w:val="0"/>
                <w:szCs w:val="21"/>
                <w:lang w:bidi="ar"/>
              </w:rPr>
              <w:t>6鳊</w:t>
            </w:r>
            <w:r>
              <w:rPr>
                <w:i/>
                <w:iCs/>
                <w:color w:val="auto"/>
                <w:kern w:val="0"/>
                <w:szCs w:val="21"/>
                <w:lang w:bidi="ar"/>
              </w:rPr>
              <w:t>Parabramis pekinensis</w:t>
            </w:r>
          </w:p>
        </w:tc>
        <w:tc>
          <w:tcPr>
            <w:tcW w:w="1869" w:type="dxa"/>
            <w:tcBorders>
              <w:tl2br w:val="nil"/>
              <w:tr2bl w:val="nil"/>
            </w:tcBorders>
            <w:vAlign w:val="center"/>
          </w:tcPr>
          <w:p w14:paraId="009BF5BB">
            <w:pPr>
              <w:widowControl/>
              <w:jc w:val="left"/>
              <w:textAlignment w:val="center"/>
              <w:rPr>
                <w:color w:val="auto"/>
                <w:kern w:val="0"/>
                <w:szCs w:val="21"/>
              </w:rPr>
            </w:pPr>
            <w:r>
              <w:rPr>
                <w:color w:val="auto"/>
                <w:kern w:val="0"/>
                <w:szCs w:val="21"/>
                <w:lang w:bidi="ar"/>
              </w:rPr>
              <w:t>R，MD，H，Dr</w:t>
            </w:r>
          </w:p>
        </w:tc>
      </w:tr>
      <w:tr w14:paraId="73EB08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56D97730">
            <w:pPr>
              <w:widowControl/>
              <w:ind w:firstLine="420" w:firstLineChars="200"/>
              <w:jc w:val="left"/>
              <w:textAlignment w:val="center"/>
              <w:rPr>
                <w:color w:val="auto"/>
                <w:kern w:val="0"/>
                <w:szCs w:val="21"/>
              </w:rPr>
            </w:pPr>
            <w:r>
              <w:rPr>
                <w:rFonts w:hint="eastAsia"/>
                <w:color w:val="auto"/>
                <w:kern w:val="0"/>
                <w:szCs w:val="21"/>
                <w:lang w:val="en-US" w:eastAsia="zh-CN" w:bidi="ar"/>
              </w:rPr>
              <w:t>3</w:t>
            </w:r>
            <w:r>
              <w:rPr>
                <w:color w:val="auto"/>
                <w:kern w:val="0"/>
                <w:szCs w:val="21"/>
                <w:lang w:bidi="ar"/>
              </w:rPr>
              <w:t>）鰟鮍属Rhodeus</w:t>
            </w:r>
          </w:p>
        </w:tc>
        <w:tc>
          <w:tcPr>
            <w:tcW w:w="1869" w:type="dxa"/>
            <w:tcBorders>
              <w:tl2br w:val="nil"/>
              <w:tr2bl w:val="nil"/>
            </w:tcBorders>
            <w:vAlign w:val="center"/>
          </w:tcPr>
          <w:p w14:paraId="6FBE55B6">
            <w:pPr>
              <w:widowControl/>
              <w:jc w:val="left"/>
              <w:rPr>
                <w:color w:val="auto"/>
                <w:kern w:val="0"/>
                <w:szCs w:val="21"/>
              </w:rPr>
            </w:pPr>
          </w:p>
        </w:tc>
      </w:tr>
      <w:tr w14:paraId="52C26D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1ABE5B19">
            <w:pPr>
              <w:widowControl/>
              <w:ind w:firstLine="840" w:firstLineChars="400"/>
              <w:jc w:val="left"/>
              <w:textAlignment w:val="center"/>
              <w:rPr>
                <w:color w:val="auto"/>
                <w:kern w:val="0"/>
                <w:szCs w:val="21"/>
              </w:rPr>
            </w:pPr>
            <w:r>
              <w:rPr>
                <w:color w:val="auto"/>
                <w:kern w:val="0"/>
                <w:szCs w:val="21"/>
                <w:lang w:bidi="ar"/>
              </w:rPr>
              <w:t>13中华鰟鮍</w:t>
            </w:r>
            <w:r>
              <w:rPr>
                <w:i/>
                <w:iCs/>
                <w:color w:val="auto"/>
                <w:kern w:val="0"/>
                <w:szCs w:val="21"/>
                <w:lang w:bidi="ar"/>
              </w:rPr>
              <w:t>Rhodeus sinensis</w:t>
            </w:r>
          </w:p>
        </w:tc>
        <w:tc>
          <w:tcPr>
            <w:tcW w:w="1869" w:type="dxa"/>
            <w:tcBorders>
              <w:tl2br w:val="nil"/>
              <w:tr2bl w:val="nil"/>
            </w:tcBorders>
            <w:vAlign w:val="center"/>
          </w:tcPr>
          <w:p w14:paraId="13B99CD6">
            <w:pPr>
              <w:widowControl/>
              <w:jc w:val="left"/>
              <w:textAlignment w:val="center"/>
              <w:rPr>
                <w:color w:val="auto"/>
                <w:kern w:val="0"/>
                <w:szCs w:val="21"/>
              </w:rPr>
            </w:pPr>
            <w:r>
              <w:rPr>
                <w:color w:val="auto"/>
                <w:kern w:val="0"/>
                <w:szCs w:val="21"/>
                <w:lang w:bidi="ar"/>
              </w:rPr>
              <w:t>R，MU，O，Hi</w:t>
            </w:r>
          </w:p>
        </w:tc>
      </w:tr>
      <w:tr w14:paraId="2BF9D7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07F1695B">
            <w:pPr>
              <w:widowControl/>
              <w:ind w:firstLine="840" w:firstLineChars="400"/>
              <w:jc w:val="left"/>
              <w:textAlignment w:val="center"/>
              <w:rPr>
                <w:color w:val="auto"/>
                <w:kern w:val="0"/>
                <w:szCs w:val="21"/>
              </w:rPr>
            </w:pPr>
            <w:r>
              <w:rPr>
                <w:color w:val="auto"/>
                <w:kern w:val="0"/>
                <w:szCs w:val="21"/>
                <w:lang w:bidi="ar"/>
              </w:rPr>
              <w:t>14高体鰟鮍</w:t>
            </w:r>
            <w:r>
              <w:rPr>
                <w:i/>
                <w:iCs/>
                <w:color w:val="auto"/>
                <w:kern w:val="0"/>
                <w:szCs w:val="21"/>
                <w:lang w:bidi="ar"/>
              </w:rPr>
              <w:t>Rhodeus ocellatus</w:t>
            </w:r>
          </w:p>
        </w:tc>
        <w:tc>
          <w:tcPr>
            <w:tcW w:w="1869" w:type="dxa"/>
            <w:tcBorders>
              <w:tl2br w:val="nil"/>
              <w:tr2bl w:val="nil"/>
            </w:tcBorders>
            <w:vAlign w:val="center"/>
          </w:tcPr>
          <w:p w14:paraId="53638533">
            <w:pPr>
              <w:widowControl/>
              <w:jc w:val="left"/>
              <w:textAlignment w:val="center"/>
              <w:rPr>
                <w:color w:val="auto"/>
                <w:kern w:val="0"/>
                <w:szCs w:val="21"/>
              </w:rPr>
            </w:pPr>
            <w:r>
              <w:rPr>
                <w:color w:val="auto"/>
                <w:kern w:val="0"/>
                <w:szCs w:val="21"/>
                <w:lang w:bidi="ar"/>
              </w:rPr>
              <w:t>R，MD，O，Hi</w:t>
            </w:r>
          </w:p>
        </w:tc>
      </w:tr>
      <w:tr w14:paraId="07EBDA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2047D982">
            <w:pPr>
              <w:widowControl/>
              <w:ind w:firstLine="420" w:firstLineChars="200"/>
              <w:jc w:val="left"/>
              <w:textAlignment w:val="center"/>
              <w:rPr>
                <w:color w:val="auto"/>
                <w:kern w:val="0"/>
                <w:szCs w:val="21"/>
              </w:rPr>
            </w:pPr>
            <w:r>
              <w:rPr>
                <w:rFonts w:hint="eastAsia"/>
                <w:color w:val="auto"/>
                <w:kern w:val="0"/>
                <w:szCs w:val="21"/>
                <w:lang w:val="en-US" w:eastAsia="zh-CN" w:bidi="ar"/>
              </w:rPr>
              <w:t>4</w:t>
            </w:r>
            <w:r>
              <w:rPr>
                <w:color w:val="auto"/>
                <w:kern w:val="0"/>
                <w:szCs w:val="21"/>
                <w:lang w:bidi="ar"/>
              </w:rPr>
              <w:t>）鲤属Cyprinus</w:t>
            </w:r>
          </w:p>
        </w:tc>
        <w:tc>
          <w:tcPr>
            <w:tcW w:w="1869" w:type="dxa"/>
            <w:tcBorders>
              <w:tl2br w:val="nil"/>
              <w:tr2bl w:val="nil"/>
            </w:tcBorders>
            <w:vAlign w:val="center"/>
          </w:tcPr>
          <w:p w14:paraId="7F7007E5">
            <w:pPr>
              <w:widowControl/>
              <w:jc w:val="left"/>
              <w:rPr>
                <w:color w:val="auto"/>
                <w:kern w:val="0"/>
                <w:szCs w:val="21"/>
              </w:rPr>
            </w:pPr>
          </w:p>
        </w:tc>
      </w:tr>
      <w:tr w14:paraId="3C80B1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E36833A">
            <w:pPr>
              <w:widowControl/>
              <w:ind w:firstLine="840" w:firstLineChars="400"/>
              <w:jc w:val="left"/>
              <w:textAlignment w:val="center"/>
              <w:rPr>
                <w:color w:val="auto"/>
                <w:kern w:val="0"/>
                <w:szCs w:val="21"/>
              </w:rPr>
            </w:pPr>
            <w:r>
              <w:rPr>
                <w:color w:val="auto"/>
                <w:kern w:val="0"/>
                <w:szCs w:val="21"/>
                <w:lang w:bidi="ar"/>
              </w:rPr>
              <w:t>16鲤</w:t>
            </w:r>
            <w:r>
              <w:rPr>
                <w:i/>
                <w:iCs/>
                <w:color w:val="auto"/>
                <w:kern w:val="0"/>
                <w:szCs w:val="21"/>
                <w:lang w:bidi="ar"/>
              </w:rPr>
              <w:t>Cyprinus carpio</w:t>
            </w:r>
          </w:p>
        </w:tc>
        <w:tc>
          <w:tcPr>
            <w:tcW w:w="1869" w:type="dxa"/>
            <w:tcBorders>
              <w:tl2br w:val="nil"/>
              <w:tr2bl w:val="nil"/>
            </w:tcBorders>
            <w:vAlign w:val="center"/>
          </w:tcPr>
          <w:p w14:paraId="0C553937">
            <w:pPr>
              <w:widowControl/>
              <w:jc w:val="left"/>
              <w:textAlignment w:val="center"/>
              <w:rPr>
                <w:color w:val="auto"/>
                <w:kern w:val="0"/>
                <w:szCs w:val="21"/>
              </w:rPr>
            </w:pPr>
            <w:r>
              <w:rPr>
                <w:color w:val="auto"/>
                <w:kern w:val="0"/>
                <w:szCs w:val="21"/>
                <w:lang w:bidi="ar"/>
              </w:rPr>
              <w:t>R，D，O，Ve</w:t>
            </w:r>
          </w:p>
        </w:tc>
      </w:tr>
      <w:tr w14:paraId="101801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01C958E">
            <w:pPr>
              <w:widowControl/>
              <w:ind w:firstLine="420" w:firstLineChars="200"/>
              <w:jc w:val="left"/>
              <w:textAlignment w:val="center"/>
              <w:rPr>
                <w:color w:val="auto"/>
                <w:kern w:val="0"/>
                <w:szCs w:val="21"/>
              </w:rPr>
            </w:pPr>
            <w:r>
              <w:rPr>
                <w:rFonts w:hint="eastAsia"/>
                <w:color w:val="auto"/>
                <w:kern w:val="0"/>
                <w:szCs w:val="21"/>
                <w:lang w:val="en-US" w:eastAsia="zh-CN" w:bidi="ar"/>
              </w:rPr>
              <w:t>5</w:t>
            </w:r>
            <w:r>
              <w:rPr>
                <w:color w:val="auto"/>
                <w:kern w:val="0"/>
                <w:szCs w:val="21"/>
                <w:lang w:bidi="ar"/>
              </w:rPr>
              <w:t>）鲫属Carassius</w:t>
            </w:r>
          </w:p>
        </w:tc>
        <w:tc>
          <w:tcPr>
            <w:tcW w:w="1869" w:type="dxa"/>
            <w:tcBorders>
              <w:tl2br w:val="nil"/>
              <w:tr2bl w:val="nil"/>
            </w:tcBorders>
            <w:vAlign w:val="center"/>
          </w:tcPr>
          <w:p w14:paraId="53A22FFE">
            <w:pPr>
              <w:widowControl/>
              <w:jc w:val="left"/>
              <w:rPr>
                <w:color w:val="auto"/>
                <w:kern w:val="0"/>
                <w:szCs w:val="21"/>
              </w:rPr>
            </w:pPr>
          </w:p>
        </w:tc>
      </w:tr>
      <w:tr w14:paraId="0E176F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03EE6C5B">
            <w:pPr>
              <w:widowControl/>
              <w:ind w:firstLine="840" w:firstLineChars="400"/>
              <w:jc w:val="left"/>
              <w:textAlignment w:val="center"/>
              <w:rPr>
                <w:color w:val="auto"/>
                <w:kern w:val="0"/>
                <w:szCs w:val="21"/>
              </w:rPr>
            </w:pPr>
            <w:r>
              <w:rPr>
                <w:color w:val="auto"/>
                <w:kern w:val="0"/>
                <w:szCs w:val="21"/>
                <w:lang w:bidi="ar"/>
              </w:rPr>
              <w:t>17鲫</w:t>
            </w:r>
            <w:r>
              <w:rPr>
                <w:i/>
                <w:iCs/>
                <w:color w:val="auto"/>
                <w:kern w:val="0"/>
                <w:szCs w:val="21"/>
                <w:lang w:bidi="ar"/>
              </w:rPr>
              <w:t>Carassius auratus</w:t>
            </w:r>
          </w:p>
        </w:tc>
        <w:tc>
          <w:tcPr>
            <w:tcW w:w="1869" w:type="dxa"/>
            <w:tcBorders>
              <w:tl2br w:val="nil"/>
              <w:tr2bl w:val="nil"/>
            </w:tcBorders>
            <w:vAlign w:val="center"/>
          </w:tcPr>
          <w:p w14:paraId="6CBF9DD9">
            <w:pPr>
              <w:widowControl/>
              <w:jc w:val="left"/>
              <w:textAlignment w:val="center"/>
              <w:rPr>
                <w:color w:val="auto"/>
                <w:kern w:val="0"/>
                <w:szCs w:val="21"/>
              </w:rPr>
            </w:pPr>
            <w:r>
              <w:rPr>
                <w:color w:val="auto"/>
                <w:kern w:val="0"/>
                <w:szCs w:val="21"/>
                <w:lang w:bidi="ar"/>
              </w:rPr>
              <w:t>R，D，O，Ve</w:t>
            </w:r>
          </w:p>
        </w:tc>
      </w:tr>
      <w:tr w14:paraId="417582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42D3502">
            <w:pPr>
              <w:widowControl/>
              <w:ind w:firstLine="210" w:firstLineChars="100"/>
              <w:jc w:val="left"/>
              <w:textAlignment w:val="center"/>
              <w:rPr>
                <w:color w:val="auto"/>
                <w:kern w:val="0"/>
                <w:szCs w:val="21"/>
              </w:rPr>
            </w:pPr>
            <w:r>
              <w:rPr>
                <w:color w:val="auto"/>
                <w:kern w:val="0"/>
                <w:szCs w:val="21"/>
                <w:lang w:bidi="ar"/>
              </w:rPr>
              <w:t>鳅科Cobitidae</w:t>
            </w:r>
          </w:p>
        </w:tc>
        <w:tc>
          <w:tcPr>
            <w:tcW w:w="1869" w:type="dxa"/>
            <w:tcBorders>
              <w:tl2br w:val="nil"/>
              <w:tr2bl w:val="nil"/>
            </w:tcBorders>
            <w:vAlign w:val="center"/>
          </w:tcPr>
          <w:p w14:paraId="45574EC4">
            <w:pPr>
              <w:widowControl/>
              <w:jc w:val="left"/>
              <w:rPr>
                <w:color w:val="auto"/>
                <w:kern w:val="0"/>
                <w:szCs w:val="21"/>
              </w:rPr>
            </w:pPr>
          </w:p>
        </w:tc>
      </w:tr>
      <w:tr w14:paraId="2804BB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540F00E9">
            <w:pPr>
              <w:widowControl/>
              <w:ind w:firstLine="420" w:firstLineChars="200"/>
              <w:jc w:val="left"/>
              <w:textAlignment w:val="center"/>
              <w:rPr>
                <w:color w:val="auto"/>
                <w:kern w:val="0"/>
                <w:szCs w:val="21"/>
              </w:rPr>
            </w:pPr>
            <w:r>
              <w:rPr>
                <w:color w:val="auto"/>
                <w:kern w:val="0"/>
                <w:szCs w:val="21"/>
                <w:lang w:bidi="ar"/>
              </w:rPr>
              <w:t>14）副泥鳅属Paramisgurnus</w:t>
            </w:r>
          </w:p>
        </w:tc>
        <w:tc>
          <w:tcPr>
            <w:tcW w:w="1869" w:type="dxa"/>
            <w:tcBorders>
              <w:tl2br w:val="nil"/>
              <w:tr2bl w:val="nil"/>
            </w:tcBorders>
            <w:vAlign w:val="center"/>
          </w:tcPr>
          <w:p w14:paraId="5EA2D651">
            <w:pPr>
              <w:widowControl/>
              <w:jc w:val="left"/>
              <w:rPr>
                <w:color w:val="auto"/>
                <w:kern w:val="0"/>
                <w:szCs w:val="21"/>
              </w:rPr>
            </w:pPr>
          </w:p>
        </w:tc>
      </w:tr>
      <w:tr w14:paraId="774CD5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58AAD036">
            <w:pPr>
              <w:widowControl/>
              <w:ind w:firstLine="840" w:firstLineChars="400"/>
              <w:jc w:val="left"/>
              <w:textAlignment w:val="center"/>
              <w:rPr>
                <w:color w:val="auto"/>
                <w:kern w:val="0"/>
                <w:szCs w:val="21"/>
              </w:rPr>
            </w:pPr>
            <w:r>
              <w:rPr>
                <w:color w:val="auto"/>
                <w:kern w:val="0"/>
                <w:szCs w:val="21"/>
                <w:lang w:bidi="ar"/>
              </w:rPr>
              <w:t>18大鳞副泥鳅</w:t>
            </w:r>
            <w:r>
              <w:rPr>
                <w:i/>
                <w:iCs/>
                <w:color w:val="auto"/>
                <w:kern w:val="0"/>
                <w:szCs w:val="21"/>
                <w:lang w:bidi="ar"/>
              </w:rPr>
              <w:t>Paramisgurnus dabryanus</w:t>
            </w:r>
          </w:p>
        </w:tc>
        <w:tc>
          <w:tcPr>
            <w:tcW w:w="1869" w:type="dxa"/>
            <w:tcBorders>
              <w:tl2br w:val="nil"/>
              <w:tr2bl w:val="nil"/>
            </w:tcBorders>
            <w:vAlign w:val="center"/>
          </w:tcPr>
          <w:p w14:paraId="2C028248">
            <w:pPr>
              <w:widowControl/>
              <w:jc w:val="left"/>
              <w:textAlignment w:val="center"/>
              <w:rPr>
                <w:color w:val="auto"/>
                <w:kern w:val="0"/>
                <w:szCs w:val="21"/>
              </w:rPr>
            </w:pPr>
            <w:r>
              <w:rPr>
                <w:color w:val="auto"/>
                <w:kern w:val="0"/>
                <w:szCs w:val="21"/>
                <w:lang w:bidi="ar"/>
              </w:rPr>
              <w:t>MS，D，O，Ve</w:t>
            </w:r>
          </w:p>
        </w:tc>
      </w:tr>
      <w:tr w14:paraId="3A7F53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59B11F88">
            <w:pPr>
              <w:widowControl/>
              <w:numPr>
                <w:ilvl w:val="0"/>
                <w:numId w:val="14"/>
              </w:numPr>
              <w:jc w:val="left"/>
              <w:textAlignment w:val="center"/>
              <w:rPr>
                <w:color w:val="auto"/>
                <w:kern w:val="0"/>
                <w:szCs w:val="21"/>
                <w:lang w:bidi="ar"/>
              </w:rPr>
            </w:pPr>
            <w:r>
              <w:rPr>
                <w:b/>
                <w:bCs/>
                <w:color w:val="auto"/>
                <w:kern w:val="0"/>
                <w:szCs w:val="21"/>
                <w:lang w:bidi="ar"/>
              </w:rPr>
              <w:t>鲇形目Siluriformes</w:t>
            </w:r>
          </w:p>
        </w:tc>
        <w:tc>
          <w:tcPr>
            <w:tcW w:w="1869" w:type="dxa"/>
            <w:tcBorders>
              <w:tl2br w:val="nil"/>
              <w:tr2bl w:val="nil"/>
            </w:tcBorders>
            <w:vAlign w:val="center"/>
          </w:tcPr>
          <w:p w14:paraId="7B139D1D">
            <w:pPr>
              <w:widowControl/>
              <w:jc w:val="left"/>
              <w:rPr>
                <w:color w:val="auto"/>
                <w:kern w:val="0"/>
                <w:szCs w:val="21"/>
              </w:rPr>
            </w:pPr>
          </w:p>
        </w:tc>
      </w:tr>
      <w:tr w14:paraId="49D128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41AA9A71">
            <w:pPr>
              <w:widowControl/>
              <w:ind w:firstLine="210" w:firstLineChars="100"/>
              <w:jc w:val="left"/>
              <w:textAlignment w:val="center"/>
              <w:rPr>
                <w:b/>
                <w:bCs/>
                <w:color w:val="auto"/>
                <w:kern w:val="0"/>
                <w:szCs w:val="21"/>
                <w:lang w:bidi="ar"/>
              </w:rPr>
            </w:pPr>
            <w:r>
              <w:rPr>
                <w:color w:val="auto"/>
                <w:kern w:val="0"/>
                <w:szCs w:val="21"/>
                <w:lang w:bidi="ar"/>
              </w:rPr>
              <w:t>鲿科Bagridae</w:t>
            </w:r>
          </w:p>
        </w:tc>
        <w:tc>
          <w:tcPr>
            <w:tcW w:w="1869" w:type="dxa"/>
            <w:tcBorders>
              <w:tl2br w:val="nil"/>
              <w:tr2bl w:val="nil"/>
            </w:tcBorders>
            <w:vAlign w:val="center"/>
          </w:tcPr>
          <w:p w14:paraId="48F3BE1D">
            <w:pPr>
              <w:widowControl/>
              <w:jc w:val="left"/>
              <w:rPr>
                <w:color w:val="auto"/>
                <w:kern w:val="0"/>
                <w:szCs w:val="21"/>
              </w:rPr>
            </w:pPr>
          </w:p>
        </w:tc>
      </w:tr>
      <w:tr w14:paraId="0B05CB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81C672F">
            <w:pPr>
              <w:widowControl/>
              <w:ind w:firstLine="420" w:firstLineChars="200"/>
              <w:jc w:val="left"/>
              <w:textAlignment w:val="center"/>
              <w:rPr>
                <w:color w:val="auto"/>
                <w:kern w:val="0"/>
                <w:szCs w:val="21"/>
                <w:lang w:bidi="ar"/>
              </w:rPr>
            </w:pPr>
            <w:r>
              <w:rPr>
                <w:color w:val="auto"/>
                <w:kern w:val="0"/>
                <w:szCs w:val="21"/>
                <w:lang w:bidi="ar"/>
              </w:rPr>
              <w:t>15）拟鲿属Pseudobagrus</w:t>
            </w:r>
          </w:p>
        </w:tc>
        <w:tc>
          <w:tcPr>
            <w:tcW w:w="1869" w:type="dxa"/>
            <w:tcBorders>
              <w:tl2br w:val="nil"/>
              <w:tr2bl w:val="nil"/>
            </w:tcBorders>
            <w:vAlign w:val="center"/>
          </w:tcPr>
          <w:p w14:paraId="74AF7AC5">
            <w:pPr>
              <w:widowControl/>
              <w:jc w:val="left"/>
              <w:rPr>
                <w:color w:val="auto"/>
                <w:kern w:val="0"/>
                <w:szCs w:val="21"/>
              </w:rPr>
            </w:pPr>
          </w:p>
        </w:tc>
      </w:tr>
      <w:tr w14:paraId="0FCFA4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8678701">
            <w:pPr>
              <w:widowControl/>
              <w:ind w:firstLine="840" w:firstLineChars="400"/>
              <w:jc w:val="left"/>
              <w:textAlignment w:val="center"/>
              <w:rPr>
                <w:color w:val="auto"/>
                <w:kern w:val="0"/>
                <w:szCs w:val="21"/>
                <w:lang w:bidi="ar"/>
              </w:rPr>
            </w:pPr>
            <w:r>
              <w:rPr>
                <w:color w:val="auto"/>
                <w:kern w:val="0"/>
                <w:szCs w:val="21"/>
                <w:lang w:bidi="ar"/>
              </w:rPr>
              <w:t>19黄颡鱼Pseudobagrusfulvidraco</w:t>
            </w:r>
          </w:p>
        </w:tc>
        <w:tc>
          <w:tcPr>
            <w:tcW w:w="1869" w:type="dxa"/>
            <w:tcBorders>
              <w:tl2br w:val="nil"/>
              <w:tr2bl w:val="nil"/>
            </w:tcBorders>
            <w:vAlign w:val="center"/>
          </w:tcPr>
          <w:p w14:paraId="36B318EA">
            <w:pPr>
              <w:widowControl/>
              <w:jc w:val="left"/>
              <w:textAlignment w:val="center"/>
              <w:rPr>
                <w:color w:val="auto"/>
                <w:kern w:val="0"/>
                <w:szCs w:val="21"/>
              </w:rPr>
            </w:pPr>
            <w:r>
              <w:rPr>
                <w:color w:val="auto"/>
                <w:kern w:val="0"/>
                <w:szCs w:val="21"/>
                <w:lang w:bidi="ar"/>
              </w:rPr>
              <w:t>MS，D，O，Ve</w:t>
            </w:r>
          </w:p>
        </w:tc>
      </w:tr>
      <w:tr w14:paraId="7614F5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2BD52E70">
            <w:pPr>
              <w:widowControl/>
              <w:jc w:val="left"/>
              <w:textAlignment w:val="center"/>
              <w:rPr>
                <w:color w:val="auto"/>
                <w:kern w:val="0"/>
                <w:szCs w:val="21"/>
                <w:lang w:bidi="ar"/>
              </w:rPr>
            </w:pPr>
            <w:r>
              <w:rPr>
                <w:b/>
                <w:bCs/>
                <w:color w:val="auto"/>
                <w:kern w:val="0"/>
                <w:szCs w:val="21"/>
                <w:lang w:bidi="ar"/>
              </w:rPr>
              <w:t>三、合鳃鱼目Synbranchiformes</w:t>
            </w:r>
          </w:p>
        </w:tc>
        <w:tc>
          <w:tcPr>
            <w:tcW w:w="1869" w:type="dxa"/>
            <w:tcBorders>
              <w:tl2br w:val="nil"/>
              <w:tr2bl w:val="nil"/>
            </w:tcBorders>
            <w:vAlign w:val="center"/>
          </w:tcPr>
          <w:p w14:paraId="2C633C81">
            <w:pPr>
              <w:widowControl/>
              <w:jc w:val="left"/>
              <w:rPr>
                <w:color w:val="auto"/>
                <w:kern w:val="0"/>
                <w:szCs w:val="21"/>
              </w:rPr>
            </w:pPr>
          </w:p>
        </w:tc>
      </w:tr>
      <w:tr w14:paraId="237621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1D0B06C4">
            <w:pPr>
              <w:widowControl/>
              <w:ind w:firstLine="210" w:firstLineChars="100"/>
              <w:jc w:val="left"/>
              <w:textAlignment w:val="center"/>
              <w:rPr>
                <w:b/>
                <w:bCs/>
                <w:color w:val="auto"/>
                <w:kern w:val="0"/>
                <w:szCs w:val="21"/>
                <w:lang w:bidi="ar"/>
              </w:rPr>
            </w:pPr>
            <w:r>
              <w:rPr>
                <w:color w:val="auto"/>
                <w:kern w:val="0"/>
                <w:szCs w:val="21"/>
                <w:lang w:bidi="ar"/>
              </w:rPr>
              <w:t>合鳃鱼科Synbranchidae</w:t>
            </w:r>
          </w:p>
        </w:tc>
        <w:tc>
          <w:tcPr>
            <w:tcW w:w="1869" w:type="dxa"/>
            <w:tcBorders>
              <w:tl2br w:val="nil"/>
              <w:tr2bl w:val="nil"/>
            </w:tcBorders>
            <w:vAlign w:val="center"/>
          </w:tcPr>
          <w:p w14:paraId="4B0F427A">
            <w:pPr>
              <w:widowControl/>
              <w:jc w:val="left"/>
              <w:rPr>
                <w:color w:val="auto"/>
                <w:kern w:val="0"/>
                <w:szCs w:val="21"/>
              </w:rPr>
            </w:pPr>
          </w:p>
        </w:tc>
      </w:tr>
      <w:tr w14:paraId="66A24F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05FAB8DF">
            <w:pPr>
              <w:widowControl/>
              <w:ind w:firstLine="420" w:firstLineChars="200"/>
              <w:jc w:val="left"/>
              <w:textAlignment w:val="center"/>
              <w:rPr>
                <w:color w:val="auto"/>
                <w:kern w:val="0"/>
                <w:szCs w:val="21"/>
                <w:lang w:bidi="ar"/>
              </w:rPr>
            </w:pPr>
            <w:r>
              <w:rPr>
                <w:color w:val="auto"/>
                <w:kern w:val="0"/>
                <w:szCs w:val="21"/>
                <w:lang w:bidi="ar"/>
              </w:rPr>
              <w:t>16）黄鳝属</w:t>
            </w:r>
            <w:r>
              <w:rPr>
                <w:i/>
                <w:iCs/>
                <w:color w:val="auto"/>
                <w:kern w:val="0"/>
                <w:szCs w:val="21"/>
                <w:lang w:bidi="ar"/>
              </w:rPr>
              <w:t>Monopterus</w:t>
            </w:r>
          </w:p>
        </w:tc>
        <w:tc>
          <w:tcPr>
            <w:tcW w:w="1869" w:type="dxa"/>
            <w:tcBorders>
              <w:tl2br w:val="nil"/>
              <w:tr2bl w:val="nil"/>
            </w:tcBorders>
            <w:vAlign w:val="center"/>
          </w:tcPr>
          <w:p w14:paraId="7E92F3DD">
            <w:pPr>
              <w:widowControl/>
              <w:jc w:val="left"/>
              <w:rPr>
                <w:color w:val="auto"/>
                <w:kern w:val="0"/>
                <w:szCs w:val="21"/>
              </w:rPr>
            </w:pPr>
          </w:p>
        </w:tc>
      </w:tr>
      <w:tr w14:paraId="63E4C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BD4E3EB">
            <w:pPr>
              <w:widowControl/>
              <w:ind w:firstLine="840" w:firstLineChars="400"/>
              <w:jc w:val="left"/>
              <w:textAlignment w:val="center"/>
              <w:rPr>
                <w:color w:val="auto"/>
                <w:kern w:val="0"/>
                <w:szCs w:val="21"/>
                <w:lang w:bidi="ar"/>
              </w:rPr>
            </w:pPr>
            <w:r>
              <w:rPr>
                <w:color w:val="auto"/>
                <w:kern w:val="0"/>
                <w:szCs w:val="21"/>
                <w:lang w:bidi="ar"/>
              </w:rPr>
              <w:t>20黄鳝</w:t>
            </w:r>
            <w:r>
              <w:rPr>
                <w:i/>
                <w:iCs/>
                <w:color w:val="auto"/>
                <w:kern w:val="0"/>
                <w:szCs w:val="21"/>
                <w:lang w:bidi="ar"/>
              </w:rPr>
              <w:t>Monopterus albus</w:t>
            </w:r>
          </w:p>
        </w:tc>
        <w:tc>
          <w:tcPr>
            <w:tcW w:w="1869" w:type="dxa"/>
            <w:tcBorders>
              <w:tl2br w:val="nil"/>
              <w:tr2bl w:val="nil"/>
            </w:tcBorders>
            <w:vAlign w:val="center"/>
          </w:tcPr>
          <w:p w14:paraId="31389CD1">
            <w:pPr>
              <w:widowControl/>
              <w:jc w:val="left"/>
              <w:textAlignment w:val="center"/>
              <w:rPr>
                <w:color w:val="auto"/>
                <w:kern w:val="0"/>
                <w:szCs w:val="21"/>
              </w:rPr>
            </w:pPr>
            <w:r>
              <w:rPr>
                <w:color w:val="auto"/>
                <w:kern w:val="0"/>
                <w:szCs w:val="21"/>
                <w:lang w:bidi="ar"/>
              </w:rPr>
              <w:t>MS，D，O，De</w:t>
            </w:r>
          </w:p>
        </w:tc>
      </w:tr>
      <w:tr w14:paraId="61F2C9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9BE8272">
            <w:pPr>
              <w:widowControl/>
              <w:jc w:val="left"/>
              <w:textAlignment w:val="center"/>
              <w:rPr>
                <w:color w:val="auto"/>
                <w:kern w:val="0"/>
                <w:szCs w:val="21"/>
                <w:lang w:bidi="ar"/>
              </w:rPr>
            </w:pPr>
            <w:r>
              <w:rPr>
                <w:rFonts w:hint="eastAsia"/>
                <w:b/>
                <w:bCs/>
                <w:color w:val="auto"/>
                <w:kern w:val="0"/>
                <w:szCs w:val="21"/>
                <w:lang w:val="en-US" w:eastAsia="zh-CN" w:bidi="ar"/>
              </w:rPr>
              <w:t>四</w:t>
            </w:r>
            <w:r>
              <w:rPr>
                <w:b/>
                <w:bCs/>
                <w:color w:val="auto"/>
                <w:kern w:val="0"/>
                <w:szCs w:val="21"/>
                <w:lang w:bidi="ar"/>
              </w:rPr>
              <w:t>、鰕鯱目Gobiiformes</w:t>
            </w:r>
          </w:p>
        </w:tc>
        <w:tc>
          <w:tcPr>
            <w:tcW w:w="1869" w:type="dxa"/>
            <w:tcBorders>
              <w:tl2br w:val="nil"/>
              <w:tr2bl w:val="nil"/>
            </w:tcBorders>
            <w:vAlign w:val="center"/>
          </w:tcPr>
          <w:p w14:paraId="5C9F2F9F">
            <w:pPr>
              <w:widowControl/>
              <w:jc w:val="left"/>
              <w:rPr>
                <w:color w:val="auto"/>
                <w:kern w:val="0"/>
                <w:szCs w:val="21"/>
              </w:rPr>
            </w:pPr>
          </w:p>
        </w:tc>
      </w:tr>
      <w:tr w14:paraId="5BE5A6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A21169E">
            <w:pPr>
              <w:widowControl/>
              <w:ind w:firstLine="210" w:firstLineChars="100"/>
              <w:jc w:val="left"/>
              <w:textAlignment w:val="center"/>
              <w:rPr>
                <w:color w:val="auto"/>
                <w:kern w:val="0"/>
                <w:szCs w:val="21"/>
                <w:lang w:bidi="ar"/>
              </w:rPr>
            </w:pPr>
            <w:r>
              <w:rPr>
                <w:color w:val="auto"/>
                <w:kern w:val="0"/>
                <w:szCs w:val="21"/>
                <w:lang w:bidi="ar"/>
              </w:rPr>
              <w:t>沙塘鳢科Odontobutidae</w:t>
            </w:r>
          </w:p>
        </w:tc>
        <w:tc>
          <w:tcPr>
            <w:tcW w:w="1869" w:type="dxa"/>
            <w:tcBorders>
              <w:tl2br w:val="nil"/>
              <w:tr2bl w:val="nil"/>
            </w:tcBorders>
            <w:vAlign w:val="center"/>
          </w:tcPr>
          <w:p w14:paraId="226D731B">
            <w:pPr>
              <w:widowControl/>
              <w:jc w:val="left"/>
              <w:rPr>
                <w:color w:val="auto"/>
                <w:kern w:val="0"/>
                <w:szCs w:val="21"/>
              </w:rPr>
            </w:pPr>
          </w:p>
        </w:tc>
      </w:tr>
      <w:tr w14:paraId="066E09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1423193B">
            <w:pPr>
              <w:widowControl/>
              <w:ind w:firstLine="420" w:firstLineChars="200"/>
              <w:jc w:val="left"/>
              <w:textAlignment w:val="center"/>
              <w:rPr>
                <w:color w:val="auto"/>
                <w:kern w:val="0"/>
                <w:szCs w:val="21"/>
                <w:lang w:bidi="ar"/>
              </w:rPr>
            </w:pPr>
            <w:r>
              <w:rPr>
                <w:color w:val="auto"/>
                <w:kern w:val="0"/>
                <w:szCs w:val="21"/>
                <w:lang w:bidi="ar"/>
              </w:rPr>
              <w:t>19）小黄䱂鱼属</w:t>
            </w:r>
            <w:r>
              <w:rPr>
                <w:i/>
                <w:iCs/>
                <w:color w:val="auto"/>
                <w:kern w:val="0"/>
                <w:szCs w:val="21"/>
                <w:lang w:bidi="ar"/>
              </w:rPr>
              <w:t>Micropercops</w:t>
            </w:r>
          </w:p>
        </w:tc>
        <w:tc>
          <w:tcPr>
            <w:tcW w:w="1869" w:type="dxa"/>
            <w:tcBorders>
              <w:tl2br w:val="nil"/>
              <w:tr2bl w:val="nil"/>
            </w:tcBorders>
            <w:vAlign w:val="center"/>
          </w:tcPr>
          <w:p w14:paraId="218BACB9">
            <w:pPr>
              <w:widowControl/>
              <w:jc w:val="left"/>
              <w:rPr>
                <w:color w:val="auto"/>
                <w:kern w:val="0"/>
                <w:szCs w:val="21"/>
              </w:rPr>
            </w:pPr>
          </w:p>
        </w:tc>
      </w:tr>
      <w:tr w14:paraId="67B877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4663DB1E">
            <w:pPr>
              <w:widowControl/>
              <w:ind w:firstLine="840" w:firstLineChars="400"/>
              <w:jc w:val="left"/>
              <w:textAlignment w:val="center"/>
              <w:rPr>
                <w:color w:val="auto"/>
                <w:kern w:val="0"/>
                <w:szCs w:val="21"/>
                <w:lang w:bidi="ar"/>
              </w:rPr>
            </w:pPr>
            <w:r>
              <w:rPr>
                <w:color w:val="auto"/>
                <w:kern w:val="0"/>
                <w:szCs w:val="21"/>
                <w:lang w:bidi="ar"/>
              </w:rPr>
              <w:t>23小黄䱂鱼</w:t>
            </w:r>
            <w:r>
              <w:rPr>
                <w:i/>
                <w:iCs/>
                <w:color w:val="auto"/>
                <w:kern w:val="0"/>
                <w:szCs w:val="21"/>
                <w:lang w:bidi="ar"/>
              </w:rPr>
              <w:t>Micropercops swinhonis</w:t>
            </w:r>
          </w:p>
        </w:tc>
        <w:tc>
          <w:tcPr>
            <w:tcW w:w="1869" w:type="dxa"/>
            <w:tcBorders>
              <w:tl2br w:val="nil"/>
              <w:tr2bl w:val="nil"/>
            </w:tcBorders>
            <w:vAlign w:val="center"/>
          </w:tcPr>
          <w:p w14:paraId="7FD9F5D2">
            <w:pPr>
              <w:widowControl/>
              <w:jc w:val="left"/>
              <w:textAlignment w:val="center"/>
              <w:rPr>
                <w:color w:val="auto"/>
                <w:kern w:val="0"/>
                <w:szCs w:val="21"/>
              </w:rPr>
            </w:pPr>
            <w:r>
              <w:rPr>
                <w:color w:val="auto"/>
                <w:kern w:val="0"/>
                <w:szCs w:val="21"/>
                <w:lang w:bidi="ar"/>
              </w:rPr>
              <w:t>MS，D，C，Ve</w:t>
            </w:r>
          </w:p>
        </w:tc>
      </w:tr>
      <w:tr w14:paraId="764288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2ABACCDD">
            <w:pPr>
              <w:widowControl/>
              <w:ind w:firstLine="420" w:firstLineChars="200"/>
              <w:jc w:val="left"/>
              <w:textAlignment w:val="center"/>
              <w:rPr>
                <w:color w:val="auto"/>
                <w:kern w:val="0"/>
                <w:szCs w:val="21"/>
                <w:lang w:bidi="ar"/>
              </w:rPr>
            </w:pPr>
            <w:r>
              <w:rPr>
                <w:color w:val="auto"/>
                <w:kern w:val="0"/>
                <w:szCs w:val="21"/>
                <w:lang w:bidi="ar"/>
              </w:rPr>
              <w:t>20）沙塘鳢属</w:t>
            </w:r>
            <w:r>
              <w:rPr>
                <w:i/>
                <w:iCs/>
                <w:color w:val="auto"/>
                <w:kern w:val="0"/>
                <w:szCs w:val="21"/>
                <w:lang w:bidi="ar"/>
              </w:rPr>
              <w:t>Odontobutis</w:t>
            </w:r>
          </w:p>
        </w:tc>
        <w:tc>
          <w:tcPr>
            <w:tcW w:w="1869" w:type="dxa"/>
            <w:tcBorders>
              <w:tl2br w:val="nil"/>
              <w:tr2bl w:val="nil"/>
            </w:tcBorders>
            <w:vAlign w:val="center"/>
          </w:tcPr>
          <w:p w14:paraId="5B521027">
            <w:pPr>
              <w:widowControl/>
              <w:jc w:val="left"/>
              <w:rPr>
                <w:color w:val="auto"/>
                <w:kern w:val="0"/>
                <w:szCs w:val="21"/>
              </w:rPr>
            </w:pPr>
          </w:p>
        </w:tc>
      </w:tr>
      <w:tr w14:paraId="692306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16E0DCA">
            <w:pPr>
              <w:widowControl/>
              <w:ind w:firstLine="840" w:firstLineChars="400"/>
              <w:jc w:val="left"/>
              <w:textAlignment w:val="center"/>
              <w:rPr>
                <w:color w:val="auto"/>
                <w:kern w:val="0"/>
                <w:szCs w:val="21"/>
                <w:lang w:bidi="ar"/>
              </w:rPr>
            </w:pPr>
            <w:r>
              <w:rPr>
                <w:color w:val="auto"/>
                <w:kern w:val="0"/>
                <w:szCs w:val="21"/>
                <w:lang w:bidi="ar"/>
              </w:rPr>
              <w:t>24中华沙塘鳢</w:t>
            </w:r>
            <w:r>
              <w:rPr>
                <w:i/>
                <w:iCs/>
                <w:color w:val="auto"/>
                <w:kern w:val="0"/>
                <w:szCs w:val="21"/>
                <w:lang w:bidi="ar"/>
              </w:rPr>
              <w:t>Odontobutis sinensis</w:t>
            </w:r>
          </w:p>
        </w:tc>
        <w:tc>
          <w:tcPr>
            <w:tcW w:w="1869" w:type="dxa"/>
            <w:tcBorders>
              <w:tl2br w:val="nil"/>
              <w:tr2bl w:val="nil"/>
            </w:tcBorders>
            <w:vAlign w:val="center"/>
          </w:tcPr>
          <w:p w14:paraId="2614057B">
            <w:pPr>
              <w:widowControl/>
              <w:jc w:val="left"/>
              <w:textAlignment w:val="center"/>
              <w:rPr>
                <w:color w:val="auto"/>
                <w:kern w:val="0"/>
                <w:szCs w:val="21"/>
              </w:rPr>
            </w:pPr>
            <w:r>
              <w:rPr>
                <w:color w:val="auto"/>
                <w:kern w:val="0"/>
                <w:szCs w:val="21"/>
                <w:lang w:bidi="ar"/>
              </w:rPr>
              <w:t>R，D，C，Ve</w:t>
            </w:r>
          </w:p>
        </w:tc>
      </w:tr>
      <w:tr w14:paraId="54EF37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FB71C75">
            <w:pPr>
              <w:widowControl/>
              <w:numPr>
                <w:ilvl w:val="0"/>
                <w:numId w:val="0"/>
              </w:numPr>
              <w:jc w:val="left"/>
              <w:textAlignment w:val="center"/>
              <w:rPr>
                <w:color w:val="auto"/>
                <w:kern w:val="0"/>
                <w:szCs w:val="21"/>
                <w:lang w:bidi="ar"/>
              </w:rPr>
            </w:pPr>
            <w:r>
              <w:rPr>
                <w:rFonts w:hint="eastAsia"/>
                <w:b/>
                <w:bCs/>
                <w:color w:val="auto"/>
                <w:kern w:val="0"/>
                <w:szCs w:val="21"/>
                <w:lang w:val="en-US" w:eastAsia="zh-CN" w:bidi="ar"/>
              </w:rPr>
              <w:t>五、</w:t>
            </w:r>
            <w:r>
              <w:rPr>
                <w:b/>
                <w:bCs/>
                <w:color w:val="auto"/>
                <w:kern w:val="0"/>
                <w:szCs w:val="21"/>
                <w:lang w:bidi="ar"/>
              </w:rPr>
              <w:t>鲈形目Perciformes</w:t>
            </w:r>
          </w:p>
        </w:tc>
        <w:tc>
          <w:tcPr>
            <w:tcW w:w="1869" w:type="dxa"/>
            <w:tcBorders>
              <w:tl2br w:val="nil"/>
              <w:tr2bl w:val="nil"/>
            </w:tcBorders>
            <w:vAlign w:val="center"/>
          </w:tcPr>
          <w:p w14:paraId="2ECBA114">
            <w:pPr>
              <w:widowControl/>
              <w:jc w:val="left"/>
              <w:rPr>
                <w:color w:val="auto"/>
                <w:kern w:val="0"/>
                <w:szCs w:val="21"/>
              </w:rPr>
            </w:pPr>
          </w:p>
        </w:tc>
      </w:tr>
      <w:tr w14:paraId="6E278F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82C9080">
            <w:pPr>
              <w:widowControl/>
              <w:ind w:firstLine="210" w:firstLineChars="100"/>
              <w:jc w:val="left"/>
              <w:textAlignment w:val="center"/>
              <w:rPr>
                <w:color w:val="auto"/>
                <w:kern w:val="0"/>
                <w:szCs w:val="21"/>
                <w:lang w:bidi="ar"/>
              </w:rPr>
            </w:pPr>
            <w:r>
              <w:rPr>
                <w:color w:val="auto"/>
                <w:kern w:val="0"/>
                <w:szCs w:val="21"/>
                <w:lang w:bidi="ar"/>
              </w:rPr>
              <w:t>鳜科Sinipercidae</w:t>
            </w:r>
          </w:p>
        </w:tc>
        <w:tc>
          <w:tcPr>
            <w:tcW w:w="1869" w:type="dxa"/>
            <w:tcBorders>
              <w:tl2br w:val="nil"/>
              <w:tr2bl w:val="nil"/>
            </w:tcBorders>
            <w:vAlign w:val="center"/>
          </w:tcPr>
          <w:p w14:paraId="60B07FE6">
            <w:pPr>
              <w:widowControl/>
              <w:jc w:val="left"/>
              <w:rPr>
                <w:color w:val="auto"/>
                <w:kern w:val="0"/>
                <w:szCs w:val="21"/>
              </w:rPr>
            </w:pPr>
          </w:p>
        </w:tc>
      </w:tr>
      <w:tr w14:paraId="1145B1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7EA86A52">
            <w:pPr>
              <w:widowControl/>
              <w:ind w:firstLine="420" w:firstLineChars="200"/>
              <w:jc w:val="left"/>
              <w:textAlignment w:val="center"/>
              <w:rPr>
                <w:color w:val="auto"/>
                <w:kern w:val="0"/>
                <w:szCs w:val="21"/>
                <w:lang w:bidi="ar"/>
              </w:rPr>
            </w:pPr>
            <w:r>
              <w:rPr>
                <w:color w:val="auto"/>
                <w:kern w:val="0"/>
                <w:szCs w:val="21"/>
                <w:lang w:bidi="ar"/>
              </w:rPr>
              <w:t>21）鳜属</w:t>
            </w:r>
            <w:r>
              <w:rPr>
                <w:i/>
                <w:iCs/>
                <w:color w:val="auto"/>
                <w:kern w:val="0"/>
                <w:szCs w:val="21"/>
                <w:lang w:bidi="ar"/>
              </w:rPr>
              <w:t>Siniperca</w:t>
            </w:r>
          </w:p>
        </w:tc>
        <w:tc>
          <w:tcPr>
            <w:tcW w:w="1869" w:type="dxa"/>
            <w:tcBorders>
              <w:tl2br w:val="nil"/>
              <w:tr2bl w:val="nil"/>
            </w:tcBorders>
            <w:vAlign w:val="center"/>
          </w:tcPr>
          <w:p w14:paraId="1E03C267">
            <w:pPr>
              <w:widowControl/>
              <w:jc w:val="left"/>
              <w:rPr>
                <w:color w:val="auto"/>
                <w:kern w:val="0"/>
                <w:szCs w:val="21"/>
              </w:rPr>
            </w:pPr>
          </w:p>
        </w:tc>
      </w:tr>
      <w:tr w14:paraId="2A21AC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6645" w:type="dxa"/>
            <w:tcBorders>
              <w:tl2br w:val="nil"/>
              <w:tr2bl w:val="nil"/>
            </w:tcBorders>
            <w:vAlign w:val="center"/>
          </w:tcPr>
          <w:p w14:paraId="39BA2B2C">
            <w:pPr>
              <w:widowControl/>
              <w:ind w:firstLine="630" w:firstLineChars="300"/>
              <w:jc w:val="left"/>
              <w:textAlignment w:val="center"/>
              <w:rPr>
                <w:color w:val="auto"/>
                <w:kern w:val="0"/>
                <w:szCs w:val="21"/>
                <w:lang w:bidi="ar"/>
              </w:rPr>
            </w:pPr>
            <w:r>
              <w:rPr>
                <w:color w:val="auto"/>
                <w:kern w:val="0"/>
                <w:szCs w:val="21"/>
                <w:lang w:bidi="ar"/>
              </w:rPr>
              <w:t>25鳜</w:t>
            </w:r>
            <w:r>
              <w:rPr>
                <w:i/>
                <w:iCs/>
                <w:color w:val="auto"/>
                <w:kern w:val="0"/>
                <w:szCs w:val="21"/>
                <w:lang w:bidi="ar"/>
              </w:rPr>
              <w:t>Siniperca chuatsi</w:t>
            </w:r>
          </w:p>
        </w:tc>
        <w:tc>
          <w:tcPr>
            <w:tcW w:w="1869" w:type="dxa"/>
            <w:tcBorders>
              <w:tl2br w:val="nil"/>
              <w:tr2bl w:val="nil"/>
            </w:tcBorders>
            <w:vAlign w:val="center"/>
          </w:tcPr>
          <w:p w14:paraId="3616F780">
            <w:pPr>
              <w:widowControl/>
              <w:jc w:val="left"/>
              <w:textAlignment w:val="center"/>
              <w:rPr>
                <w:color w:val="auto"/>
                <w:kern w:val="0"/>
                <w:szCs w:val="21"/>
              </w:rPr>
            </w:pPr>
            <w:r>
              <w:rPr>
                <w:color w:val="auto"/>
                <w:kern w:val="0"/>
                <w:szCs w:val="21"/>
                <w:lang w:bidi="ar"/>
              </w:rPr>
              <w:t>R，MU，C，De</w:t>
            </w:r>
          </w:p>
        </w:tc>
      </w:tr>
      <w:tr w14:paraId="50EC83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8514" w:type="dxa"/>
            <w:gridSpan w:val="2"/>
            <w:tcBorders>
              <w:tl2br w:val="nil"/>
              <w:tr2bl w:val="nil"/>
            </w:tcBorders>
            <w:vAlign w:val="center"/>
          </w:tcPr>
          <w:p w14:paraId="68D1BA7F">
            <w:pPr>
              <w:ind w:firstLine="420" w:firstLineChars="200"/>
              <w:rPr>
                <w:color w:val="auto"/>
                <w:kern w:val="0"/>
                <w:szCs w:val="21"/>
                <w:lang w:bidi="ar"/>
              </w:rPr>
            </w:pPr>
            <w:r>
              <w:rPr>
                <w:color w:val="auto"/>
                <w:kern w:val="0"/>
                <w:szCs w:val="21"/>
              </w:rPr>
              <w:t>注：RL：洄游鱼类；R：定居鱼类；MS：山溪鱼类；MU：中上层鱼类；MD：中下层鱼类；D：底栖鱼类；H：草食性鱼类；C：肉食性鱼类；O：杂食性鱼类；Ve：产黏性卵；De：产沉性卵；Dr：产漂流性卵；Hi：产喜贝性卵。</w:t>
            </w:r>
          </w:p>
        </w:tc>
      </w:tr>
    </w:tbl>
    <w:p w14:paraId="088B02E0">
      <w:pPr>
        <w:spacing w:line="360" w:lineRule="auto"/>
        <w:ind w:firstLine="482" w:firstLineChars="200"/>
        <w:rPr>
          <w:b/>
          <w:bCs/>
          <w:color w:val="auto"/>
          <w:kern w:val="0"/>
          <w:sz w:val="24"/>
        </w:rPr>
      </w:pPr>
      <w:r>
        <w:rPr>
          <w:b/>
          <w:bCs/>
          <w:color w:val="auto"/>
          <w:kern w:val="0"/>
          <w:sz w:val="24"/>
        </w:rPr>
        <w:t>2、生态类型</w:t>
      </w:r>
    </w:p>
    <w:p w14:paraId="01F0164A">
      <w:pPr>
        <w:spacing w:line="360" w:lineRule="auto"/>
        <w:ind w:firstLine="480" w:firstLineChars="200"/>
        <w:rPr>
          <w:color w:val="auto"/>
          <w:kern w:val="0"/>
          <w:sz w:val="24"/>
        </w:rPr>
      </w:pPr>
      <w:r>
        <w:rPr>
          <w:color w:val="auto"/>
          <w:kern w:val="0"/>
          <w:sz w:val="24"/>
        </w:rPr>
        <w:t>根据鱼类栖息空间不同，将本次调查片区鱼类物种的生态位划分为中上层、中下层和底栖。按照鱼类所摄食食物的类型和性质，将本次调查片区鱼类食性分为草食性、肉食性和杂食性三种。草食性鱼类有草鱼（</w:t>
      </w:r>
      <w:r>
        <w:rPr>
          <w:i/>
          <w:iCs/>
          <w:color w:val="auto"/>
          <w:kern w:val="0"/>
          <w:sz w:val="24"/>
        </w:rPr>
        <w:t>Ctenopharyngodon idella</w:t>
      </w:r>
      <w:r>
        <w:rPr>
          <w:color w:val="auto"/>
          <w:kern w:val="0"/>
          <w:sz w:val="24"/>
        </w:rPr>
        <w:t>）和鳊（</w:t>
      </w:r>
      <w:r>
        <w:rPr>
          <w:i/>
          <w:iCs/>
          <w:color w:val="auto"/>
          <w:kern w:val="0"/>
          <w:sz w:val="24"/>
        </w:rPr>
        <w:t>Parabramis pekinensis</w:t>
      </w:r>
      <w:r>
        <w:rPr>
          <w:color w:val="auto"/>
          <w:kern w:val="0"/>
          <w:sz w:val="24"/>
        </w:rPr>
        <w:t>）3种，主要以藻类和植物碎屑等植物为食</w:t>
      </w:r>
      <w:r>
        <w:rPr>
          <w:rFonts w:hint="eastAsia"/>
          <w:color w:val="auto"/>
          <w:kern w:val="0"/>
          <w:sz w:val="24"/>
          <w:lang w:eastAsia="zh-CN"/>
        </w:rPr>
        <w:t>；</w:t>
      </w:r>
      <w:r>
        <w:rPr>
          <w:color w:val="auto"/>
          <w:kern w:val="0"/>
          <w:sz w:val="24"/>
        </w:rPr>
        <w:t>肉食性鱼类主要食用底栖动物、水生昆虫、水生动物，占总物种数的36%，包括鳜（</w:t>
      </w:r>
      <w:r>
        <w:rPr>
          <w:i/>
          <w:iCs/>
          <w:color w:val="auto"/>
          <w:kern w:val="0"/>
          <w:sz w:val="24"/>
        </w:rPr>
        <w:t>Siniperca chuatsi</w:t>
      </w:r>
      <w:r>
        <w:rPr>
          <w:color w:val="auto"/>
          <w:kern w:val="0"/>
          <w:sz w:val="24"/>
        </w:rPr>
        <w:t>）等；杂食性鱼类包括似黄鳝鱼（Monopterus albus）等</w:t>
      </w:r>
      <w:r>
        <w:rPr>
          <w:rFonts w:hint="eastAsia"/>
          <w:color w:val="auto"/>
          <w:kern w:val="0"/>
          <w:sz w:val="24"/>
          <w:lang w:eastAsia="zh-CN"/>
        </w:rPr>
        <w:t>，</w:t>
      </w:r>
      <w:r>
        <w:rPr>
          <w:color w:val="auto"/>
          <w:kern w:val="0"/>
          <w:sz w:val="24"/>
        </w:rPr>
        <w:t>不仅摄食浮游植物、藻类等植物性食物还取食水生昆虫、底栖动物等动物性植物。</w:t>
      </w:r>
    </w:p>
    <w:p w14:paraId="7C6F1B44">
      <w:pPr>
        <w:adjustRightInd w:val="0"/>
        <w:spacing w:line="360" w:lineRule="auto"/>
        <w:jc w:val="left"/>
        <w:outlineLvl w:val="2"/>
        <w:rPr>
          <w:b/>
          <w:color w:val="auto"/>
          <w:sz w:val="28"/>
          <w:szCs w:val="28"/>
        </w:rPr>
      </w:pPr>
      <w:r>
        <w:rPr>
          <w:rFonts w:hint="eastAsia"/>
          <w:b/>
          <w:color w:val="auto"/>
          <w:sz w:val="28"/>
          <w:szCs w:val="28"/>
        </w:rPr>
        <w:t>3.</w:t>
      </w:r>
      <w:r>
        <w:rPr>
          <w:b/>
          <w:color w:val="auto"/>
          <w:sz w:val="28"/>
          <w:szCs w:val="28"/>
        </w:rPr>
        <w:t>8.</w:t>
      </w:r>
      <w:r>
        <w:rPr>
          <w:rFonts w:hint="eastAsia"/>
          <w:b/>
          <w:color w:val="auto"/>
          <w:sz w:val="28"/>
          <w:szCs w:val="28"/>
          <w:lang w:val="en-US" w:eastAsia="zh-CN"/>
        </w:rPr>
        <w:t>2</w:t>
      </w:r>
      <w:r>
        <w:rPr>
          <w:b/>
          <w:color w:val="auto"/>
          <w:sz w:val="28"/>
          <w:szCs w:val="28"/>
        </w:rPr>
        <w:t>浮游生物、底栖生物资源概况</w:t>
      </w:r>
    </w:p>
    <w:p w14:paraId="4D75FEC8">
      <w:pPr>
        <w:adjustRightInd w:val="0"/>
        <w:spacing w:line="360" w:lineRule="auto"/>
        <w:jc w:val="left"/>
        <w:outlineLvl w:val="3"/>
        <w:rPr>
          <w:b/>
          <w:bCs/>
          <w:color w:val="auto"/>
          <w:sz w:val="24"/>
        </w:rPr>
      </w:pPr>
      <w:r>
        <w:rPr>
          <w:rFonts w:hint="eastAsia"/>
          <w:b/>
          <w:bCs/>
          <w:color w:val="auto"/>
          <w:sz w:val="24"/>
        </w:rPr>
        <w:t>3.</w:t>
      </w:r>
      <w:r>
        <w:rPr>
          <w:b/>
          <w:bCs/>
          <w:color w:val="auto"/>
          <w:sz w:val="24"/>
        </w:rPr>
        <w:t>8.</w:t>
      </w:r>
      <w:r>
        <w:rPr>
          <w:rFonts w:hint="eastAsia"/>
          <w:b/>
          <w:bCs/>
          <w:color w:val="auto"/>
          <w:sz w:val="24"/>
          <w:lang w:val="en-US" w:eastAsia="zh-CN"/>
        </w:rPr>
        <w:t>2</w:t>
      </w:r>
      <w:r>
        <w:rPr>
          <w:b/>
          <w:bCs/>
          <w:color w:val="auto"/>
          <w:sz w:val="24"/>
        </w:rPr>
        <w:t>.1浮游生物</w:t>
      </w:r>
    </w:p>
    <w:p w14:paraId="45608DAC">
      <w:pPr>
        <w:adjustRightInd w:val="0"/>
        <w:snapToGrid w:val="0"/>
        <w:spacing w:line="360" w:lineRule="auto"/>
        <w:ind w:firstLine="480" w:firstLineChars="200"/>
        <w:rPr>
          <w:color w:val="auto"/>
          <w:kern w:val="0"/>
          <w:sz w:val="24"/>
        </w:rPr>
      </w:pPr>
      <w:r>
        <w:rPr>
          <w:color w:val="auto"/>
          <w:kern w:val="0"/>
          <w:sz w:val="24"/>
        </w:rPr>
        <w:t>通过水质采样</w:t>
      </w:r>
      <w:r>
        <w:rPr>
          <w:rFonts w:hint="eastAsia"/>
          <w:color w:val="auto"/>
          <w:kern w:val="0"/>
          <w:sz w:val="24"/>
          <w:lang w:val="en-US" w:eastAsia="zh-CN"/>
        </w:rPr>
        <w:t>等</w:t>
      </w:r>
      <w:r>
        <w:rPr>
          <w:color w:val="auto"/>
          <w:kern w:val="0"/>
          <w:sz w:val="24"/>
        </w:rPr>
        <w:t>观察，共鉴定浮游动物4类12种，包括轮虫类、枝角类、桡足类及原生动物，具体为：萼花臂尾轮虫、晶囊轮虫、褶皱臂尾轮虫、长肢秀体溞、大型溞、透明溞、剑水蚤、哲水蚤、猛水蚤、草履虫、变形虫、钟虫。从时间变化上看，浮游藻类生物量个数近年来有减少趋势，优势藻类生物量所占比例则有所增加。鱼类繁殖和越冬期，浮游植物在数量方面的变化较大，其变幅为11.0～43.9×104 ind./L，而在鱼类肥育期则浮游植物的数量较少。各区段生物量最多的为轮虫，枝角类和桡足类数量很少。浮游动物生物量在位置分布和时间分布上无一定规律。</w:t>
      </w:r>
    </w:p>
    <w:p w14:paraId="2427C818">
      <w:pPr>
        <w:adjustRightInd w:val="0"/>
        <w:spacing w:line="360" w:lineRule="auto"/>
        <w:jc w:val="left"/>
        <w:outlineLvl w:val="3"/>
        <w:rPr>
          <w:b/>
          <w:bCs/>
          <w:color w:val="auto"/>
          <w:sz w:val="24"/>
        </w:rPr>
      </w:pPr>
      <w:r>
        <w:rPr>
          <w:rFonts w:hint="eastAsia"/>
          <w:b/>
          <w:bCs/>
          <w:color w:val="auto"/>
          <w:sz w:val="24"/>
        </w:rPr>
        <w:t>3.</w:t>
      </w:r>
      <w:r>
        <w:rPr>
          <w:b/>
          <w:bCs/>
          <w:color w:val="auto"/>
          <w:sz w:val="24"/>
        </w:rPr>
        <w:t>8.3.2底栖动物</w:t>
      </w:r>
    </w:p>
    <w:p w14:paraId="2533F492">
      <w:pPr>
        <w:adjustRightInd w:val="0"/>
        <w:snapToGrid w:val="0"/>
        <w:spacing w:line="360" w:lineRule="auto"/>
        <w:ind w:firstLine="480" w:firstLineChars="200"/>
        <w:rPr>
          <w:color w:val="auto"/>
          <w:kern w:val="0"/>
          <w:sz w:val="24"/>
        </w:rPr>
      </w:pPr>
      <w:r>
        <w:rPr>
          <w:rFonts w:hint="eastAsia"/>
          <w:color w:val="auto"/>
          <w:kern w:val="0"/>
          <w:sz w:val="24"/>
          <w:lang w:val="en-US" w:eastAsia="zh-CN"/>
        </w:rPr>
        <w:t>项目区域内</w:t>
      </w:r>
      <w:r>
        <w:rPr>
          <w:color w:val="auto"/>
          <w:kern w:val="0"/>
          <w:sz w:val="24"/>
        </w:rPr>
        <w:t>底栖动物</w:t>
      </w:r>
      <w:r>
        <w:rPr>
          <w:rFonts w:hint="eastAsia"/>
          <w:color w:val="auto"/>
          <w:kern w:val="0"/>
          <w:sz w:val="24"/>
          <w:lang w:val="en-US" w:eastAsia="zh-CN"/>
        </w:rPr>
        <w:t>3</w:t>
      </w:r>
      <w:r>
        <w:rPr>
          <w:color w:val="auto"/>
          <w:kern w:val="0"/>
          <w:sz w:val="24"/>
        </w:rPr>
        <w:t>类</w:t>
      </w:r>
      <w:r>
        <w:rPr>
          <w:rFonts w:hint="eastAsia"/>
          <w:color w:val="auto"/>
          <w:kern w:val="0"/>
          <w:sz w:val="24"/>
          <w:lang w:val="en-US" w:eastAsia="zh-CN"/>
        </w:rPr>
        <w:t>8</w:t>
      </w:r>
      <w:r>
        <w:rPr>
          <w:color w:val="auto"/>
          <w:kern w:val="0"/>
          <w:sz w:val="24"/>
        </w:rPr>
        <w:t>种，包括环节动物、软体动物及节肢动物，具体为：霍甫水丝蚓、中华颤蚓、圆田螺、环棱螺、河蚬、摇蚊幼虫、蜻蜓幼虫、龙虱幼虫。其中水生昆虫和软体动物为优势种群，环节动物和甲壳动物次之河蚌（如背角无齿蚌）</w:t>
      </w:r>
      <w:r>
        <w:rPr>
          <w:rFonts w:hint="eastAsia"/>
          <w:color w:val="auto"/>
          <w:kern w:val="0"/>
          <w:sz w:val="24"/>
          <w:lang w:eastAsia="zh-CN"/>
        </w:rPr>
        <w:t>。</w:t>
      </w:r>
    </w:p>
    <w:p w14:paraId="553A5330">
      <w:pPr>
        <w:adjustRightInd w:val="0"/>
        <w:spacing w:line="360" w:lineRule="auto"/>
        <w:jc w:val="left"/>
        <w:outlineLvl w:val="3"/>
        <w:rPr>
          <w:b/>
          <w:bCs/>
          <w:color w:val="auto"/>
          <w:sz w:val="24"/>
        </w:rPr>
      </w:pPr>
      <w:r>
        <w:rPr>
          <w:rFonts w:hint="eastAsia"/>
          <w:b/>
          <w:bCs/>
          <w:color w:val="auto"/>
          <w:sz w:val="24"/>
        </w:rPr>
        <w:t>3.</w:t>
      </w:r>
      <w:r>
        <w:rPr>
          <w:b/>
          <w:bCs/>
          <w:color w:val="auto"/>
          <w:sz w:val="24"/>
        </w:rPr>
        <w:t>8.3.</w:t>
      </w:r>
      <w:r>
        <w:rPr>
          <w:rFonts w:hint="eastAsia"/>
          <w:b/>
          <w:bCs/>
          <w:color w:val="auto"/>
          <w:sz w:val="24"/>
          <w:lang w:val="en-US" w:eastAsia="zh-CN"/>
        </w:rPr>
        <w:t>2</w:t>
      </w:r>
      <w:r>
        <w:rPr>
          <w:b/>
          <w:bCs/>
          <w:color w:val="auto"/>
          <w:sz w:val="24"/>
        </w:rPr>
        <w:t>本次浮游生物调查情况</w:t>
      </w:r>
    </w:p>
    <w:p w14:paraId="39964396">
      <w:pPr>
        <w:widowControl/>
        <w:spacing w:line="360" w:lineRule="auto"/>
        <w:ind w:firstLine="480" w:firstLineChars="200"/>
        <w:jc w:val="left"/>
        <w:rPr>
          <w:color w:val="auto"/>
          <w:kern w:val="0"/>
          <w:sz w:val="24"/>
        </w:rPr>
      </w:pPr>
      <w:r>
        <w:rPr>
          <w:color w:val="auto"/>
          <w:kern w:val="0"/>
          <w:sz w:val="24"/>
        </w:rPr>
        <w:t>2025年7月，课题组在项目区鱼塘设置了浮游植物、浮游动物、底栖生物采样点，详见下表。</w:t>
      </w:r>
    </w:p>
    <w:p w14:paraId="54ABA197">
      <w:pPr>
        <w:autoSpaceDE w:val="0"/>
        <w:autoSpaceDN w:val="0"/>
        <w:adjustRightInd w:val="0"/>
        <w:snapToGrid w:val="0"/>
        <w:ind w:firstLine="422" w:firstLineChars="200"/>
        <w:jc w:val="center"/>
        <w:rPr>
          <w:b/>
          <w:bCs/>
          <w:color w:val="auto"/>
          <w:szCs w:val="21"/>
        </w:rPr>
      </w:pPr>
      <w:r>
        <w:rPr>
          <w:b/>
          <w:bCs/>
          <w:color w:val="auto"/>
          <w:szCs w:val="21"/>
        </w:rPr>
        <w:t>表</w:t>
      </w:r>
      <w:r>
        <w:rPr>
          <w:rFonts w:hint="eastAsia"/>
          <w:b/>
          <w:bCs/>
          <w:color w:val="auto"/>
          <w:szCs w:val="21"/>
        </w:rPr>
        <w:t>3.</w:t>
      </w:r>
      <w:r>
        <w:rPr>
          <w:b/>
          <w:bCs/>
          <w:color w:val="auto"/>
          <w:szCs w:val="21"/>
        </w:rPr>
        <w:t>8-</w:t>
      </w:r>
      <w:r>
        <w:rPr>
          <w:rFonts w:hint="eastAsia"/>
          <w:b/>
          <w:bCs/>
          <w:color w:val="auto"/>
          <w:szCs w:val="21"/>
        </w:rPr>
        <w:t>4</w:t>
      </w:r>
      <w:r>
        <w:rPr>
          <w:b/>
          <w:bCs/>
          <w:color w:val="auto"/>
          <w:szCs w:val="21"/>
        </w:rPr>
        <w:t xml:space="preserve">   评价水域浮游生物采样点布置</w:t>
      </w:r>
    </w:p>
    <w:tbl>
      <w:tblPr>
        <w:tblStyle w:val="54"/>
        <w:tblW w:w="87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8"/>
        <w:gridCol w:w="2660"/>
        <w:gridCol w:w="2730"/>
      </w:tblGrid>
      <w:tr w14:paraId="01DD0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338" w:type="dxa"/>
            <w:tcBorders>
              <w:top w:val="single" w:color="000000" w:sz="12" w:space="0"/>
              <w:left w:val="single" w:color="000000" w:sz="12" w:space="0"/>
            </w:tcBorders>
            <w:vAlign w:val="center"/>
          </w:tcPr>
          <w:p w14:paraId="5762FE5D">
            <w:pPr>
              <w:autoSpaceDE w:val="0"/>
              <w:autoSpaceDN w:val="0"/>
              <w:jc w:val="center"/>
              <w:rPr>
                <w:b/>
                <w:color w:val="auto"/>
                <w:szCs w:val="21"/>
                <w:lang w:eastAsia="en-US"/>
              </w:rPr>
            </w:pPr>
            <w:r>
              <w:rPr>
                <w:b/>
                <w:color w:val="auto"/>
                <w:szCs w:val="21"/>
                <w:lang w:eastAsia="en-US"/>
              </w:rPr>
              <w:t>地点</w:t>
            </w:r>
          </w:p>
        </w:tc>
        <w:tc>
          <w:tcPr>
            <w:tcW w:w="2660" w:type="dxa"/>
            <w:tcBorders>
              <w:top w:val="single" w:color="000000" w:sz="12" w:space="0"/>
            </w:tcBorders>
            <w:vAlign w:val="center"/>
          </w:tcPr>
          <w:p w14:paraId="0BC50DD4">
            <w:pPr>
              <w:autoSpaceDE w:val="0"/>
              <w:autoSpaceDN w:val="0"/>
              <w:jc w:val="center"/>
              <w:rPr>
                <w:b/>
                <w:color w:val="auto"/>
                <w:szCs w:val="21"/>
                <w:lang w:eastAsia="en-US"/>
              </w:rPr>
            </w:pPr>
            <w:r>
              <w:rPr>
                <w:b/>
                <w:color w:val="auto"/>
                <w:szCs w:val="21"/>
                <w:lang w:eastAsia="en-US"/>
              </w:rPr>
              <w:t>东经</w:t>
            </w:r>
          </w:p>
        </w:tc>
        <w:tc>
          <w:tcPr>
            <w:tcW w:w="2730" w:type="dxa"/>
            <w:tcBorders>
              <w:top w:val="single" w:color="000000" w:sz="12" w:space="0"/>
              <w:right w:val="single" w:color="000000" w:sz="12" w:space="0"/>
            </w:tcBorders>
            <w:vAlign w:val="center"/>
          </w:tcPr>
          <w:p w14:paraId="21B041E7">
            <w:pPr>
              <w:autoSpaceDE w:val="0"/>
              <w:autoSpaceDN w:val="0"/>
              <w:jc w:val="center"/>
              <w:rPr>
                <w:b/>
                <w:color w:val="auto"/>
                <w:szCs w:val="21"/>
                <w:lang w:eastAsia="en-US"/>
              </w:rPr>
            </w:pPr>
            <w:r>
              <w:rPr>
                <w:b/>
                <w:color w:val="auto"/>
                <w:szCs w:val="21"/>
              </w:rPr>
              <w:t>北纬</w:t>
            </w:r>
          </w:p>
        </w:tc>
      </w:tr>
      <w:tr w14:paraId="06640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3338" w:type="dxa"/>
            <w:tcBorders>
              <w:left w:val="single" w:color="000000" w:sz="12" w:space="0"/>
              <w:bottom w:val="single" w:color="000000" w:sz="12" w:space="0"/>
            </w:tcBorders>
            <w:vAlign w:val="center"/>
          </w:tcPr>
          <w:p w14:paraId="16F404DD">
            <w:pPr>
              <w:autoSpaceDE w:val="0"/>
              <w:autoSpaceDN w:val="0"/>
              <w:jc w:val="center"/>
              <w:rPr>
                <w:color w:val="auto"/>
                <w:szCs w:val="21"/>
              </w:rPr>
            </w:pPr>
            <w:r>
              <w:rPr>
                <w:color w:val="auto"/>
                <w:szCs w:val="21"/>
                <w:lang w:eastAsia="en-US"/>
              </w:rPr>
              <w:t>1#</w:t>
            </w:r>
            <w:r>
              <w:rPr>
                <w:color w:val="auto"/>
                <w:szCs w:val="21"/>
              </w:rPr>
              <w:t>项目区鱼塘</w:t>
            </w:r>
          </w:p>
        </w:tc>
        <w:tc>
          <w:tcPr>
            <w:tcW w:w="2660" w:type="dxa"/>
            <w:tcBorders>
              <w:bottom w:val="single" w:color="000000" w:sz="12" w:space="0"/>
            </w:tcBorders>
            <w:vAlign w:val="center"/>
          </w:tcPr>
          <w:p w14:paraId="2A6B3F79">
            <w:pPr>
              <w:autoSpaceDE w:val="0"/>
              <w:autoSpaceDN w:val="0"/>
              <w:jc w:val="center"/>
              <w:rPr>
                <w:color w:val="auto"/>
                <w:szCs w:val="21"/>
              </w:rPr>
            </w:pPr>
            <w:r>
              <w:rPr>
                <w:color w:val="auto"/>
                <w:szCs w:val="21"/>
                <w:lang w:eastAsia="en-US"/>
              </w:rPr>
              <w:t>112.791857737</w:t>
            </w:r>
          </w:p>
        </w:tc>
        <w:tc>
          <w:tcPr>
            <w:tcW w:w="2730" w:type="dxa"/>
            <w:tcBorders>
              <w:bottom w:val="single" w:color="000000" w:sz="12" w:space="0"/>
              <w:right w:val="single" w:color="000000" w:sz="12" w:space="0"/>
            </w:tcBorders>
            <w:vAlign w:val="center"/>
          </w:tcPr>
          <w:p w14:paraId="6F6EBD60">
            <w:pPr>
              <w:autoSpaceDE w:val="0"/>
              <w:autoSpaceDN w:val="0"/>
              <w:jc w:val="center"/>
              <w:rPr>
                <w:color w:val="auto"/>
                <w:szCs w:val="21"/>
                <w:lang w:eastAsia="en-US"/>
              </w:rPr>
            </w:pPr>
            <w:r>
              <w:rPr>
                <w:color w:val="auto"/>
                <w:szCs w:val="21"/>
                <w:lang w:eastAsia="en-US"/>
              </w:rPr>
              <w:t>29.498417492</w:t>
            </w:r>
          </w:p>
        </w:tc>
      </w:tr>
    </w:tbl>
    <w:p w14:paraId="105A659A">
      <w:pPr>
        <w:pStyle w:val="82"/>
        <w:widowControl w:val="0"/>
        <w:spacing w:line="360" w:lineRule="auto"/>
        <w:outlineLvl w:val="1"/>
        <w:rPr>
          <w:rFonts w:ascii="Times New Roman" w:hAnsi="Times New Roman" w:eastAsia="宋体" w:cs="Times New Roman"/>
          <w:b/>
          <w:color w:val="auto"/>
          <w:sz w:val="30"/>
          <w:szCs w:val="30"/>
        </w:rPr>
      </w:pPr>
      <w:bookmarkStart w:id="140" w:name="_Toc17027"/>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9主要保护对象</w:t>
      </w:r>
      <w:bookmarkEnd w:id="140"/>
    </w:p>
    <w:p w14:paraId="76F88C93">
      <w:pPr>
        <w:spacing w:line="360" w:lineRule="auto"/>
        <w:ind w:firstLine="480" w:firstLineChars="200"/>
        <w:rPr>
          <w:color w:val="auto"/>
          <w:kern w:val="0"/>
          <w:sz w:val="24"/>
        </w:rPr>
      </w:pPr>
      <w:r>
        <w:rPr>
          <w:color w:val="auto"/>
          <w:kern w:val="0"/>
          <w:sz w:val="24"/>
        </w:rPr>
        <w:t>评价区位于湖南东洞庭湖国家级自然保护区实验区边缘，湖南东洞庭湖国家级自然保护区主要保护对象是东洞庭湖湿地生态系统以及以白鹤、东方白鹳、小白额雁、麋鹿等珍稀濒危物种为代表的生物多样性。</w:t>
      </w:r>
    </w:p>
    <w:p w14:paraId="3835D61E">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9.1湿地资源</w:t>
      </w:r>
    </w:p>
    <w:p w14:paraId="04641A57">
      <w:pPr>
        <w:spacing w:line="360" w:lineRule="auto"/>
        <w:ind w:firstLine="482" w:firstLineChars="200"/>
        <w:outlineLvl w:val="3"/>
        <w:rPr>
          <w:color w:val="auto"/>
          <w:kern w:val="0"/>
          <w:sz w:val="24"/>
        </w:rPr>
      </w:pPr>
      <w:r>
        <w:rPr>
          <w:rFonts w:hint="eastAsia"/>
          <w:b/>
          <w:bCs/>
          <w:color w:val="auto"/>
          <w:sz w:val="24"/>
        </w:rPr>
        <w:t>3.</w:t>
      </w:r>
      <w:r>
        <w:rPr>
          <w:b/>
          <w:bCs/>
          <w:color w:val="auto"/>
          <w:sz w:val="24"/>
        </w:rPr>
        <w:t>9.1.1湿地资源</w:t>
      </w:r>
    </w:p>
    <w:p w14:paraId="0F531C21">
      <w:pPr>
        <w:spacing w:line="360" w:lineRule="auto"/>
        <w:ind w:firstLine="480" w:firstLineChars="200"/>
        <w:rPr>
          <w:color w:val="auto"/>
          <w:kern w:val="0"/>
          <w:sz w:val="24"/>
        </w:rPr>
      </w:pPr>
      <w:r>
        <w:rPr>
          <w:color w:val="auto"/>
          <w:kern w:val="0"/>
          <w:sz w:val="24"/>
        </w:rPr>
        <w:t>评价区湿地主要为鱼塘等，共计50公顷。根据《中华人民共和国湿地保护法》《自然资源部关于印发《国土空间调查、规划、用途管制用地用海分类指南）的通知》（自然资发（2023）234号）的分类标准，分布有水库水面、内陆滩涂、坑塘水面、湖泊水面、河流水面、沟渠等。</w:t>
      </w:r>
    </w:p>
    <w:p w14:paraId="026ACB06">
      <w:pPr>
        <w:spacing w:line="360" w:lineRule="auto"/>
        <w:ind w:firstLine="482" w:firstLineChars="200"/>
        <w:outlineLvl w:val="3"/>
        <w:rPr>
          <w:color w:val="auto"/>
          <w:kern w:val="0"/>
          <w:sz w:val="24"/>
        </w:rPr>
      </w:pPr>
      <w:r>
        <w:rPr>
          <w:rFonts w:hint="eastAsia"/>
          <w:b/>
          <w:bCs/>
          <w:color w:val="auto"/>
          <w:sz w:val="24"/>
        </w:rPr>
        <w:t>3.</w:t>
      </w:r>
      <w:r>
        <w:rPr>
          <w:b/>
          <w:bCs/>
          <w:color w:val="auto"/>
          <w:sz w:val="24"/>
        </w:rPr>
        <w:t>9.1.2湿地植被</w:t>
      </w:r>
    </w:p>
    <w:p w14:paraId="55FB5F06">
      <w:pPr>
        <w:spacing w:line="360" w:lineRule="auto"/>
        <w:ind w:firstLine="480" w:firstLineChars="200"/>
        <w:rPr>
          <w:color w:val="auto"/>
          <w:kern w:val="0"/>
          <w:sz w:val="24"/>
        </w:rPr>
      </w:pPr>
      <w:r>
        <w:rPr>
          <w:color w:val="auto"/>
          <w:kern w:val="0"/>
          <w:sz w:val="24"/>
        </w:rPr>
        <w:t>湿地植被主要分布在河流岸边、农田水渠等周边。主要水生植被有莲群系等。</w:t>
      </w:r>
    </w:p>
    <w:p w14:paraId="27794BB7">
      <w:pPr>
        <w:spacing w:line="360" w:lineRule="auto"/>
        <w:ind w:firstLine="482" w:firstLineChars="200"/>
        <w:outlineLvl w:val="3"/>
        <w:rPr>
          <w:color w:val="auto"/>
          <w:kern w:val="0"/>
          <w:sz w:val="24"/>
        </w:rPr>
      </w:pPr>
      <w:r>
        <w:rPr>
          <w:rFonts w:hint="eastAsia"/>
          <w:b/>
          <w:bCs/>
          <w:color w:val="auto"/>
          <w:sz w:val="24"/>
        </w:rPr>
        <w:t>3.</w:t>
      </w:r>
      <w:r>
        <w:rPr>
          <w:b/>
          <w:bCs/>
          <w:color w:val="auto"/>
          <w:sz w:val="24"/>
        </w:rPr>
        <w:t>9.1.3湿地动物</w:t>
      </w:r>
    </w:p>
    <w:p w14:paraId="735A707D">
      <w:pPr>
        <w:spacing w:line="360" w:lineRule="auto"/>
        <w:ind w:firstLine="480" w:firstLineChars="200"/>
        <w:rPr>
          <w:color w:val="auto"/>
          <w:kern w:val="0"/>
          <w:sz w:val="24"/>
        </w:rPr>
      </w:pPr>
      <w:r>
        <w:rPr>
          <w:color w:val="auto"/>
          <w:kern w:val="0"/>
          <w:sz w:val="24"/>
        </w:rPr>
        <w:t>湿地生态系统是多种两栖类和爬行类的栖息地，也是游禽和涉禽的重要栖息场所。动物种类主要有静水型两栖类如黑斑侧褶蛙等；林栖傍水型爬行类如赤链华游蛇等；鸟类中的游禽如罗纹鸭等，涉禽如凤头麦鸡等，傍水型的鸟类如普通翠鸟等。</w:t>
      </w:r>
    </w:p>
    <w:p w14:paraId="6F9A5069">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9.2生物多样性</w:t>
      </w:r>
    </w:p>
    <w:p w14:paraId="0E0BC6A8">
      <w:pPr>
        <w:spacing w:line="360" w:lineRule="auto"/>
        <w:ind w:firstLine="480" w:firstLineChars="200"/>
        <w:rPr>
          <w:color w:val="auto"/>
          <w:kern w:val="0"/>
          <w:sz w:val="24"/>
        </w:rPr>
      </w:pPr>
      <w:r>
        <w:rPr>
          <w:color w:val="auto"/>
          <w:kern w:val="0"/>
          <w:sz w:val="24"/>
        </w:rPr>
        <w:t>在评价区内未发现国家Ⅱ级重点保护野生植物。</w:t>
      </w:r>
    </w:p>
    <w:p w14:paraId="74D0CDE8">
      <w:pPr>
        <w:spacing w:line="360" w:lineRule="auto"/>
        <w:ind w:firstLine="480" w:firstLineChars="200"/>
        <w:rPr>
          <w:color w:val="auto"/>
          <w:kern w:val="0"/>
          <w:sz w:val="24"/>
        </w:rPr>
      </w:pPr>
      <w:r>
        <w:rPr>
          <w:color w:val="auto"/>
          <w:kern w:val="0"/>
          <w:sz w:val="24"/>
        </w:rPr>
        <w:t>评价区共记录野生动物218种，其中国家I级重点野生保护动物1种，即白鹤；国家Ⅱ级重点野生保护动物7种，即灰鹤、小天鹅、鸿雁、白琵鹭、白额雁、小白额雁和画眉。评价区不是白鹤、白头鹤、江豚、黄嘴白鹭等珍稀濒危野生动物的栖息地，黄嘴白鹭也是历史资料记载所得。本工程对鸟类的影响主要在生境的改变、噪声和人为活动影响等。由于鸟类具有活动范围广、适应能力强、远距离迁徙等行为，且本次工程施工时间避开候鸟越冬季节（九月下旬-次年5月上旬），对其影响为间接影响，且周边可替代生境较多，因此工程建设对国家重点保护野生动物影响较小。</w:t>
      </w:r>
    </w:p>
    <w:p w14:paraId="097823F0">
      <w:pPr>
        <w:pStyle w:val="82"/>
        <w:widowControl w:val="0"/>
        <w:spacing w:line="360" w:lineRule="auto"/>
        <w:outlineLvl w:val="1"/>
        <w:rPr>
          <w:rFonts w:ascii="Times New Roman" w:hAnsi="Times New Roman" w:eastAsia="宋体" w:cs="Times New Roman"/>
          <w:b/>
          <w:color w:val="auto"/>
          <w:sz w:val="30"/>
          <w:szCs w:val="30"/>
        </w:rPr>
      </w:pPr>
      <w:bookmarkStart w:id="141" w:name="_Toc21489"/>
      <w:bookmarkStart w:id="142" w:name="_Toc8307"/>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10水土流失现状</w:t>
      </w:r>
      <w:bookmarkEnd w:id="141"/>
      <w:bookmarkEnd w:id="142"/>
    </w:p>
    <w:p w14:paraId="61075BF8">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10.1水土流失防治分区</w:t>
      </w:r>
    </w:p>
    <w:p w14:paraId="72601241">
      <w:pPr>
        <w:spacing w:line="360" w:lineRule="auto"/>
        <w:ind w:firstLine="480" w:firstLineChars="200"/>
        <w:rPr>
          <w:color w:val="auto"/>
          <w:kern w:val="0"/>
          <w:sz w:val="24"/>
        </w:rPr>
      </w:pPr>
      <w:r>
        <w:rPr>
          <w:color w:val="auto"/>
          <w:kern w:val="0"/>
          <w:sz w:val="24"/>
        </w:rPr>
        <w:t>根据《中华人民共和国水土保持法》和《湖南省实施&lt;中华人民共和国水土保持法&gt;办法》的规定，在全国水土流失重点预防区和重点治理区划定的基础上，结合《湖南省水土保持规划（2016-2030年）》，评价区所在区域洞庭湖平原湿地省级水土流失重点预防区，土壤侵蚀为水力侵蚀类型。根据《土壤侵蚀分类分级标准》（SL190-96），项目区属于南方红壤丘陵区，容许流失量为500t/km</w:t>
      </w:r>
      <w:r>
        <w:rPr>
          <w:color w:val="auto"/>
          <w:kern w:val="0"/>
          <w:sz w:val="24"/>
          <w:vertAlign w:val="superscript"/>
        </w:rPr>
        <w:t>2</w:t>
      </w:r>
      <w:r>
        <w:rPr>
          <w:color w:val="auto"/>
          <w:kern w:val="0"/>
          <w:sz w:val="24"/>
        </w:rPr>
        <w:t>•a。</w:t>
      </w:r>
    </w:p>
    <w:p w14:paraId="6AA94DA8">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10.2工程区水土流失现状</w:t>
      </w:r>
    </w:p>
    <w:p w14:paraId="7C152495">
      <w:pPr>
        <w:spacing w:line="360" w:lineRule="auto"/>
        <w:ind w:firstLine="480" w:firstLineChars="200"/>
        <w:rPr>
          <w:color w:val="auto"/>
          <w:kern w:val="0"/>
          <w:sz w:val="24"/>
        </w:rPr>
      </w:pPr>
      <w:r>
        <w:rPr>
          <w:color w:val="auto"/>
          <w:kern w:val="0"/>
          <w:sz w:val="24"/>
        </w:rPr>
        <w:t>评价区为典型的平原地貌，土壤类型以潮土为主，由于降水充沛，加上人口众多，交通便利，经济发达，人为活动剧烈，原生植被已遭到严重破坏，水土流失潜在危险度较高，水力侵蚀是产生水土流失的主要动力，侵蚀和洪积地貌较为发育。区域内水土流失形式以面蚀和沟蚀为主。</w:t>
      </w:r>
    </w:p>
    <w:p w14:paraId="52296050">
      <w:pPr>
        <w:spacing w:line="360" w:lineRule="auto"/>
        <w:ind w:firstLine="480" w:firstLineChars="200"/>
        <w:rPr>
          <w:color w:val="auto"/>
          <w:kern w:val="0"/>
          <w:sz w:val="24"/>
        </w:rPr>
      </w:pPr>
      <w:r>
        <w:rPr>
          <w:color w:val="auto"/>
          <w:kern w:val="0"/>
          <w:sz w:val="24"/>
        </w:rPr>
        <w:t>根据1999年湖南省第二次土壤侵蚀遥感调查成果（见表</w:t>
      </w:r>
      <w:r>
        <w:rPr>
          <w:rFonts w:hint="eastAsia"/>
          <w:color w:val="auto"/>
          <w:kern w:val="0"/>
          <w:sz w:val="24"/>
        </w:rPr>
        <w:t>3.</w:t>
      </w:r>
      <w:r>
        <w:rPr>
          <w:color w:val="auto"/>
          <w:kern w:val="0"/>
          <w:sz w:val="24"/>
        </w:rPr>
        <w:t>10-1），评价区域所在的岳阳市微度水土流失面积为428.15km</w:t>
      </w:r>
      <w:r>
        <w:rPr>
          <w:color w:val="auto"/>
          <w:kern w:val="0"/>
          <w:sz w:val="24"/>
          <w:vertAlign w:val="superscript"/>
        </w:rPr>
        <w:t>2</w:t>
      </w:r>
      <w:r>
        <w:rPr>
          <w:color w:val="auto"/>
          <w:kern w:val="0"/>
          <w:sz w:val="24"/>
        </w:rPr>
        <w:t>，占土地总面积的89.88%；轻度水土流失面积26.82km</w:t>
      </w:r>
      <w:r>
        <w:rPr>
          <w:color w:val="auto"/>
          <w:kern w:val="0"/>
          <w:sz w:val="24"/>
          <w:vertAlign w:val="superscript"/>
        </w:rPr>
        <w:t>2</w:t>
      </w:r>
      <w:r>
        <w:rPr>
          <w:color w:val="auto"/>
          <w:kern w:val="0"/>
          <w:sz w:val="24"/>
        </w:rPr>
        <w:t>，占总面积的5.63%；中度流失面积21.39km</w:t>
      </w:r>
      <w:r>
        <w:rPr>
          <w:color w:val="auto"/>
          <w:kern w:val="0"/>
          <w:sz w:val="24"/>
          <w:vertAlign w:val="superscript"/>
        </w:rPr>
        <w:t>2</w:t>
      </w:r>
      <w:r>
        <w:rPr>
          <w:color w:val="auto"/>
          <w:kern w:val="0"/>
          <w:sz w:val="24"/>
        </w:rPr>
        <w:t>，占流失面积的4.49%。</w:t>
      </w:r>
    </w:p>
    <w:p w14:paraId="1860C464">
      <w:pPr>
        <w:jc w:val="center"/>
        <w:rPr>
          <w:color w:val="auto"/>
          <w:kern w:val="0"/>
          <w:szCs w:val="21"/>
        </w:rPr>
      </w:pPr>
      <w:r>
        <w:rPr>
          <w:b/>
          <w:bCs/>
          <w:color w:val="auto"/>
          <w:kern w:val="0"/>
          <w:szCs w:val="21"/>
        </w:rPr>
        <w:t>表</w:t>
      </w:r>
      <w:r>
        <w:rPr>
          <w:rFonts w:hint="eastAsia"/>
          <w:b/>
          <w:bCs/>
          <w:color w:val="auto"/>
          <w:kern w:val="0"/>
          <w:szCs w:val="21"/>
        </w:rPr>
        <w:t>3.</w:t>
      </w:r>
      <w:r>
        <w:rPr>
          <w:b/>
          <w:bCs/>
          <w:color w:val="auto"/>
          <w:kern w:val="0"/>
          <w:szCs w:val="21"/>
        </w:rPr>
        <w:t>10-1   岳阳市水土流失面积</w:t>
      </w:r>
    </w:p>
    <w:tbl>
      <w:tblPr>
        <w:tblStyle w:val="27"/>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897"/>
        <w:gridCol w:w="2508"/>
        <w:gridCol w:w="2466"/>
      </w:tblGrid>
      <w:tr w14:paraId="551FF8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966" w:type="pct"/>
            <w:tcBorders>
              <w:top w:val="single" w:color="auto" w:sz="12" w:space="0"/>
              <w:left w:val="single" w:color="auto" w:sz="12" w:space="0"/>
              <w:bottom w:val="single" w:color="auto" w:sz="4" w:space="0"/>
            </w:tcBorders>
            <w:vAlign w:val="center"/>
          </w:tcPr>
          <w:p w14:paraId="535AF64F">
            <w:pPr>
              <w:widowControl/>
              <w:jc w:val="center"/>
              <w:rPr>
                <w:b/>
                <w:color w:val="auto"/>
                <w:kern w:val="0"/>
                <w:szCs w:val="21"/>
              </w:rPr>
            </w:pPr>
            <w:r>
              <w:rPr>
                <w:b/>
                <w:color w:val="auto"/>
                <w:kern w:val="0"/>
                <w:szCs w:val="21"/>
              </w:rPr>
              <w:t>序号</w:t>
            </w:r>
          </w:p>
        </w:tc>
        <w:tc>
          <w:tcPr>
            <w:tcW w:w="1113" w:type="pct"/>
            <w:tcBorders>
              <w:top w:val="single" w:color="auto" w:sz="12" w:space="0"/>
              <w:bottom w:val="single" w:color="auto" w:sz="4" w:space="0"/>
            </w:tcBorders>
            <w:vAlign w:val="center"/>
          </w:tcPr>
          <w:p w14:paraId="63A82790">
            <w:pPr>
              <w:widowControl/>
              <w:jc w:val="center"/>
              <w:rPr>
                <w:b/>
                <w:bCs/>
                <w:color w:val="auto"/>
                <w:kern w:val="0"/>
                <w:szCs w:val="21"/>
              </w:rPr>
            </w:pPr>
            <w:r>
              <w:rPr>
                <w:b/>
                <w:color w:val="auto"/>
                <w:kern w:val="0"/>
                <w:szCs w:val="21"/>
              </w:rPr>
              <w:t>流失强度</w:t>
            </w:r>
          </w:p>
        </w:tc>
        <w:tc>
          <w:tcPr>
            <w:tcW w:w="1472" w:type="pct"/>
            <w:tcBorders>
              <w:top w:val="single" w:color="auto" w:sz="12" w:space="0"/>
              <w:bottom w:val="single" w:color="auto" w:sz="4" w:space="0"/>
            </w:tcBorders>
            <w:vAlign w:val="center"/>
          </w:tcPr>
          <w:p w14:paraId="4502AA9C">
            <w:pPr>
              <w:widowControl/>
              <w:jc w:val="center"/>
              <w:rPr>
                <w:b/>
                <w:color w:val="auto"/>
                <w:kern w:val="0"/>
                <w:szCs w:val="21"/>
              </w:rPr>
            </w:pPr>
            <w:r>
              <w:rPr>
                <w:b/>
                <w:color w:val="auto"/>
                <w:kern w:val="0"/>
                <w:szCs w:val="21"/>
              </w:rPr>
              <w:t>面积（km</w:t>
            </w:r>
            <w:r>
              <w:rPr>
                <w:b/>
                <w:color w:val="auto"/>
                <w:kern w:val="0"/>
                <w:szCs w:val="21"/>
                <w:vertAlign w:val="superscript"/>
              </w:rPr>
              <w:t>2</w:t>
            </w:r>
            <w:r>
              <w:rPr>
                <w:b/>
                <w:color w:val="auto"/>
                <w:kern w:val="0"/>
                <w:szCs w:val="21"/>
              </w:rPr>
              <w:t>）</w:t>
            </w:r>
          </w:p>
        </w:tc>
        <w:tc>
          <w:tcPr>
            <w:tcW w:w="1447" w:type="pct"/>
            <w:tcBorders>
              <w:top w:val="single" w:color="auto" w:sz="12" w:space="0"/>
              <w:bottom w:val="single" w:color="auto" w:sz="4" w:space="0"/>
              <w:right w:val="single" w:color="auto" w:sz="12" w:space="0"/>
            </w:tcBorders>
            <w:vAlign w:val="center"/>
          </w:tcPr>
          <w:p w14:paraId="125800B6">
            <w:pPr>
              <w:widowControl/>
              <w:jc w:val="center"/>
              <w:rPr>
                <w:b/>
                <w:color w:val="auto"/>
                <w:kern w:val="0"/>
                <w:szCs w:val="21"/>
              </w:rPr>
            </w:pPr>
            <w:r>
              <w:rPr>
                <w:b/>
                <w:color w:val="auto"/>
                <w:kern w:val="0"/>
                <w:szCs w:val="21"/>
              </w:rPr>
              <w:t>所占比例（%）</w:t>
            </w:r>
          </w:p>
        </w:tc>
      </w:tr>
      <w:tr w14:paraId="7431098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6" w:type="pct"/>
            <w:tcBorders>
              <w:top w:val="single" w:color="auto" w:sz="4" w:space="0"/>
              <w:left w:val="single" w:color="auto" w:sz="12" w:space="0"/>
              <w:bottom w:val="single" w:color="auto" w:sz="4" w:space="0"/>
            </w:tcBorders>
            <w:vAlign w:val="center"/>
          </w:tcPr>
          <w:p w14:paraId="467AB09B">
            <w:pPr>
              <w:widowControl/>
              <w:jc w:val="center"/>
              <w:rPr>
                <w:color w:val="auto"/>
                <w:kern w:val="0"/>
                <w:szCs w:val="21"/>
              </w:rPr>
            </w:pPr>
            <w:r>
              <w:rPr>
                <w:color w:val="auto"/>
                <w:kern w:val="0"/>
                <w:szCs w:val="21"/>
              </w:rPr>
              <w:t>1</w:t>
            </w:r>
          </w:p>
        </w:tc>
        <w:tc>
          <w:tcPr>
            <w:tcW w:w="1113" w:type="pct"/>
            <w:tcBorders>
              <w:top w:val="single" w:color="auto" w:sz="4" w:space="0"/>
              <w:bottom w:val="single" w:color="auto" w:sz="4" w:space="0"/>
            </w:tcBorders>
            <w:vAlign w:val="center"/>
          </w:tcPr>
          <w:p w14:paraId="6BD60D83">
            <w:pPr>
              <w:widowControl/>
              <w:jc w:val="center"/>
              <w:rPr>
                <w:b/>
                <w:bCs/>
                <w:color w:val="auto"/>
                <w:kern w:val="0"/>
                <w:szCs w:val="21"/>
              </w:rPr>
            </w:pPr>
            <w:r>
              <w:rPr>
                <w:color w:val="auto"/>
                <w:kern w:val="0"/>
                <w:szCs w:val="21"/>
              </w:rPr>
              <w:t>微度</w:t>
            </w:r>
          </w:p>
        </w:tc>
        <w:tc>
          <w:tcPr>
            <w:tcW w:w="2508" w:type="dxa"/>
            <w:tcBorders>
              <w:top w:val="single" w:color="auto" w:sz="4" w:space="0"/>
              <w:bottom w:val="single" w:color="auto" w:sz="4" w:space="0"/>
            </w:tcBorders>
            <w:vAlign w:val="center"/>
          </w:tcPr>
          <w:p w14:paraId="0DD14750">
            <w:pPr>
              <w:widowControl/>
              <w:jc w:val="center"/>
              <w:textAlignment w:val="center"/>
              <w:rPr>
                <w:b/>
                <w:bCs/>
                <w:color w:val="auto"/>
                <w:kern w:val="0"/>
                <w:szCs w:val="21"/>
              </w:rPr>
            </w:pPr>
            <w:r>
              <w:rPr>
                <w:color w:val="auto"/>
                <w:kern w:val="0"/>
                <w:szCs w:val="21"/>
                <w:lang w:bidi="ar"/>
              </w:rPr>
              <w:t>428.15</w:t>
            </w:r>
          </w:p>
        </w:tc>
        <w:tc>
          <w:tcPr>
            <w:tcW w:w="1447" w:type="pct"/>
            <w:tcBorders>
              <w:top w:val="single" w:color="auto" w:sz="4" w:space="0"/>
              <w:bottom w:val="single" w:color="auto" w:sz="4" w:space="0"/>
              <w:right w:val="single" w:color="auto" w:sz="12" w:space="0"/>
            </w:tcBorders>
            <w:vAlign w:val="center"/>
          </w:tcPr>
          <w:p w14:paraId="30A9911E">
            <w:pPr>
              <w:widowControl/>
              <w:jc w:val="center"/>
              <w:rPr>
                <w:b/>
                <w:bCs/>
                <w:color w:val="auto"/>
                <w:kern w:val="0"/>
                <w:szCs w:val="21"/>
              </w:rPr>
            </w:pPr>
            <w:r>
              <w:rPr>
                <w:color w:val="auto"/>
                <w:kern w:val="0"/>
                <w:szCs w:val="21"/>
              </w:rPr>
              <w:t>89.88</w:t>
            </w:r>
          </w:p>
        </w:tc>
      </w:tr>
      <w:tr w14:paraId="4216B5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6" w:type="pct"/>
            <w:tcBorders>
              <w:top w:val="single" w:color="auto" w:sz="4" w:space="0"/>
              <w:left w:val="single" w:color="auto" w:sz="12" w:space="0"/>
              <w:bottom w:val="single" w:color="auto" w:sz="4" w:space="0"/>
            </w:tcBorders>
            <w:vAlign w:val="center"/>
          </w:tcPr>
          <w:p w14:paraId="18488EBD">
            <w:pPr>
              <w:widowControl/>
              <w:jc w:val="center"/>
              <w:rPr>
                <w:b/>
                <w:bCs/>
                <w:color w:val="auto"/>
                <w:kern w:val="0"/>
                <w:szCs w:val="21"/>
              </w:rPr>
            </w:pPr>
            <w:r>
              <w:rPr>
                <w:color w:val="auto"/>
                <w:kern w:val="0"/>
                <w:szCs w:val="21"/>
              </w:rPr>
              <w:t>2</w:t>
            </w:r>
          </w:p>
        </w:tc>
        <w:tc>
          <w:tcPr>
            <w:tcW w:w="1113" w:type="pct"/>
            <w:tcBorders>
              <w:top w:val="single" w:color="auto" w:sz="4" w:space="0"/>
              <w:bottom w:val="single" w:color="auto" w:sz="4" w:space="0"/>
            </w:tcBorders>
            <w:vAlign w:val="center"/>
          </w:tcPr>
          <w:p w14:paraId="3298AFC5">
            <w:pPr>
              <w:widowControl/>
              <w:jc w:val="center"/>
              <w:rPr>
                <w:b/>
                <w:bCs/>
                <w:color w:val="auto"/>
                <w:kern w:val="0"/>
                <w:szCs w:val="21"/>
              </w:rPr>
            </w:pPr>
            <w:r>
              <w:rPr>
                <w:color w:val="auto"/>
                <w:kern w:val="0"/>
                <w:szCs w:val="21"/>
              </w:rPr>
              <w:t>轻度</w:t>
            </w:r>
          </w:p>
        </w:tc>
        <w:tc>
          <w:tcPr>
            <w:tcW w:w="2508" w:type="dxa"/>
            <w:tcBorders>
              <w:top w:val="single" w:color="auto" w:sz="4" w:space="0"/>
              <w:bottom w:val="single" w:color="auto" w:sz="4" w:space="0"/>
            </w:tcBorders>
            <w:vAlign w:val="center"/>
          </w:tcPr>
          <w:p w14:paraId="269BDA81">
            <w:pPr>
              <w:widowControl/>
              <w:jc w:val="center"/>
              <w:textAlignment w:val="center"/>
              <w:rPr>
                <w:b/>
                <w:bCs/>
                <w:color w:val="auto"/>
                <w:kern w:val="0"/>
                <w:szCs w:val="21"/>
              </w:rPr>
            </w:pPr>
            <w:r>
              <w:rPr>
                <w:color w:val="auto"/>
                <w:kern w:val="0"/>
                <w:szCs w:val="21"/>
                <w:lang w:bidi="ar"/>
              </w:rPr>
              <w:t>26.82</w:t>
            </w:r>
          </w:p>
        </w:tc>
        <w:tc>
          <w:tcPr>
            <w:tcW w:w="1447" w:type="pct"/>
            <w:tcBorders>
              <w:top w:val="single" w:color="auto" w:sz="4" w:space="0"/>
              <w:bottom w:val="single" w:color="auto" w:sz="4" w:space="0"/>
              <w:right w:val="single" w:color="auto" w:sz="12" w:space="0"/>
            </w:tcBorders>
            <w:vAlign w:val="center"/>
          </w:tcPr>
          <w:p w14:paraId="441A5AB5">
            <w:pPr>
              <w:widowControl/>
              <w:jc w:val="center"/>
              <w:rPr>
                <w:b/>
                <w:bCs/>
                <w:color w:val="auto"/>
                <w:kern w:val="0"/>
                <w:szCs w:val="21"/>
              </w:rPr>
            </w:pPr>
            <w:r>
              <w:rPr>
                <w:color w:val="auto"/>
                <w:kern w:val="0"/>
                <w:szCs w:val="21"/>
              </w:rPr>
              <w:t>5.63</w:t>
            </w:r>
          </w:p>
        </w:tc>
      </w:tr>
      <w:tr w14:paraId="7800AD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6" w:type="pct"/>
            <w:tcBorders>
              <w:top w:val="single" w:color="auto" w:sz="4" w:space="0"/>
              <w:left w:val="single" w:color="auto" w:sz="12" w:space="0"/>
              <w:bottom w:val="single" w:color="auto" w:sz="4" w:space="0"/>
            </w:tcBorders>
            <w:vAlign w:val="center"/>
          </w:tcPr>
          <w:p w14:paraId="7C3A46F2">
            <w:pPr>
              <w:widowControl/>
              <w:jc w:val="center"/>
              <w:rPr>
                <w:b/>
                <w:bCs/>
                <w:color w:val="auto"/>
                <w:kern w:val="0"/>
                <w:szCs w:val="21"/>
              </w:rPr>
            </w:pPr>
            <w:r>
              <w:rPr>
                <w:color w:val="auto"/>
                <w:kern w:val="0"/>
                <w:szCs w:val="21"/>
              </w:rPr>
              <w:t>3</w:t>
            </w:r>
          </w:p>
        </w:tc>
        <w:tc>
          <w:tcPr>
            <w:tcW w:w="1113" w:type="pct"/>
            <w:tcBorders>
              <w:top w:val="single" w:color="auto" w:sz="4" w:space="0"/>
              <w:bottom w:val="single" w:color="auto" w:sz="4" w:space="0"/>
            </w:tcBorders>
            <w:vAlign w:val="center"/>
          </w:tcPr>
          <w:p w14:paraId="62C0AEE5">
            <w:pPr>
              <w:widowControl/>
              <w:jc w:val="center"/>
              <w:rPr>
                <w:b/>
                <w:bCs/>
                <w:color w:val="auto"/>
                <w:kern w:val="0"/>
                <w:szCs w:val="21"/>
              </w:rPr>
            </w:pPr>
            <w:r>
              <w:rPr>
                <w:color w:val="auto"/>
                <w:kern w:val="0"/>
                <w:szCs w:val="21"/>
              </w:rPr>
              <w:t>中度</w:t>
            </w:r>
          </w:p>
        </w:tc>
        <w:tc>
          <w:tcPr>
            <w:tcW w:w="2508" w:type="dxa"/>
            <w:tcBorders>
              <w:top w:val="single" w:color="auto" w:sz="4" w:space="0"/>
              <w:bottom w:val="single" w:color="auto" w:sz="4" w:space="0"/>
            </w:tcBorders>
            <w:vAlign w:val="center"/>
          </w:tcPr>
          <w:p w14:paraId="15026022">
            <w:pPr>
              <w:widowControl/>
              <w:jc w:val="center"/>
              <w:textAlignment w:val="center"/>
              <w:rPr>
                <w:b/>
                <w:bCs/>
                <w:color w:val="auto"/>
                <w:kern w:val="0"/>
                <w:szCs w:val="21"/>
              </w:rPr>
            </w:pPr>
            <w:r>
              <w:rPr>
                <w:color w:val="auto"/>
                <w:kern w:val="0"/>
                <w:szCs w:val="21"/>
                <w:lang w:bidi="ar"/>
              </w:rPr>
              <w:t>21.39</w:t>
            </w:r>
          </w:p>
        </w:tc>
        <w:tc>
          <w:tcPr>
            <w:tcW w:w="1447" w:type="pct"/>
            <w:tcBorders>
              <w:top w:val="single" w:color="auto" w:sz="4" w:space="0"/>
              <w:bottom w:val="single" w:color="auto" w:sz="4" w:space="0"/>
              <w:right w:val="single" w:color="auto" w:sz="12" w:space="0"/>
            </w:tcBorders>
            <w:vAlign w:val="center"/>
          </w:tcPr>
          <w:p w14:paraId="172EC322">
            <w:pPr>
              <w:widowControl/>
              <w:jc w:val="center"/>
              <w:rPr>
                <w:b/>
                <w:bCs/>
                <w:color w:val="auto"/>
                <w:kern w:val="0"/>
                <w:szCs w:val="21"/>
              </w:rPr>
            </w:pPr>
            <w:r>
              <w:rPr>
                <w:color w:val="auto"/>
                <w:kern w:val="0"/>
                <w:szCs w:val="21"/>
              </w:rPr>
              <w:t>4.49</w:t>
            </w:r>
          </w:p>
        </w:tc>
      </w:tr>
      <w:tr w14:paraId="16577F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6" w:type="pct"/>
            <w:tcBorders>
              <w:top w:val="single" w:color="auto" w:sz="4" w:space="0"/>
              <w:left w:val="single" w:color="auto" w:sz="12" w:space="0"/>
              <w:bottom w:val="single" w:color="auto" w:sz="4" w:space="0"/>
            </w:tcBorders>
            <w:vAlign w:val="center"/>
          </w:tcPr>
          <w:p w14:paraId="4D0B9E53">
            <w:pPr>
              <w:widowControl/>
              <w:jc w:val="center"/>
              <w:rPr>
                <w:b/>
                <w:bCs/>
                <w:color w:val="auto"/>
                <w:kern w:val="0"/>
                <w:szCs w:val="21"/>
              </w:rPr>
            </w:pPr>
            <w:r>
              <w:rPr>
                <w:color w:val="auto"/>
                <w:kern w:val="0"/>
                <w:szCs w:val="21"/>
              </w:rPr>
              <w:t>4</w:t>
            </w:r>
          </w:p>
        </w:tc>
        <w:tc>
          <w:tcPr>
            <w:tcW w:w="1113" w:type="pct"/>
            <w:tcBorders>
              <w:top w:val="single" w:color="auto" w:sz="4" w:space="0"/>
              <w:bottom w:val="single" w:color="auto" w:sz="4" w:space="0"/>
            </w:tcBorders>
            <w:vAlign w:val="center"/>
          </w:tcPr>
          <w:p w14:paraId="51C5A5CD">
            <w:pPr>
              <w:widowControl/>
              <w:jc w:val="center"/>
              <w:rPr>
                <w:b/>
                <w:bCs/>
                <w:color w:val="auto"/>
                <w:kern w:val="0"/>
                <w:szCs w:val="21"/>
              </w:rPr>
            </w:pPr>
            <w:r>
              <w:rPr>
                <w:color w:val="auto"/>
                <w:kern w:val="0"/>
                <w:szCs w:val="21"/>
              </w:rPr>
              <w:t>强度</w:t>
            </w:r>
          </w:p>
        </w:tc>
        <w:tc>
          <w:tcPr>
            <w:tcW w:w="2508" w:type="dxa"/>
            <w:tcBorders>
              <w:top w:val="single" w:color="auto" w:sz="4" w:space="0"/>
              <w:bottom w:val="single" w:color="auto" w:sz="4" w:space="0"/>
            </w:tcBorders>
            <w:vAlign w:val="center"/>
          </w:tcPr>
          <w:p w14:paraId="26768689">
            <w:pPr>
              <w:widowControl/>
              <w:jc w:val="center"/>
              <w:textAlignment w:val="center"/>
              <w:rPr>
                <w:b/>
                <w:bCs/>
                <w:color w:val="auto"/>
                <w:kern w:val="0"/>
                <w:szCs w:val="21"/>
              </w:rPr>
            </w:pPr>
            <w:r>
              <w:rPr>
                <w:color w:val="auto"/>
                <w:kern w:val="0"/>
                <w:szCs w:val="21"/>
                <w:lang w:bidi="ar"/>
              </w:rPr>
              <w:t>0</w:t>
            </w:r>
          </w:p>
        </w:tc>
        <w:tc>
          <w:tcPr>
            <w:tcW w:w="1447" w:type="pct"/>
            <w:tcBorders>
              <w:top w:val="single" w:color="auto" w:sz="4" w:space="0"/>
              <w:bottom w:val="single" w:color="auto" w:sz="4" w:space="0"/>
              <w:right w:val="single" w:color="auto" w:sz="12" w:space="0"/>
            </w:tcBorders>
            <w:vAlign w:val="center"/>
          </w:tcPr>
          <w:p w14:paraId="2C14002D">
            <w:pPr>
              <w:widowControl/>
              <w:jc w:val="center"/>
              <w:rPr>
                <w:b/>
                <w:bCs/>
                <w:color w:val="auto"/>
                <w:kern w:val="0"/>
                <w:szCs w:val="21"/>
              </w:rPr>
            </w:pPr>
            <w:r>
              <w:rPr>
                <w:color w:val="auto"/>
                <w:kern w:val="0"/>
                <w:szCs w:val="21"/>
              </w:rPr>
              <w:t>0</w:t>
            </w:r>
          </w:p>
        </w:tc>
      </w:tr>
      <w:tr w14:paraId="27D0AEA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66" w:type="pct"/>
            <w:tcBorders>
              <w:top w:val="single" w:color="auto" w:sz="4" w:space="0"/>
              <w:left w:val="single" w:color="auto" w:sz="12" w:space="0"/>
              <w:bottom w:val="single" w:color="auto" w:sz="12" w:space="0"/>
            </w:tcBorders>
            <w:vAlign w:val="center"/>
          </w:tcPr>
          <w:p w14:paraId="35D5C4E2">
            <w:pPr>
              <w:widowControl/>
              <w:jc w:val="center"/>
              <w:rPr>
                <w:b/>
                <w:bCs/>
                <w:color w:val="auto"/>
                <w:kern w:val="0"/>
                <w:szCs w:val="21"/>
              </w:rPr>
            </w:pPr>
            <w:r>
              <w:rPr>
                <w:color w:val="auto"/>
                <w:kern w:val="0"/>
                <w:szCs w:val="21"/>
              </w:rPr>
              <w:t>5</w:t>
            </w:r>
          </w:p>
        </w:tc>
        <w:tc>
          <w:tcPr>
            <w:tcW w:w="1113" w:type="pct"/>
            <w:tcBorders>
              <w:top w:val="single" w:color="auto" w:sz="4" w:space="0"/>
              <w:bottom w:val="single" w:color="auto" w:sz="12" w:space="0"/>
            </w:tcBorders>
            <w:vAlign w:val="center"/>
          </w:tcPr>
          <w:p w14:paraId="64EEDFE0">
            <w:pPr>
              <w:widowControl/>
              <w:jc w:val="center"/>
              <w:rPr>
                <w:b/>
                <w:bCs/>
                <w:color w:val="auto"/>
                <w:kern w:val="0"/>
                <w:szCs w:val="21"/>
              </w:rPr>
            </w:pPr>
            <w:r>
              <w:rPr>
                <w:color w:val="auto"/>
                <w:kern w:val="0"/>
                <w:szCs w:val="21"/>
              </w:rPr>
              <w:t>合计</w:t>
            </w:r>
          </w:p>
        </w:tc>
        <w:tc>
          <w:tcPr>
            <w:tcW w:w="1472" w:type="pct"/>
            <w:tcBorders>
              <w:top w:val="single" w:color="auto" w:sz="4" w:space="0"/>
              <w:bottom w:val="single" w:color="auto" w:sz="12" w:space="0"/>
            </w:tcBorders>
            <w:vAlign w:val="center"/>
          </w:tcPr>
          <w:p w14:paraId="3B0F830B">
            <w:pPr>
              <w:widowControl/>
              <w:jc w:val="center"/>
              <w:rPr>
                <w:b/>
                <w:bCs/>
                <w:color w:val="auto"/>
                <w:kern w:val="0"/>
                <w:szCs w:val="21"/>
              </w:rPr>
            </w:pPr>
            <w:r>
              <w:rPr>
                <w:color w:val="auto"/>
                <w:kern w:val="0"/>
                <w:szCs w:val="21"/>
                <w:lang w:bidi="ar"/>
              </w:rPr>
              <w:t>476.357</w:t>
            </w:r>
          </w:p>
        </w:tc>
        <w:tc>
          <w:tcPr>
            <w:tcW w:w="1447" w:type="pct"/>
            <w:tcBorders>
              <w:top w:val="single" w:color="auto" w:sz="4" w:space="0"/>
              <w:bottom w:val="single" w:color="auto" w:sz="12" w:space="0"/>
              <w:right w:val="single" w:color="auto" w:sz="12" w:space="0"/>
            </w:tcBorders>
            <w:vAlign w:val="center"/>
          </w:tcPr>
          <w:p w14:paraId="5D2321B3">
            <w:pPr>
              <w:widowControl/>
              <w:jc w:val="center"/>
              <w:rPr>
                <w:b/>
                <w:bCs/>
                <w:color w:val="auto"/>
                <w:kern w:val="0"/>
                <w:szCs w:val="21"/>
              </w:rPr>
            </w:pPr>
            <w:r>
              <w:rPr>
                <w:color w:val="auto"/>
                <w:kern w:val="0"/>
                <w:szCs w:val="21"/>
              </w:rPr>
              <w:t>100</w:t>
            </w:r>
          </w:p>
        </w:tc>
      </w:tr>
    </w:tbl>
    <w:p w14:paraId="0BC9730C">
      <w:pPr>
        <w:pStyle w:val="82"/>
        <w:widowControl w:val="0"/>
        <w:spacing w:line="360" w:lineRule="auto"/>
        <w:outlineLvl w:val="1"/>
        <w:rPr>
          <w:rFonts w:ascii="Times New Roman" w:hAnsi="Times New Roman" w:eastAsia="宋体" w:cs="Times New Roman"/>
          <w:b/>
          <w:color w:val="auto"/>
          <w:sz w:val="30"/>
          <w:szCs w:val="30"/>
        </w:rPr>
      </w:pPr>
      <w:bookmarkStart w:id="143" w:name="_Toc27640"/>
      <w:bookmarkStart w:id="144" w:name="_Toc1045"/>
      <w:bookmarkStart w:id="145" w:name="_Toc17123"/>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10自然遗迹调查</w:t>
      </w:r>
      <w:bookmarkEnd w:id="143"/>
      <w:bookmarkEnd w:id="144"/>
      <w:bookmarkEnd w:id="145"/>
    </w:p>
    <w:p w14:paraId="4A4F4B2E">
      <w:pPr>
        <w:adjustRightInd w:val="0"/>
        <w:snapToGrid w:val="0"/>
        <w:spacing w:line="360" w:lineRule="auto"/>
        <w:ind w:firstLine="480" w:firstLineChars="200"/>
        <w:rPr>
          <w:color w:val="auto"/>
          <w:kern w:val="0"/>
          <w:sz w:val="24"/>
        </w:rPr>
      </w:pPr>
      <w:r>
        <w:rPr>
          <w:color w:val="auto"/>
          <w:kern w:val="0"/>
          <w:sz w:val="24"/>
        </w:rPr>
        <w:t>根据历史资料收集、野外调查、群众调查收集，项目调查范围内不涉及自然遗迹，无需要保护的自然遗迹分布。</w:t>
      </w:r>
    </w:p>
    <w:p w14:paraId="5F0409E9">
      <w:pPr>
        <w:pStyle w:val="82"/>
        <w:widowControl w:val="0"/>
        <w:spacing w:line="360" w:lineRule="auto"/>
        <w:outlineLvl w:val="1"/>
        <w:rPr>
          <w:rFonts w:ascii="Times New Roman" w:hAnsi="Times New Roman" w:eastAsia="宋体" w:cs="Times New Roman"/>
          <w:b/>
          <w:color w:val="auto"/>
          <w:sz w:val="30"/>
          <w:szCs w:val="30"/>
        </w:rPr>
      </w:pPr>
      <w:bookmarkStart w:id="146" w:name="_Toc19167"/>
      <w:bookmarkStart w:id="147" w:name="_Toc11785"/>
      <w:bookmarkStart w:id="148" w:name="_Toc11021"/>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11主要生态问题调查</w:t>
      </w:r>
      <w:bookmarkEnd w:id="146"/>
      <w:bookmarkEnd w:id="147"/>
      <w:bookmarkEnd w:id="148"/>
    </w:p>
    <w:p w14:paraId="38FD268E">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11.1生态环境破坏化</w:t>
      </w:r>
    </w:p>
    <w:p w14:paraId="62BCF98A">
      <w:pPr>
        <w:spacing w:line="360" w:lineRule="auto"/>
        <w:ind w:firstLine="480" w:firstLineChars="200"/>
        <w:rPr>
          <w:color w:val="auto"/>
          <w:kern w:val="0"/>
          <w:sz w:val="24"/>
        </w:rPr>
      </w:pPr>
      <w:r>
        <w:rPr>
          <w:color w:val="auto"/>
          <w:kern w:val="0"/>
          <w:sz w:val="24"/>
        </w:rPr>
        <w:t>为缓解候鸟自然口粮不足的问题，让候鸟安全度过极端恶劣环境，利用湖南省岳阳市君山区钱粮湖镇银杯社区方台村5组（现采桑湖渔场一荷三虾养殖基地）农户鱼塘进行升级改造，建设内容明确，项目工程本身位于湖南东洞庭湖国家级自然保护区实验区内，人为活动频繁，且工农业生产历史悠久，当地的原生阔叶林已经几乎不存在，调查区内的主要优势乔木为加杨，灌木植被主要有桑、构树，多为作为城市园林绿化种出现。草本植物多为狗牙根（</w:t>
      </w:r>
      <w:r>
        <w:rPr>
          <w:i/>
          <w:iCs/>
          <w:color w:val="auto"/>
          <w:kern w:val="0"/>
          <w:sz w:val="24"/>
        </w:rPr>
        <w:t>Cynodon dactylon</w:t>
      </w:r>
      <w:r>
        <w:rPr>
          <w:color w:val="auto"/>
          <w:kern w:val="0"/>
          <w:sz w:val="24"/>
        </w:rPr>
        <w:t>）群系、毛轴莎草（</w:t>
      </w:r>
      <w:r>
        <w:rPr>
          <w:i/>
          <w:iCs/>
          <w:color w:val="auto"/>
          <w:kern w:val="0"/>
          <w:sz w:val="24"/>
        </w:rPr>
        <w:t>Cyperus pilosus</w:t>
      </w:r>
      <w:r>
        <w:rPr>
          <w:color w:val="auto"/>
          <w:kern w:val="0"/>
          <w:sz w:val="24"/>
        </w:rPr>
        <w:t>）、酸模叶蓼（</w:t>
      </w:r>
      <w:r>
        <w:rPr>
          <w:i/>
          <w:iCs/>
          <w:color w:val="auto"/>
          <w:kern w:val="0"/>
          <w:sz w:val="24"/>
        </w:rPr>
        <w:t>Persicaria lapathifolia</w:t>
      </w:r>
      <w:r>
        <w:rPr>
          <w:color w:val="auto"/>
          <w:kern w:val="0"/>
          <w:sz w:val="24"/>
        </w:rPr>
        <w:t>）群系、萎蒿（</w:t>
      </w:r>
      <w:r>
        <w:rPr>
          <w:i/>
          <w:iCs/>
          <w:color w:val="auto"/>
          <w:kern w:val="0"/>
          <w:sz w:val="24"/>
        </w:rPr>
        <w:t>Artemisia selengensis</w:t>
      </w:r>
      <w:r>
        <w:rPr>
          <w:color w:val="auto"/>
          <w:kern w:val="0"/>
          <w:sz w:val="24"/>
        </w:rPr>
        <w:t>）、芦苇（</w:t>
      </w:r>
      <w:r>
        <w:rPr>
          <w:i/>
          <w:iCs/>
          <w:color w:val="auto"/>
          <w:kern w:val="0"/>
          <w:sz w:val="24"/>
        </w:rPr>
        <w:t>Phragmites australis</w:t>
      </w:r>
      <w:r>
        <w:rPr>
          <w:color w:val="auto"/>
          <w:kern w:val="0"/>
          <w:sz w:val="24"/>
        </w:rPr>
        <w:t>）等植物。藤本植物和寄生植物个体数量极少，偶有络石（</w:t>
      </w:r>
      <w:r>
        <w:rPr>
          <w:i/>
          <w:iCs/>
          <w:color w:val="auto"/>
          <w:kern w:val="0"/>
          <w:sz w:val="24"/>
        </w:rPr>
        <w:t>Trachelospermum jasminoides</w:t>
      </w:r>
      <w:r>
        <w:rPr>
          <w:color w:val="auto"/>
          <w:kern w:val="0"/>
          <w:sz w:val="24"/>
        </w:rPr>
        <w:t>）、乌蔹莓（</w:t>
      </w:r>
      <w:r>
        <w:rPr>
          <w:i/>
          <w:iCs/>
          <w:color w:val="auto"/>
          <w:kern w:val="0"/>
          <w:sz w:val="24"/>
        </w:rPr>
        <w:t>Cayratia japonica</w:t>
      </w:r>
      <w:r>
        <w:rPr>
          <w:color w:val="auto"/>
          <w:kern w:val="0"/>
          <w:sz w:val="24"/>
        </w:rPr>
        <w:t>）、葎草（</w:t>
      </w:r>
      <w:r>
        <w:rPr>
          <w:i/>
          <w:iCs/>
          <w:color w:val="auto"/>
          <w:kern w:val="0"/>
          <w:sz w:val="24"/>
        </w:rPr>
        <w:t>Humulus scandens</w:t>
      </w:r>
      <w:r>
        <w:rPr>
          <w:color w:val="auto"/>
          <w:kern w:val="0"/>
          <w:sz w:val="24"/>
        </w:rPr>
        <w:t>）等零星分布。这些植物种类为自然保护区内常见的物种，无原生森林面积，由于受人为活动的影响，评价区植物种类趋于草本化，乔灌木种类少，植物丰富度逐渐降低，生态环境逐渐被破坏。</w:t>
      </w:r>
    </w:p>
    <w:p w14:paraId="06BE08D0">
      <w:pPr>
        <w:pStyle w:val="77"/>
        <w:widowControl w:val="0"/>
        <w:tabs>
          <w:tab w:val="left" w:pos="567"/>
          <w:tab w:val="left" w:pos="851"/>
        </w:tabs>
        <w:adjustRightInd w:val="0"/>
        <w:spacing w:line="360" w:lineRule="auto"/>
        <w:outlineLvl w:val="2"/>
        <w:rPr>
          <w:rFonts w:ascii="Times New Roman" w:hAnsi="Times New Roman" w:eastAsia="宋体" w:cs="Times New Roman"/>
          <w:color w:val="auto"/>
        </w:rPr>
      </w:pPr>
      <w:r>
        <w:rPr>
          <w:rFonts w:hint="eastAsia" w:ascii="Times New Roman" w:hAnsi="Times New Roman" w:eastAsia="宋体" w:cs="Times New Roman"/>
          <w:b/>
          <w:color w:val="auto"/>
          <w:sz w:val="28"/>
          <w:szCs w:val="28"/>
        </w:rPr>
        <w:t>3.</w:t>
      </w:r>
      <w:r>
        <w:rPr>
          <w:rFonts w:ascii="Times New Roman" w:hAnsi="Times New Roman" w:eastAsia="宋体" w:cs="Times New Roman"/>
          <w:b/>
          <w:color w:val="auto"/>
          <w:sz w:val="28"/>
          <w:szCs w:val="28"/>
        </w:rPr>
        <w:t>11.2动物、植物群落组成受人为活动影响较大</w:t>
      </w:r>
    </w:p>
    <w:p w14:paraId="4364D9B2">
      <w:pPr>
        <w:adjustRightInd w:val="0"/>
        <w:snapToGrid w:val="0"/>
        <w:spacing w:line="360" w:lineRule="auto"/>
        <w:ind w:firstLine="480" w:firstLineChars="200"/>
        <w:rPr>
          <w:color w:val="auto"/>
          <w:kern w:val="0"/>
          <w:sz w:val="24"/>
        </w:rPr>
      </w:pPr>
      <w:r>
        <w:rPr>
          <w:color w:val="auto"/>
          <w:kern w:val="0"/>
          <w:sz w:val="24"/>
        </w:rPr>
        <w:t>经调查，结合现场调查结果及相关资料，评价区内共记录野生动物218种，隶属于43目87科。其中，两栖类10种，隶属于1目5科；爬行类13种，隶属于1目8科；鸟类114种，隶属于14目39科；哺乳类12种，隶属于5目8科；鱼类25种，隶属于6目7科；底栖类44种，隶属于13目18科。多为与人类伴居的种类，而亚热带林灌动物群种类较为难见，动物群落组成受人为活动影响较大。</w:t>
      </w:r>
    </w:p>
    <w:p w14:paraId="0F005C1B">
      <w:pPr>
        <w:pStyle w:val="82"/>
        <w:widowControl w:val="0"/>
        <w:spacing w:line="360" w:lineRule="auto"/>
        <w:outlineLvl w:val="1"/>
        <w:rPr>
          <w:rFonts w:ascii="Times New Roman" w:hAnsi="Times New Roman" w:eastAsia="宋体" w:cs="Times New Roman"/>
          <w:b/>
          <w:color w:val="auto"/>
          <w:sz w:val="30"/>
          <w:szCs w:val="30"/>
        </w:rPr>
      </w:pPr>
      <w:bookmarkStart w:id="149" w:name="_Toc21810"/>
      <w:bookmarkStart w:id="150" w:name="_Toc5011"/>
      <w:bookmarkStart w:id="151" w:name="_Toc8089"/>
      <w:r>
        <w:rPr>
          <w:rFonts w:hint="eastAsia" w:ascii="Times New Roman" w:hAnsi="Times New Roman" w:eastAsia="宋体" w:cs="Times New Roman"/>
          <w:b/>
          <w:color w:val="auto"/>
          <w:sz w:val="30"/>
          <w:szCs w:val="30"/>
        </w:rPr>
        <w:t>3.</w:t>
      </w:r>
      <w:r>
        <w:rPr>
          <w:rFonts w:ascii="Times New Roman" w:hAnsi="Times New Roman" w:eastAsia="宋体" w:cs="Times New Roman"/>
          <w:b/>
          <w:color w:val="auto"/>
          <w:sz w:val="30"/>
          <w:szCs w:val="30"/>
        </w:rPr>
        <w:t>12评价区生态现状综合评价</w:t>
      </w:r>
      <w:bookmarkEnd w:id="149"/>
      <w:bookmarkEnd w:id="150"/>
      <w:bookmarkEnd w:id="151"/>
    </w:p>
    <w:p w14:paraId="1BDA3481">
      <w:pPr>
        <w:spacing w:line="360" w:lineRule="auto"/>
        <w:ind w:firstLine="480" w:firstLineChars="200"/>
        <w:rPr>
          <w:color w:val="auto"/>
          <w:kern w:val="0"/>
          <w:sz w:val="24"/>
        </w:rPr>
      </w:pPr>
      <w:r>
        <w:rPr>
          <w:color w:val="auto"/>
          <w:kern w:val="0"/>
          <w:sz w:val="24"/>
        </w:rPr>
        <w:t>根据样方调查和路线踏勘，评价区内共有维管植物72科182属243种（含种下单位），其中蕨类植物6科7属8种；裸子植物2科3属3种（均系引种栽培）；被子植物64科172属232种，在评价区内未发现国家重点保护野生植物。最主要的群落类型为加杨（</w:t>
      </w:r>
      <w:r>
        <w:rPr>
          <w:i/>
          <w:iCs/>
          <w:color w:val="auto"/>
          <w:kern w:val="0"/>
          <w:sz w:val="24"/>
        </w:rPr>
        <w:t>Populus×canadensis</w:t>
      </w:r>
      <w:r>
        <w:rPr>
          <w:color w:val="auto"/>
          <w:kern w:val="0"/>
          <w:sz w:val="24"/>
        </w:rPr>
        <w:t>）群系、桑（</w:t>
      </w:r>
      <w:r>
        <w:rPr>
          <w:i/>
          <w:iCs/>
          <w:color w:val="auto"/>
          <w:kern w:val="0"/>
          <w:sz w:val="24"/>
        </w:rPr>
        <w:t>Morus alba</w:t>
      </w:r>
      <w:r>
        <w:rPr>
          <w:color w:val="auto"/>
          <w:kern w:val="0"/>
          <w:sz w:val="24"/>
        </w:rPr>
        <w:t>）群系、构树（</w:t>
      </w:r>
      <w:r>
        <w:rPr>
          <w:i/>
          <w:iCs/>
          <w:color w:val="auto"/>
          <w:kern w:val="0"/>
          <w:sz w:val="24"/>
        </w:rPr>
        <w:t>Phragmites australis</w:t>
      </w:r>
      <w:r>
        <w:rPr>
          <w:color w:val="auto"/>
          <w:kern w:val="0"/>
          <w:sz w:val="24"/>
        </w:rPr>
        <w:t>）群系、狗牙根（</w:t>
      </w:r>
      <w:r>
        <w:rPr>
          <w:i/>
          <w:iCs/>
          <w:color w:val="auto"/>
          <w:kern w:val="0"/>
          <w:sz w:val="24"/>
        </w:rPr>
        <w:t>Cynodon dactylon</w:t>
      </w:r>
      <w:r>
        <w:rPr>
          <w:color w:val="auto"/>
          <w:kern w:val="0"/>
          <w:sz w:val="24"/>
        </w:rPr>
        <w:t>）群系、毛轴莎草（</w:t>
      </w:r>
      <w:r>
        <w:rPr>
          <w:i/>
          <w:iCs/>
          <w:color w:val="auto"/>
          <w:kern w:val="0"/>
          <w:sz w:val="24"/>
        </w:rPr>
        <w:t>Cyperus pilosus</w:t>
      </w:r>
      <w:r>
        <w:rPr>
          <w:color w:val="auto"/>
          <w:kern w:val="0"/>
          <w:sz w:val="24"/>
        </w:rPr>
        <w:t>）群系、酸模叶蓼（</w:t>
      </w:r>
      <w:r>
        <w:rPr>
          <w:i/>
          <w:iCs/>
          <w:color w:val="auto"/>
          <w:kern w:val="0"/>
          <w:sz w:val="24"/>
        </w:rPr>
        <w:t>Persicaria lapathifolia</w:t>
      </w:r>
      <w:r>
        <w:rPr>
          <w:color w:val="auto"/>
          <w:kern w:val="0"/>
          <w:sz w:val="24"/>
        </w:rPr>
        <w:t>）群系、萎蒿（</w:t>
      </w:r>
      <w:r>
        <w:rPr>
          <w:i/>
          <w:iCs/>
          <w:color w:val="auto"/>
          <w:kern w:val="0"/>
          <w:sz w:val="24"/>
        </w:rPr>
        <w:t>Artemisia selengensis</w:t>
      </w:r>
      <w:r>
        <w:rPr>
          <w:color w:val="auto"/>
          <w:kern w:val="0"/>
          <w:sz w:val="24"/>
        </w:rPr>
        <w:t>）群系、芦苇（</w:t>
      </w:r>
      <w:r>
        <w:rPr>
          <w:i/>
          <w:iCs/>
          <w:color w:val="auto"/>
          <w:kern w:val="0"/>
          <w:sz w:val="24"/>
        </w:rPr>
        <w:t>Phragmites australis</w:t>
      </w:r>
      <w:r>
        <w:rPr>
          <w:color w:val="auto"/>
          <w:kern w:val="0"/>
          <w:sz w:val="24"/>
        </w:rPr>
        <w:t>）群系、凤眼莲（</w:t>
      </w:r>
      <w:r>
        <w:rPr>
          <w:i/>
          <w:iCs/>
          <w:color w:val="auto"/>
          <w:kern w:val="0"/>
          <w:sz w:val="24"/>
        </w:rPr>
        <w:t>Eichhornia crassipes</w:t>
      </w:r>
      <w:r>
        <w:rPr>
          <w:color w:val="auto"/>
          <w:kern w:val="0"/>
          <w:sz w:val="24"/>
        </w:rPr>
        <w:t>）群系、空心莲子草（</w:t>
      </w:r>
      <w:r>
        <w:rPr>
          <w:i/>
          <w:iCs/>
          <w:color w:val="auto"/>
          <w:kern w:val="0"/>
          <w:sz w:val="24"/>
        </w:rPr>
        <w:t>Alternanthera philoxeroides</w:t>
      </w:r>
      <w:r>
        <w:rPr>
          <w:color w:val="auto"/>
          <w:kern w:val="0"/>
          <w:sz w:val="24"/>
        </w:rPr>
        <w:t>）群系等。</w:t>
      </w:r>
    </w:p>
    <w:p w14:paraId="1D1CF149">
      <w:pPr>
        <w:spacing w:line="360" w:lineRule="auto"/>
        <w:ind w:firstLine="480" w:firstLineChars="200"/>
        <w:rPr>
          <w:color w:val="auto"/>
          <w:kern w:val="0"/>
          <w:sz w:val="24"/>
        </w:rPr>
      </w:pPr>
      <w:r>
        <w:rPr>
          <w:color w:val="auto"/>
          <w:kern w:val="0"/>
          <w:sz w:val="24"/>
        </w:rPr>
        <w:t>本工程周边以湿地景观、农业景观、灌草景观、城镇/村落景观、森林景观为典型特征，林地以人工林为主，长期以来受人类活动的影响强烈，项目评价范围内基本无天然林的植被群落。在项目周边区植被与物种多样性一般，均为常见种。评价范围内人类活动很频繁，在评价区内未发现国家重点保护野生植物，未发现古树名木。</w:t>
      </w:r>
    </w:p>
    <w:p w14:paraId="7A614EBD">
      <w:pPr>
        <w:spacing w:line="360" w:lineRule="auto"/>
        <w:ind w:firstLine="480" w:firstLineChars="200"/>
        <w:rPr>
          <w:color w:val="auto"/>
          <w:kern w:val="0"/>
          <w:sz w:val="24"/>
        </w:rPr>
      </w:pPr>
      <w:r>
        <w:rPr>
          <w:color w:val="auto"/>
          <w:kern w:val="0"/>
          <w:sz w:val="24"/>
        </w:rPr>
        <w:t>经实地调查和查阅资料，评价区内共记录野生动物218种，隶属于43目87科。其中，两栖类10种，隶属于1目5科；爬行类13种，隶属于1目8科；鸟类114种，隶属于14目39科；哺乳类12种，隶属于5目8科；鱼类25种，隶属于6目7科；底栖类44种，隶属于13目18科。评价区位于湖南东洞庭湖国家级自然保护区实验区边缘，湖南东洞庭湖国家级自然保护区主要保护对象是东洞庭湖湿地生态系统以及以白鹤、东方白鹳、小白额雁、麋鹿等珍稀濒危物种为代表的生物多样性。</w:t>
      </w:r>
    </w:p>
    <w:p w14:paraId="0216A4F8">
      <w:pPr>
        <w:adjustRightInd w:val="0"/>
        <w:snapToGrid w:val="0"/>
        <w:spacing w:line="360" w:lineRule="auto"/>
        <w:ind w:firstLine="480" w:firstLineChars="200"/>
        <w:rPr>
          <w:color w:val="auto"/>
          <w:kern w:val="0"/>
          <w:sz w:val="24"/>
        </w:rPr>
      </w:pPr>
      <w:r>
        <w:rPr>
          <w:color w:val="auto"/>
          <w:kern w:val="0"/>
          <w:sz w:val="24"/>
        </w:rPr>
        <w:t>评价区内未发现有自然遗迹分布，主要面临的生态问题有生态环境退化，植物、动物群落受人为活动影响较大。</w:t>
      </w:r>
    </w:p>
    <w:p w14:paraId="39C37EC2">
      <w:pPr>
        <w:adjustRightInd w:val="0"/>
        <w:snapToGrid w:val="0"/>
        <w:spacing w:line="360" w:lineRule="auto"/>
        <w:ind w:firstLine="480" w:firstLineChars="200"/>
        <w:rPr>
          <w:color w:val="auto"/>
          <w:kern w:val="0"/>
          <w:sz w:val="24"/>
        </w:rPr>
      </w:pPr>
      <w:r>
        <w:rPr>
          <w:color w:val="auto"/>
          <w:kern w:val="0"/>
          <w:sz w:val="24"/>
        </w:rPr>
        <w:t>评价区生态功能规划属于洪水调蓄生态功能区。主要保护方向为：保护自然生态系统与重要物种栖息地；加强洪水调蓄生态功能区的建设。本项目位于湖南省岳阳市君山区钱粮湖镇银杯社区方台村5组（现采桑湖渔场一荷三虾养殖基地），工程位于湖南东洞庭湖国家级自然保护区实验区内，远离东洞庭湖国家级保护区重要物种栖息地，且相对远离洞庭湖湿地，工程周边人类活动频繁且历史悠长，现以湿地景观、农业景观、灌草景观、城镇/村落景观、森林景观生态系统为主。</w:t>
      </w:r>
    </w:p>
    <w:p w14:paraId="1BE2A8F4">
      <w:pPr>
        <w:rPr>
          <w:rFonts w:eastAsiaTheme="minorEastAsia"/>
          <w:color w:val="auto"/>
        </w:rPr>
      </w:pPr>
      <w:r>
        <w:rPr>
          <w:rFonts w:eastAsiaTheme="minorEastAsia"/>
          <w:color w:val="auto"/>
        </w:rPr>
        <w:br w:type="page"/>
      </w:r>
    </w:p>
    <w:p w14:paraId="61786644">
      <w:pPr>
        <w:pStyle w:val="81"/>
        <w:widowControl w:val="0"/>
        <w:spacing w:beforeLines="0" w:afterLines="0"/>
        <w:ind w:left="0"/>
        <w:rPr>
          <w:rFonts w:ascii="Times New Roman" w:hAnsi="Times New Roman" w:cs="Times New Roman"/>
          <w:color w:val="auto"/>
        </w:rPr>
      </w:pPr>
      <w:bookmarkStart w:id="152" w:name="_Toc24850"/>
      <w:r>
        <w:rPr>
          <w:rFonts w:hint="eastAsia" w:ascii="Times New Roman" w:hAnsi="Times New Roman" w:cs="Times New Roman"/>
          <w:color w:val="auto"/>
        </w:rPr>
        <w:t>4</w:t>
      </w:r>
      <w:r>
        <w:rPr>
          <w:rFonts w:ascii="Times New Roman" w:hAnsi="Times New Roman" w:cs="Times New Roman"/>
          <w:color w:val="auto"/>
        </w:rPr>
        <w:t>生态影响预测与评价</w:t>
      </w:r>
      <w:bookmarkEnd w:id="152"/>
    </w:p>
    <w:p w14:paraId="62F81F6F">
      <w:pPr>
        <w:pStyle w:val="82"/>
        <w:widowControl w:val="0"/>
        <w:spacing w:line="360" w:lineRule="auto"/>
        <w:outlineLvl w:val="1"/>
        <w:rPr>
          <w:rFonts w:ascii="Times New Roman" w:hAnsi="Times New Roman" w:eastAsia="宋体" w:cs="Times New Roman"/>
          <w:b/>
          <w:color w:val="auto"/>
          <w:sz w:val="30"/>
          <w:szCs w:val="30"/>
        </w:rPr>
      </w:pPr>
      <w:bookmarkStart w:id="153" w:name="_Toc3226"/>
      <w:bookmarkStart w:id="154" w:name="_Toc32224"/>
      <w:bookmarkStart w:id="155" w:name="_Toc472494275"/>
      <w:bookmarkStart w:id="156" w:name="_Toc258347114"/>
      <w:bookmarkStart w:id="157" w:name="_Toc40364420"/>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1生态影响因子及对象分析</w:t>
      </w:r>
      <w:bookmarkEnd w:id="153"/>
      <w:bookmarkEnd w:id="154"/>
    </w:p>
    <w:p w14:paraId="63DAD245">
      <w:pPr>
        <w:spacing w:line="360" w:lineRule="auto"/>
        <w:ind w:firstLine="480" w:firstLineChars="200"/>
        <w:jc w:val="left"/>
        <w:rPr>
          <w:color w:val="auto"/>
          <w:kern w:val="0"/>
          <w:sz w:val="24"/>
        </w:rPr>
      </w:pPr>
      <w:r>
        <w:rPr>
          <w:color w:val="auto"/>
          <w:kern w:val="0"/>
          <w:sz w:val="24"/>
        </w:rPr>
        <w:t>本项目建设不可避免的会对评价区生态产生不利影响，主要影响时段有施工期、运营期，主要影响方式有直接影响、间接影响等（详见表</w:t>
      </w:r>
      <w:r>
        <w:rPr>
          <w:rFonts w:hint="eastAsia"/>
          <w:color w:val="auto"/>
          <w:kern w:val="0"/>
          <w:sz w:val="24"/>
        </w:rPr>
        <w:t>4.</w:t>
      </w:r>
      <w:r>
        <w:rPr>
          <w:color w:val="auto"/>
          <w:kern w:val="0"/>
          <w:sz w:val="24"/>
        </w:rPr>
        <w:t>1-1）。</w:t>
      </w:r>
    </w:p>
    <w:p w14:paraId="5CC17EF3">
      <w:pPr>
        <w:ind w:firstLine="422" w:firstLineChars="200"/>
        <w:jc w:val="center"/>
        <w:rPr>
          <w:b/>
          <w:bCs/>
          <w:color w:val="auto"/>
          <w:szCs w:val="21"/>
          <w:u w:val="single"/>
        </w:rPr>
      </w:pPr>
      <w:r>
        <w:rPr>
          <w:b/>
          <w:bCs/>
          <w:color w:val="auto"/>
          <w:szCs w:val="21"/>
          <w:u w:val="single"/>
        </w:rPr>
        <w:t>表</w:t>
      </w:r>
      <w:r>
        <w:rPr>
          <w:rFonts w:hint="eastAsia"/>
          <w:b/>
          <w:bCs/>
          <w:color w:val="auto"/>
          <w:szCs w:val="21"/>
          <w:u w:val="single"/>
        </w:rPr>
        <w:t>4.</w:t>
      </w:r>
      <w:r>
        <w:rPr>
          <w:b/>
          <w:bCs/>
          <w:color w:val="auto"/>
          <w:szCs w:val="21"/>
          <w:u w:val="single"/>
        </w:rPr>
        <w:t>1-1   生态影响评价因子筛选表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506"/>
        <w:gridCol w:w="1095"/>
        <w:gridCol w:w="3664"/>
        <w:gridCol w:w="993"/>
        <w:gridCol w:w="1190"/>
        <w:gridCol w:w="559"/>
      </w:tblGrid>
      <w:tr w14:paraId="22A3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tcBorders>
              <w:tl2br w:val="nil"/>
              <w:tr2bl w:val="nil"/>
            </w:tcBorders>
            <w:vAlign w:val="center"/>
          </w:tcPr>
          <w:p w14:paraId="063020F9">
            <w:pPr>
              <w:widowControl/>
              <w:snapToGrid w:val="0"/>
              <w:jc w:val="center"/>
              <w:rPr>
                <w:b/>
                <w:bCs/>
                <w:color w:val="auto"/>
                <w:kern w:val="0"/>
                <w:szCs w:val="21"/>
                <w:u w:val="single"/>
              </w:rPr>
            </w:pPr>
            <w:r>
              <w:rPr>
                <w:b/>
                <w:bCs/>
                <w:color w:val="auto"/>
                <w:kern w:val="0"/>
                <w:szCs w:val="21"/>
                <w:u w:val="single"/>
              </w:rPr>
              <w:t>时段</w:t>
            </w:r>
          </w:p>
        </w:tc>
        <w:tc>
          <w:tcPr>
            <w:tcW w:w="506" w:type="dxa"/>
            <w:tcBorders>
              <w:tl2br w:val="nil"/>
              <w:tr2bl w:val="nil"/>
            </w:tcBorders>
            <w:vAlign w:val="center"/>
          </w:tcPr>
          <w:p w14:paraId="7F6DAB1F">
            <w:pPr>
              <w:widowControl/>
              <w:snapToGrid w:val="0"/>
              <w:jc w:val="center"/>
              <w:rPr>
                <w:b/>
                <w:bCs/>
                <w:color w:val="auto"/>
                <w:kern w:val="0"/>
                <w:szCs w:val="21"/>
                <w:u w:val="single"/>
              </w:rPr>
            </w:pPr>
            <w:r>
              <w:rPr>
                <w:b/>
                <w:bCs/>
                <w:color w:val="auto"/>
                <w:kern w:val="0"/>
                <w:szCs w:val="21"/>
                <w:u w:val="single"/>
              </w:rPr>
              <w:t>受影响对象</w:t>
            </w:r>
          </w:p>
        </w:tc>
        <w:tc>
          <w:tcPr>
            <w:tcW w:w="1095" w:type="dxa"/>
            <w:tcBorders>
              <w:tl2br w:val="nil"/>
              <w:tr2bl w:val="nil"/>
            </w:tcBorders>
            <w:vAlign w:val="center"/>
          </w:tcPr>
          <w:p w14:paraId="2D4ACD15">
            <w:pPr>
              <w:widowControl/>
              <w:snapToGrid w:val="0"/>
              <w:jc w:val="center"/>
              <w:rPr>
                <w:b/>
                <w:bCs/>
                <w:color w:val="auto"/>
                <w:kern w:val="0"/>
                <w:szCs w:val="21"/>
                <w:u w:val="single"/>
              </w:rPr>
            </w:pPr>
            <w:r>
              <w:rPr>
                <w:b/>
                <w:bCs/>
                <w:color w:val="auto"/>
                <w:kern w:val="0"/>
                <w:szCs w:val="21"/>
                <w:u w:val="single"/>
              </w:rPr>
              <w:t>评价因子</w:t>
            </w:r>
          </w:p>
        </w:tc>
        <w:tc>
          <w:tcPr>
            <w:tcW w:w="4657" w:type="dxa"/>
            <w:gridSpan w:val="2"/>
            <w:tcBorders>
              <w:tl2br w:val="nil"/>
              <w:tr2bl w:val="nil"/>
            </w:tcBorders>
            <w:vAlign w:val="center"/>
          </w:tcPr>
          <w:p w14:paraId="29AA6C2E">
            <w:pPr>
              <w:widowControl/>
              <w:snapToGrid w:val="0"/>
              <w:jc w:val="center"/>
              <w:rPr>
                <w:b/>
                <w:bCs/>
                <w:color w:val="auto"/>
                <w:kern w:val="0"/>
                <w:szCs w:val="21"/>
                <w:u w:val="single"/>
              </w:rPr>
            </w:pPr>
            <w:r>
              <w:rPr>
                <w:b/>
                <w:bCs/>
                <w:color w:val="auto"/>
                <w:kern w:val="0"/>
                <w:szCs w:val="21"/>
                <w:u w:val="single"/>
              </w:rPr>
              <w:t>工程内容及影响方式</w:t>
            </w:r>
          </w:p>
        </w:tc>
        <w:tc>
          <w:tcPr>
            <w:tcW w:w="1190" w:type="dxa"/>
            <w:tcBorders>
              <w:tl2br w:val="nil"/>
              <w:tr2bl w:val="nil"/>
            </w:tcBorders>
            <w:vAlign w:val="center"/>
          </w:tcPr>
          <w:p w14:paraId="0A04FA7B">
            <w:pPr>
              <w:widowControl/>
              <w:snapToGrid w:val="0"/>
              <w:jc w:val="center"/>
              <w:rPr>
                <w:b/>
                <w:bCs/>
                <w:color w:val="auto"/>
                <w:kern w:val="0"/>
                <w:szCs w:val="21"/>
                <w:u w:val="single"/>
              </w:rPr>
            </w:pPr>
            <w:r>
              <w:rPr>
                <w:b/>
                <w:bCs/>
                <w:color w:val="auto"/>
                <w:kern w:val="0"/>
                <w:szCs w:val="21"/>
                <w:u w:val="single"/>
              </w:rPr>
              <w:t>影响性质</w:t>
            </w:r>
          </w:p>
        </w:tc>
        <w:tc>
          <w:tcPr>
            <w:tcW w:w="559" w:type="dxa"/>
            <w:tcBorders>
              <w:tl2br w:val="nil"/>
              <w:tr2bl w:val="nil"/>
            </w:tcBorders>
            <w:vAlign w:val="center"/>
          </w:tcPr>
          <w:p w14:paraId="7C09E505">
            <w:pPr>
              <w:widowControl/>
              <w:snapToGrid w:val="0"/>
              <w:jc w:val="center"/>
              <w:rPr>
                <w:b/>
                <w:bCs/>
                <w:color w:val="auto"/>
                <w:kern w:val="0"/>
                <w:szCs w:val="21"/>
                <w:u w:val="single"/>
              </w:rPr>
            </w:pPr>
            <w:r>
              <w:rPr>
                <w:b/>
                <w:bCs/>
                <w:color w:val="auto"/>
                <w:kern w:val="0"/>
                <w:szCs w:val="21"/>
                <w:u w:val="single"/>
              </w:rPr>
              <w:t>影响程度</w:t>
            </w:r>
          </w:p>
        </w:tc>
      </w:tr>
      <w:tr w14:paraId="1A068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restart"/>
            <w:tcBorders>
              <w:tl2br w:val="nil"/>
              <w:tr2bl w:val="nil"/>
            </w:tcBorders>
            <w:vAlign w:val="center"/>
          </w:tcPr>
          <w:p w14:paraId="06EEF828">
            <w:pPr>
              <w:widowControl/>
              <w:snapToGrid w:val="0"/>
              <w:jc w:val="center"/>
              <w:rPr>
                <w:color w:val="auto"/>
                <w:kern w:val="0"/>
                <w:szCs w:val="21"/>
                <w:u w:val="single"/>
              </w:rPr>
            </w:pPr>
            <w:r>
              <w:rPr>
                <w:color w:val="auto"/>
                <w:kern w:val="0"/>
                <w:szCs w:val="21"/>
                <w:u w:val="single"/>
              </w:rPr>
              <w:t>施工期</w:t>
            </w:r>
          </w:p>
        </w:tc>
        <w:tc>
          <w:tcPr>
            <w:tcW w:w="506" w:type="dxa"/>
            <w:vMerge w:val="restart"/>
            <w:tcBorders>
              <w:tl2br w:val="nil"/>
              <w:tr2bl w:val="nil"/>
            </w:tcBorders>
            <w:vAlign w:val="center"/>
          </w:tcPr>
          <w:p w14:paraId="18B2BF72">
            <w:pPr>
              <w:widowControl/>
              <w:snapToGrid w:val="0"/>
              <w:jc w:val="center"/>
              <w:rPr>
                <w:color w:val="auto"/>
                <w:kern w:val="0"/>
                <w:szCs w:val="21"/>
                <w:u w:val="single"/>
              </w:rPr>
            </w:pPr>
            <w:r>
              <w:rPr>
                <w:color w:val="auto"/>
                <w:kern w:val="0"/>
                <w:szCs w:val="21"/>
                <w:u w:val="single"/>
              </w:rPr>
              <w:t>物种</w:t>
            </w:r>
          </w:p>
        </w:tc>
        <w:tc>
          <w:tcPr>
            <w:tcW w:w="1095" w:type="dxa"/>
            <w:vMerge w:val="restart"/>
            <w:tcBorders>
              <w:tl2br w:val="nil"/>
              <w:tr2bl w:val="nil"/>
            </w:tcBorders>
            <w:vAlign w:val="center"/>
          </w:tcPr>
          <w:p w14:paraId="1C6732A3">
            <w:pPr>
              <w:widowControl/>
              <w:snapToGrid w:val="0"/>
              <w:jc w:val="center"/>
              <w:rPr>
                <w:color w:val="auto"/>
                <w:kern w:val="0"/>
                <w:szCs w:val="21"/>
                <w:u w:val="single"/>
              </w:rPr>
            </w:pPr>
            <w:r>
              <w:rPr>
                <w:color w:val="auto"/>
                <w:kern w:val="0"/>
                <w:szCs w:val="21"/>
                <w:u w:val="single"/>
              </w:rPr>
              <w:t>分布范围、种群数量、种群结构、行为等</w:t>
            </w:r>
          </w:p>
        </w:tc>
        <w:tc>
          <w:tcPr>
            <w:tcW w:w="3664" w:type="dxa"/>
            <w:tcBorders>
              <w:tl2br w:val="nil"/>
              <w:tr2bl w:val="nil"/>
            </w:tcBorders>
            <w:vAlign w:val="center"/>
          </w:tcPr>
          <w:p w14:paraId="3E0E4FDC">
            <w:pPr>
              <w:widowControl/>
              <w:snapToGrid w:val="0"/>
              <w:jc w:val="center"/>
              <w:rPr>
                <w:color w:val="auto"/>
                <w:kern w:val="0"/>
                <w:szCs w:val="21"/>
                <w:u w:val="single"/>
              </w:rPr>
            </w:pPr>
            <w:r>
              <w:rPr>
                <w:color w:val="auto"/>
                <w:kern w:val="0"/>
                <w:szCs w:val="21"/>
                <w:u w:val="single"/>
              </w:rPr>
              <w:t>土料场、施工生产生活区、施工道路区等临时占地造成植被破坏，产生水土流失；</w:t>
            </w:r>
          </w:p>
        </w:tc>
        <w:tc>
          <w:tcPr>
            <w:tcW w:w="993" w:type="dxa"/>
            <w:tcBorders>
              <w:tl2br w:val="nil"/>
              <w:tr2bl w:val="nil"/>
            </w:tcBorders>
            <w:vAlign w:val="center"/>
          </w:tcPr>
          <w:p w14:paraId="461A910D">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043B694E">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7643970C">
            <w:pPr>
              <w:widowControl/>
              <w:snapToGrid w:val="0"/>
              <w:jc w:val="center"/>
              <w:rPr>
                <w:color w:val="auto"/>
                <w:kern w:val="0"/>
                <w:szCs w:val="21"/>
                <w:u w:val="single"/>
              </w:rPr>
            </w:pPr>
            <w:r>
              <w:rPr>
                <w:color w:val="auto"/>
                <w:kern w:val="0"/>
                <w:szCs w:val="21"/>
                <w:u w:val="single"/>
              </w:rPr>
              <w:t>弱</w:t>
            </w:r>
          </w:p>
        </w:tc>
      </w:tr>
      <w:tr w14:paraId="5EABC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084F1F6B">
            <w:pPr>
              <w:widowControl/>
              <w:snapToGrid w:val="0"/>
              <w:jc w:val="center"/>
              <w:rPr>
                <w:color w:val="auto"/>
                <w:kern w:val="0"/>
                <w:szCs w:val="21"/>
                <w:u w:val="single"/>
              </w:rPr>
            </w:pPr>
          </w:p>
        </w:tc>
        <w:tc>
          <w:tcPr>
            <w:tcW w:w="506" w:type="dxa"/>
            <w:vMerge w:val="continue"/>
            <w:tcBorders>
              <w:tl2br w:val="nil"/>
              <w:tr2bl w:val="nil"/>
            </w:tcBorders>
            <w:vAlign w:val="center"/>
          </w:tcPr>
          <w:p w14:paraId="5E74EE30">
            <w:pPr>
              <w:widowControl/>
              <w:snapToGrid w:val="0"/>
              <w:jc w:val="center"/>
              <w:rPr>
                <w:color w:val="auto"/>
                <w:kern w:val="0"/>
                <w:szCs w:val="21"/>
                <w:u w:val="single"/>
              </w:rPr>
            </w:pPr>
          </w:p>
        </w:tc>
        <w:tc>
          <w:tcPr>
            <w:tcW w:w="1095" w:type="dxa"/>
            <w:vMerge w:val="continue"/>
            <w:tcBorders>
              <w:tl2br w:val="nil"/>
              <w:tr2bl w:val="nil"/>
            </w:tcBorders>
            <w:vAlign w:val="center"/>
          </w:tcPr>
          <w:p w14:paraId="46E2889F">
            <w:pPr>
              <w:widowControl/>
              <w:snapToGrid w:val="0"/>
              <w:jc w:val="center"/>
              <w:rPr>
                <w:color w:val="auto"/>
                <w:kern w:val="0"/>
                <w:szCs w:val="21"/>
                <w:u w:val="single"/>
              </w:rPr>
            </w:pPr>
          </w:p>
        </w:tc>
        <w:tc>
          <w:tcPr>
            <w:tcW w:w="3664" w:type="dxa"/>
            <w:tcBorders>
              <w:tl2br w:val="nil"/>
              <w:tr2bl w:val="nil"/>
            </w:tcBorders>
            <w:vAlign w:val="center"/>
          </w:tcPr>
          <w:p w14:paraId="7BA005CA">
            <w:pPr>
              <w:widowControl/>
              <w:snapToGrid w:val="0"/>
              <w:jc w:val="center"/>
              <w:rPr>
                <w:color w:val="auto"/>
                <w:kern w:val="0"/>
                <w:szCs w:val="21"/>
                <w:u w:val="single"/>
              </w:rPr>
            </w:pPr>
            <w:r>
              <w:rPr>
                <w:color w:val="auto"/>
                <w:kern w:val="0"/>
                <w:szCs w:val="21"/>
                <w:u w:val="single"/>
              </w:rPr>
              <w:t>施工活动、机械噪声等会驱赶野生动物，使施工区域的动物被迫暂时迁移到适宜的环境中去栖息和繁衍，使得周边野生动物个体数量减少；</w:t>
            </w:r>
          </w:p>
        </w:tc>
        <w:tc>
          <w:tcPr>
            <w:tcW w:w="993" w:type="dxa"/>
            <w:tcBorders>
              <w:tl2br w:val="nil"/>
              <w:tr2bl w:val="nil"/>
            </w:tcBorders>
            <w:vAlign w:val="center"/>
          </w:tcPr>
          <w:p w14:paraId="450B01E8">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5254EDEF">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1F38BCB2">
            <w:pPr>
              <w:widowControl/>
              <w:snapToGrid w:val="0"/>
              <w:jc w:val="center"/>
              <w:rPr>
                <w:color w:val="auto"/>
                <w:kern w:val="0"/>
                <w:szCs w:val="21"/>
                <w:u w:val="single"/>
              </w:rPr>
            </w:pPr>
            <w:r>
              <w:rPr>
                <w:color w:val="auto"/>
                <w:kern w:val="0"/>
                <w:szCs w:val="21"/>
                <w:u w:val="single"/>
              </w:rPr>
              <w:t>弱</w:t>
            </w:r>
          </w:p>
        </w:tc>
      </w:tr>
      <w:tr w14:paraId="14990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001C3786">
            <w:pPr>
              <w:widowControl/>
              <w:snapToGrid w:val="0"/>
              <w:jc w:val="center"/>
              <w:rPr>
                <w:color w:val="auto"/>
                <w:kern w:val="0"/>
                <w:szCs w:val="21"/>
                <w:u w:val="single"/>
              </w:rPr>
            </w:pPr>
          </w:p>
        </w:tc>
        <w:tc>
          <w:tcPr>
            <w:tcW w:w="506" w:type="dxa"/>
            <w:vMerge w:val="continue"/>
            <w:tcBorders>
              <w:tl2br w:val="nil"/>
              <w:tr2bl w:val="nil"/>
            </w:tcBorders>
            <w:vAlign w:val="center"/>
          </w:tcPr>
          <w:p w14:paraId="558ABB10">
            <w:pPr>
              <w:widowControl/>
              <w:snapToGrid w:val="0"/>
              <w:jc w:val="center"/>
              <w:rPr>
                <w:color w:val="auto"/>
                <w:kern w:val="0"/>
                <w:szCs w:val="21"/>
                <w:u w:val="single"/>
              </w:rPr>
            </w:pPr>
          </w:p>
        </w:tc>
        <w:tc>
          <w:tcPr>
            <w:tcW w:w="1095" w:type="dxa"/>
            <w:vMerge w:val="continue"/>
            <w:tcBorders>
              <w:tl2br w:val="nil"/>
              <w:tr2bl w:val="nil"/>
            </w:tcBorders>
            <w:vAlign w:val="center"/>
          </w:tcPr>
          <w:p w14:paraId="4637352C">
            <w:pPr>
              <w:widowControl/>
              <w:snapToGrid w:val="0"/>
              <w:jc w:val="center"/>
              <w:rPr>
                <w:color w:val="auto"/>
                <w:kern w:val="0"/>
                <w:szCs w:val="21"/>
                <w:u w:val="single"/>
              </w:rPr>
            </w:pPr>
          </w:p>
        </w:tc>
        <w:tc>
          <w:tcPr>
            <w:tcW w:w="3664" w:type="dxa"/>
            <w:tcBorders>
              <w:tl2br w:val="nil"/>
              <w:tr2bl w:val="nil"/>
            </w:tcBorders>
            <w:vAlign w:val="center"/>
          </w:tcPr>
          <w:p w14:paraId="4EFFB179">
            <w:pPr>
              <w:widowControl/>
              <w:snapToGrid w:val="0"/>
              <w:jc w:val="center"/>
              <w:rPr>
                <w:color w:val="auto"/>
                <w:kern w:val="0"/>
                <w:szCs w:val="21"/>
                <w:u w:val="single"/>
              </w:rPr>
            </w:pPr>
            <w:r>
              <w:rPr>
                <w:color w:val="auto"/>
                <w:kern w:val="0"/>
                <w:szCs w:val="21"/>
                <w:u w:val="single"/>
              </w:rPr>
              <w:t>施工活动会扰动水体，对水生生物繁衍造成影响，施工噪声及振动会对鱼类造成驱赶；</w:t>
            </w:r>
          </w:p>
        </w:tc>
        <w:tc>
          <w:tcPr>
            <w:tcW w:w="993" w:type="dxa"/>
            <w:tcBorders>
              <w:tl2br w:val="nil"/>
              <w:tr2bl w:val="nil"/>
            </w:tcBorders>
            <w:vAlign w:val="center"/>
          </w:tcPr>
          <w:p w14:paraId="42485CA7">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6D174982">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316BEE13">
            <w:pPr>
              <w:widowControl/>
              <w:snapToGrid w:val="0"/>
              <w:jc w:val="center"/>
              <w:rPr>
                <w:color w:val="auto"/>
                <w:kern w:val="0"/>
                <w:szCs w:val="21"/>
                <w:u w:val="single"/>
              </w:rPr>
            </w:pPr>
            <w:r>
              <w:rPr>
                <w:color w:val="auto"/>
                <w:kern w:val="0"/>
                <w:szCs w:val="21"/>
                <w:u w:val="single"/>
              </w:rPr>
              <w:t>弱</w:t>
            </w:r>
          </w:p>
        </w:tc>
      </w:tr>
      <w:tr w14:paraId="0141C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4EA681C5">
            <w:pPr>
              <w:widowControl/>
              <w:snapToGrid w:val="0"/>
              <w:jc w:val="center"/>
              <w:rPr>
                <w:color w:val="auto"/>
                <w:kern w:val="0"/>
                <w:szCs w:val="21"/>
                <w:u w:val="single"/>
              </w:rPr>
            </w:pPr>
          </w:p>
        </w:tc>
        <w:tc>
          <w:tcPr>
            <w:tcW w:w="506" w:type="dxa"/>
            <w:vMerge w:val="restart"/>
            <w:tcBorders>
              <w:tl2br w:val="nil"/>
              <w:tr2bl w:val="nil"/>
            </w:tcBorders>
            <w:vAlign w:val="center"/>
          </w:tcPr>
          <w:p w14:paraId="64CD3FDA">
            <w:pPr>
              <w:widowControl/>
              <w:snapToGrid w:val="0"/>
              <w:jc w:val="center"/>
              <w:rPr>
                <w:color w:val="auto"/>
                <w:kern w:val="0"/>
                <w:szCs w:val="21"/>
                <w:u w:val="single"/>
              </w:rPr>
            </w:pPr>
            <w:r>
              <w:rPr>
                <w:color w:val="auto"/>
                <w:kern w:val="0"/>
                <w:szCs w:val="21"/>
                <w:u w:val="single"/>
              </w:rPr>
              <w:t>生境</w:t>
            </w:r>
          </w:p>
        </w:tc>
        <w:tc>
          <w:tcPr>
            <w:tcW w:w="1095" w:type="dxa"/>
            <w:vMerge w:val="restart"/>
            <w:tcBorders>
              <w:tl2br w:val="nil"/>
              <w:tr2bl w:val="nil"/>
            </w:tcBorders>
            <w:vAlign w:val="center"/>
          </w:tcPr>
          <w:p w14:paraId="31176D81">
            <w:pPr>
              <w:widowControl/>
              <w:snapToGrid w:val="0"/>
              <w:jc w:val="center"/>
              <w:rPr>
                <w:color w:val="auto"/>
                <w:kern w:val="0"/>
                <w:szCs w:val="21"/>
                <w:u w:val="single"/>
              </w:rPr>
            </w:pPr>
            <w:r>
              <w:rPr>
                <w:color w:val="auto"/>
                <w:kern w:val="0"/>
                <w:szCs w:val="21"/>
                <w:u w:val="single"/>
              </w:rPr>
              <w:t>面积、质量、连通性等</w:t>
            </w:r>
          </w:p>
        </w:tc>
        <w:tc>
          <w:tcPr>
            <w:tcW w:w="3664" w:type="dxa"/>
            <w:tcBorders>
              <w:tl2br w:val="nil"/>
              <w:tr2bl w:val="nil"/>
            </w:tcBorders>
            <w:vAlign w:val="center"/>
          </w:tcPr>
          <w:p w14:paraId="6AD0C980">
            <w:pPr>
              <w:widowControl/>
              <w:snapToGrid w:val="0"/>
              <w:jc w:val="center"/>
              <w:rPr>
                <w:color w:val="auto"/>
                <w:kern w:val="0"/>
                <w:szCs w:val="21"/>
                <w:u w:val="single"/>
              </w:rPr>
            </w:pPr>
            <w:r>
              <w:rPr>
                <w:color w:val="auto"/>
                <w:kern w:val="0"/>
                <w:szCs w:val="21"/>
                <w:u w:val="single"/>
              </w:rPr>
              <w:t>施工生产生活区和施工道路区地等占地破坏植被，改变野生动物栖息环境；</w:t>
            </w:r>
          </w:p>
        </w:tc>
        <w:tc>
          <w:tcPr>
            <w:tcW w:w="993" w:type="dxa"/>
            <w:tcBorders>
              <w:tl2br w:val="nil"/>
              <w:tr2bl w:val="nil"/>
            </w:tcBorders>
            <w:vAlign w:val="center"/>
          </w:tcPr>
          <w:p w14:paraId="66CF12F5">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31172ABB">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60CF06B9">
            <w:pPr>
              <w:widowControl/>
              <w:snapToGrid w:val="0"/>
              <w:jc w:val="center"/>
              <w:rPr>
                <w:color w:val="auto"/>
                <w:kern w:val="0"/>
                <w:szCs w:val="21"/>
                <w:u w:val="single"/>
              </w:rPr>
            </w:pPr>
            <w:r>
              <w:rPr>
                <w:color w:val="auto"/>
                <w:kern w:val="0"/>
                <w:szCs w:val="21"/>
                <w:u w:val="single"/>
              </w:rPr>
              <w:t>弱</w:t>
            </w:r>
          </w:p>
        </w:tc>
      </w:tr>
      <w:tr w14:paraId="017C0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53D3ECCE">
            <w:pPr>
              <w:widowControl/>
              <w:snapToGrid w:val="0"/>
              <w:jc w:val="center"/>
              <w:rPr>
                <w:color w:val="auto"/>
                <w:kern w:val="0"/>
                <w:szCs w:val="21"/>
                <w:u w:val="single"/>
              </w:rPr>
            </w:pPr>
          </w:p>
        </w:tc>
        <w:tc>
          <w:tcPr>
            <w:tcW w:w="506" w:type="dxa"/>
            <w:vMerge w:val="continue"/>
            <w:tcBorders>
              <w:tl2br w:val="nil"/>
              <w:tr2bl w:val="nil"/>
            </w:tcBorders>
            <w:vAlign w:val="center"/>
          </w:tcPr>
          <w:p w14:paraId="04307B46">
            <w:pPr>
              <w:widowControl/>
              <w:snapToGrid w:val="0"/>
              <w:jc w:val="center"/>
              <w:rPr>
                <w:color w:val="auto"/>
                <w:kern w:val="0"/>
                <w:szCs w:val="21"/>
                <w:u w:val="single"/>
              </w:rPr>
            </w:pPr>
          </w:p>
        </w:tc>
        <w:tc>
          <w:tcPr>
            <w:tcW w:w="1095" w:type="dxa"/>
            <w:vMerge w:val="continue"/>
            <w:tcBorders>
              <w:tl2br w:val="nil"/>
              <w:tr2bl w:val="nil"/>
            </w:tcBorders>
            <w:vAlign w:val="center"/>
          </w:tcPr>
          <w:p w14:paraId="52F5E29A">
            <w:pPr>
              <w:widowControl/>
              <w:snapToGrid w:val="0"/>
              <w:jc w:val="center"/>
              <w:rPr>
                <w:color w:val="auto"/>
                <w:kern w:val="0"/>
                <w:szCs w:val="21"/>
                <w:u w:val="single"/>
              </w:rPr>
            </w:pPr>
          </w:p>
        </w:tc>
        <w:tc>
          <w:tcPr>
            <w:tcW w:w="3664" w:type="dxa"/>
            <w:tcBorders>
              <w:tl2br w:val="nil"/>
              <w:tr2bl w:val="nil"/>
            </w:tcBorders>
            <w:vAlign w:val="center"/>
          </w:tcPr>
          <w:p w14:paraId="3E03144C">
            <w:pPr>
              <w:widowControl/>
              <w:snapToGrid w:val="0"/>
              <w:jc w:val="center"/>
              <w:rPr>
                <w:color w:val="auto"/>
                <w:kern w:val="0"/>
                <w:szCs w:val="21"/>
                <w:u w:val="single"/>
              </w:rPr>
            </w:pPr>
            <w:r>
              <w:rPr>
                <w:color w:val="auto"/>
                <w:kern w:val="0"/>
                <w:szCs w:val="21"/>
                <w:u w:val="single"/>
              </w:rPr>
              <w:t>施工活动、噪声等影响野生动物的活动栖息生境；</w:t>
            </w:r>
          </w:p>
        </w:tc>
        <w:tc>
          <w:tcPr>
            <w:tcW w:w="993" w:type="dxa"/>
            <w:tcBorders>
              <w:tl2br w:val="nil"/>
              <w:tr2bl w:val="nil"/>
            </w:tcBorders>
            <w:vAlign w:val="center"/>
          </w:tcPr>
          <w:p w14:paraId="172E8619">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6EDB226E">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67C4BC63">
            <w:pPr>
              <w:widowControl/>
              <w:snapToGrid w:val="0"/>
              <w:jc w:val="center"/>
              <w:rPr>
                <w:color w:val="auto"/>
                <w:kern w:val="0"/>
                <w:szCs w:val="21"/>
                <w:u w:val="single"/>
              </w:rPr>
            </w:pPr>
            <w:r>
              <w:rPr>
                <w:color w:val="auto"/>
                <w:kern w:val="0"/>
                <w:szCs w:val="21"/>
                <w:u w:val="single"/>
              </w:rPr>
              <w:t>弱</w:t>
            </w:r>
          </w:p>
        </w:tc>
      </w:tr>
      <w:tr w14:paraId="6B40D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0E384B56">
            <w:pPr>
              <w:widowControl/>
              <w:snapToGrid w:val="0"/>
              <w:jc w:val="center"/>
              <w:rPr>
                <w:color w:val="auto"/>
                <w:kern w:val="0"/>
                <w:szCs w:val="21"/>
                <w:u w:val="single"/>
              </w:rPr>
            </w:pPr>
          </w:p>
        </w:tc>
        <w:tc>
          <w:tcPr>
            <w:tcW w:w="506" w:type="dxa"/>
            <w:vMerge w:val="restart"/>
            <w:tcBorders>
              <w:tl2br w:val="nil"/>
              <w:tr2bl w:val="nil"/>
            </w:tcBorders>
            <w:vAlign w:val="center"/>
          </w:tcPr>
          <w:p w14:paraId="20AEDE90">
            <w:pPr>
              <w:widowControl/>
              <w:snapToGrid w:val="0"/>
              <w:jc w:val="center"/>
              <w:rPr>
                <w:color w:val="auto"/>
                <w:kern w:val="0"/>
                <w:szCs w:val="21"/>
                <w:u w:val="single"/>
              </w:rPr>
            </w:pPr>
            <w:r>
              <w:rPr>
                <w:color w:val="auto"/>
                <w:kern w:val="0"/>
                <w:szCs w:val="21"/>
                <w:u w:val="single"/>
              </w:rPr>
              <w:t>生物群落</w:t>
            </w:r>
          </w:p>
        </w:tc>
        <w:tc>
          <w:tcPr>
            <w:tcW w:w="1095" w:type="dxa"/>
            <w:vMerge w:val="restart"/>
            <w:tcBorders>
              <w:tl2br w:val="nil"/>
              <w:tr2bl w:val="nil"/>
            </w:tcBorders>
            <w:vAlign w:val="center"/>
          </w:tcPr>
          <w:p w14:paraId="6F9D01C1">
            <w:pPr>
              <w:widowControl/>
              <w:snapToGrid w:val="0"/>
              <w:jc w:val="center"/>
              <w:rPr>
                <w:color w:val="auto"/>
                <w:kern w:val="0"/>
                <w:szCs w:val="21"/>
                <w:u w:val="single"/>
              </w:rPr>
            </w:pPr>
            <w:r>
              <w:rPr>
                <w:color w:val="auto"/>
                <w:kern w:val="0"/>
                <w:szCs w:val="21"/>
                <w:u w:val="single"/>
              </w:rPr>
              <w:t>物种组成、群落结构</w:t>
            </w:r>
          </w:p>
        </w:tc>
        <w:tc>
          <w:tcPr>
            <w:tcW w:w="3664" w:type="dxa"/>
            <w:tcBorders>
              <w:tl2br w:val="nil"/>
              <w:tr2bl w:val="nil"/>
            </w:tcBorders>
            <w:vAlign w:val="center"/>
          </w:tcPr>
          <w:p w14:paraId="75593D96">
            <w:pPr>
              <w:widowControl/>
              <w:snapToGrid w:val="0"/>
              <w:jc w:val="center"/>
              <w:rPr>
                <w:color w:val="auto"/>
                <w:kern w:val="0"/>
                <w:szCs w:val="21"/>
                <w:u w:val="single"/>
              </w:rPr>
            </w:pPr>
            <w:r>
              <w:rPr>
                <w:color w:val="auto"/>
                <w:kern w:val="0"/>
                <w:szCs w:val="21"/>
                <w:u w:val="single"/>
              </w:rPr>
              <w:t>工程临时占地将改变原有土地利用方式，将破坏占地区植物群落；</w:t>
            </w:r>
          </w:p>
        </w:tc>
        <w:tc>
          <w:tcPr>
            <w:tcW w:w="993" w:type="dxa"/>
            <w:tcBorders>
              <w:tl2br w:val="nil"/>
              <w:tr2bl w:val="nil"/>
            </w:tcBorders>
            <w:vAlign w:val="center"/>
          </w:tcPr>
          <w:p w14:paraId="7B9C9E72">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42777E77">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7D3B693A">
            <w:pPr>
              <w:widowControl/>
              <w:snapToGrid w:val="0"/>
              <w:jc w:val="center"/>
              <w:rPr>
                <w:color w:val="auto"/>
                <w:kern w:val="0"/>
                <w:szCs w:val="21"/>
                <w:u w:val="single"/>
              </w:rPr>
            </w:pPr>
            <w:r>
              <w:rPr>
                <w:color w:val="auto"/>
                <w:kern w:val="0"/>
                <w:szCs w:val="21"/>
                <w:u w:val="single"/>
              </w:rPr>
              <w:t>弱</w:t>
            </w:r>
          </w:p>
        </w:tc>
      </w:tr>
      <w:tr w14:paraId="525E9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31EA6748">
            <w:pPr>
              <w:widowControl/>
              <w:snapToGrid w:val="0"/>
              <w:jc w:val="center"/>
              <w:rPr>
                <w:color w:val="auto"/>
                <w:kern w:val="0"/>
                <w:szCs w:val="21"/>
                <w:u w:val="single"/>
              </w:rPr>
            </w:pPr>
          </w:p>
        </w:tc>
        <w:tc>
          <w:tcPr>
            <w:tcW w:w="506" w:type="dxa"/>
            <w:vMerge w:val="continue"/>
            <w:tcBorders>
              <w:tl2br w:val="nil"/>
              <w:tr2bl w:val="nil"/>
            </w:tcBorders>
            <w:vAlign w:val="center"/>
          </w:tcPr>
          <w:p w14:paraId="088914FE">
            <w:pPr>
              <w:widowControl/>
              <w:snapToGrid w:val="0"/>
              <w:jc w:val="center"/>
              <w:rPr>
                <w:color w:val="auto"/>
                <w:kern w:val="0"/>
                <w:szCs w:val="21"/>
                <w:u w:val="single"/>
              </w:rPr>
            </w:pPr>
          </w:p>
        </w:tc>
        <w:tc>
          <w:tcPr>
            <w:tcW w:w="1095" w:type="dxa"/>
            <w:vMerge w:val="continue"/>
            <w:tcBorders>
              <w:tl2br w:val="nil"/>
              <w:tr2bl w:val="nil"/>
            </w:tcBorders>
            <w:vAlign w:val="center"/>
          </w:tcPr>
          <w:p w14:paraId="0DF713F7">
            <w:pPr>
              <w:widowControl/>
              <w:snapToGrid w:val="0"/>
              <w:jc w:val="center"/>
              <w:rPr>
                <w:color w:val="auto"/>
                <w:kern w:val="0"/>
                <w:szCs w:val="21"/>
                <w:u w:val="single"/>
              </w:rPr>
            </w:pPr>
          </w:p>
        </w:tc>
        <w:tc>
          <w:tcPr>
            <w:tcW w:w="3664" w:type="dxa"/>
            <w:tcBorders>
              <w:tl2br w:val="nil"/>
              <w:tr2bl w:val="nil"/>
            </w:tcBorders>
            <w:vAlign w:val="center"/>
          </w:tcPr>
          <w:p w14:paraId="5AC5AD57">
            <w:pPr>
              <w:widowControl/>
              <w:snapToGrid w:val="0"/>
              <w:jc w:val="center"/>
              <w:rPr>
                <w:color w:val="auto"/>
                <w:kern w:val="0"/>
                <w:szCs w:val="21"/>
                <w:u w:val="single"/>
              </w:rPr>
            </w:pPr>
            <w:r>
              <w:rPr>
                <w:color w:val="auto"/>
                <w:kern w:val="0"/>
                <w:szCs w:val="21"/>
                <w:u w:val="single"/>
              </w:rPr>
              <w:t>施工活动、噪声等对野生动物行为产生干扰，迫使其迁移，造成周边区域动物种群数量的减少；</w:t>
            </w:r>
          </w:p>
        </w:tc>
        <w:tc>
          <w:tcPr>
            <w:tcW w:w="993" w:type="dxa"/>
            <w:tcBorders>
              <w:tl2br w:val="nil"/>
              <w:tr2bl w:val="nil"/>
            </w:tcBorders>
            <w:vAlign w:val="center"/>
          </w:tcPr>
          <w:p w14:paraId="6C97CECD">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16E57367">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7B8903AA">
            <w:pPr>
              <w:widowControl/>
              <w:snapToGrid w:val="0"/>
              <w:jc w:val="center"/>
              <w:rPr>
                <w:color w:val="auto"/>
                <w:kern w:val="0"/>
                <w:szCs w:val="21"/>
                <w:u w:val="single"/>
              </w:rPr>
            </w:pPr>
            <w:r>
              <w:rPr>
                <w:color w:val="auto"/>
                <w:kern w:val="0"/>
                <w:szCs w:val="21"/>
                <w:u w:val="single"/>
              </w:rPr>
              <w:t>弱</w:t>
            </w:r>
          </w:p>
        </w:tc>
      </w:tr>
      <w:tr w14:paraId="05EF5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127B8D37">
            <w:pPr>
              <w:widowControl/>
              <w:snapToGrid w:val="0"/>
              <w:jc w:val="center"/>
              <w:rPr>
                <w:color w:val="auto"/>
                <w:kern w:val="0"/>
                <w:szCs w:val="21"/>
                <w:u w:val="single"/>
              </w:rPr>
            </w:pPr>
          </w:p>
        </w:tc>
        <w:tc>
          <w:tcPr>
            <w:tcW w:w="506" w:type="dxa"/>
            <w:tcBorders>
              <w:tl2br w:val="nil"/>
              <w:tr2bl w:val="nil"/>
            </w:tcBorders>
            <w:vAlign w:val="center"/>
          </w:tcPr>
          <w:p w14:paraId="28E53A91">
            <w:pPr>
              <w:widowControl/>
              <w:snapToGrid w:val="0"/>
              <w:jc w:val="center"/>
              <w:rPr>
                <w:color w:val="auto"/>
                <w:kern w:val="0"/>
                <w:szCs w:val="21"/>
                <w:u w:val="single"/>
              </w:rPr>
            </w:pPr>
            <w:r>
              <w:rPr>
                <w:color w:val="auto"/>
                <w:kern w:val="0"/>
                <w:szCs w:val="21"/>
                <w:u w:val="single"/>
              </w:rPr>
              <w:t>生态系统</w:t>
            </w:r>
          </w:p>
        </w:tc>
        <w:tc>
          <w:tcPr>
            <w:tcW w:w="1095" w:type="dxa"/>
            <w:tcBorders>
              <w:tl2br w:val="nil"/>
              <w:tr2bl w:val="nil"/>
            </w:tcBorders>
            <w:vAlign w:val="center"/>
          </w:tcPr>
          <w:p w14:paraId="7D04A05E">
            <w:pPr>
              <w:widowControl/>
              <w:snapToGrid w:val="0"/>
              <w:jc w:val="center"/>
              <w:rPr>
                <w:color w:val="auto"/>
                <w:kern w:val="0"/>
                <w:szCs w:val="21"/>
                <w:u w:val="single"/>
              </w:rPr>
            </w:pPr>
            <w:r>
              <w:rPr>
                <w:color w:val="auto"/>
                <w:kern w:val="0"/>
                <w:szCs w:val="21"/>
                <w:u w:val="single"/>
              </w:rPr>
              <w:t>植被覆盖度、生产力、生物量、生态系统功能等</w:t>
            </w:r>
          </w:p>
        </w:tc>
        <w:tc>
          <w:tcPr>
            <w:tcW w:w="3664" w:type="dxa"/>
            <w:tcBorders>
              <w:tl2br w:val="nil"/>
              <w:tr2bl w:val="nil"/>
            </w:tcBorders>
            <w:vAlign w:val="center"/>
          </w:tcPr>
          <w:p w14:paraId="3589323B">
            <w:pPr>
              <w:widowControl/>
              <w:snapToGrid w:val="0"/>
              <w:jc w:val="center"/>
              <w:rPr>
                <w:color w:val="auto"/>
                <w:kern w:val="0"/>
                <w:szCs w:val="21"/>
                <w:u w:val="single"/>
              </w:rPr>
            </w:pPr>
            <w:r>
              <w:rPr>
                <w:color w:val="auto"/>
                <w:kern w:val="0"/>
                <w:szCs w:val="21"/>
                <w:u w:val="single"/>
              </w:rPr>
              <w:t>工程临时占地造成植被损失，引起局部区域植被覆盖度、生产力、生物量的降低，施工干扰驱使野生动物迁移等，可能引起生态系统功能的减弱；</w:t>
            </w:r>
          </w:p>
        </w:tc>
        <w:tc>
          <w:tcPr>
            <w:tcW w:w="993" w:type="dxa"/>
            <w:tcBorders>
              <w:tl2br w:val="nil"/>
              <w:tr2bl w:val="nil"/>
            </w:tcBorders>
            <w:vAlign w:val="center"/>
          </w:tcPr>
          <w:p w14:paraId="6B58D37A">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49B5EB8D">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631A605B">
            <w:pPr>
              <w:widowControl/>
              <w:snapToGrid w:val="0"/>
              <w:jc w:val="center"/>
              <w:rPr>
                <w:color w:val="auto"/>
                <w:kern w:val="0"/>
                <w:szCs w:val="21"/>
                <w:u w:val="single"/>
              </w:rPr>
            </w:pPr>
            <w:r>
              <w:rPr>
                <w:color w:val="auto"/>
                <w:kern w:val="0"/>
                <w:szCs w:val="21"/>
                <w:u w:val="single"/>
              </w:rPr>
              <w:t>弱</w:t>
            </w:r>
          </w:p>
        </w:tc>
      </w:tr>
      <w:tr w14:paraId="59729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4B0DD240">
            <w:pPr>
              <w:widowControl/>
              <w:snapToGrid w:val="0"/>
              <w:jc w:val="center"/>
              <w:rPr>
                <w:color w:val="auto"/>
                <w:kern w:val="0"/>
                <w:szCs w:val="21"/>
                <w:u w:val="single"/>
              </w:rPr>
            </w:pPr>
          </w:p>
        </w:tc>
        <w:tc>
          <w:tcPr>
            <w:tcW w:w="506" w:type="dxa"/>
            <w:tcBorders>
              <w:tl2br w:val="nil"/>
              <w:tr2bl w:val="nil"/>
            </w:tcBorders>
            <w:vAlign w:val="center"/>
          </w:tcPr>
          <w:p w14:paraId="6C47CEF1">
            <w:pPr>
              <w:widowControl/>
              <w:snapToGrid w:val="0"/>
              <w:jc w:val="center"/>
              <w:rPr>
                <w:color w:val="auto"/>
                <w:kern w:val="0"/>
                <w:szCs w:val="21"/>
                <w:u w:val="single"/>
              </w:rPr>
            </w:pPr>
            <w:r>
              <w:rPr>
                <w:color w:val="auto"/>
                <w:kern w:val="0"/>
                <w:szCs w:val="21"/>
                <w:u w:val="single"/>
              </w:rPr>
              <w:t>生物多样性</w:t>
            </w:r>
          </w:p>
        </w:tc>
        <w:tc>
          <w:tcPr>
            <w:tcW w:w="1095" w:type="dxa"/>
            <w:tcBorders>
              <w:tl2br w:val="nil"/>
              <w:tr2bl w:val="nil"/>
            </w:tcBorders>
            <w:vAlign w:val="center"/>
          </w:tcPr>
          <w:p w14:paraId="19DAF0C2">
            <w:pPr>
              <w:widowControl/>
              <w:snapToGrid w:val="0"/>
              <w:jc w:val="center"/>
              <w:rPr>
                <w:color w:val="auto"/>
                <w:kern w:val="0"/>
                <w:szCs w:val="21"/>
                <w:u w:val="single"/>
              </w:rPr>
            </w:pPr>
            <w:r>
              <w:rPr>
                <w:color w:val="auto"/>
                <w:kern w:val="0"/>
                <w:szCs w:val="21"/>
                <w:u w:val="single"/>
              </w:rPr>
              <w:t>物种丰富度、均匀度、优势度等</w:t>
            </w:r>
          </w:p>
        </w:tc>
        <w:tc>
          <w:tcPr>
            <w:tcW w:w="3664" w:type="dxa"/>
            <w:tcBorders>
              <w:tl2br w:val="nil"/>
              <w:tr2bl w:val="nil"/>
            </w:tcBorders>
            <w:vAlign w:val="center"/>
          </w:tcPr>
          <w:p w14:paraId="7F530A08">
            <w:pPr>
              <w:widowControl/>
              <w:snapToGrid w:val="0"/>
              <w:jc w:val="center"/>
              <w:rPr>
                <w:color w:val="auto"/>
                <w:kern w:val="0"/>
                <w:szCs w:val="21"/>
                <w:u w:val="single"/>
              </w:rPr>
            </w:pPr>
            <w:r>
              <w:rPr>
                <w:color w:val="auto"/>
                <w:kern w:val="0"/>
                <w:szCs w:val="21"/>
                <w:u w:val="single"/>
              </w:rPr>
              <w:t>工程临时占地引起局部植被损失，造成植物物种个体和种群数量的减少；施工干扰驱使野生动物迁移，可能会使动物分布发生改变，使动物个体、种群数量减少，可能对局部区域生物多样性造成影响；施工人为活动增加外来入侵植物入侵风险，减少本土物种多样性；</w:t>
            </w:r>
          </w:p>
        </w:tc>
        <w:tc>
          <w:tcPr>
            <w:tcW w:w="993" w:type="dxa"/>
            <w:tcBorders>
              <w:tl2br w:val="nil"/>
              <w:tr2bl w:val="nil"/>
            </w:tcBorders>
            <w:vAlign w:val="center"/>
          </w:tcPr>
          <w:p w14:paraId="2FB4C0A8">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444FA84D">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3EF85F73">
            <w:pPr>
              <w:widowControl/>
              <w:snapToGrid w:val="0"/>
              <w:jc w:val="center"/>
              <w:rPr>
                <w:color w:val="auto"/>
                <w:kern w:val="0"/>
                <w:szCs w:val="21"/>
                <w:u w:val="single"/>
              </w:rPr>
            </w:pPr>
            <w:r>
              <w:rPr>
                <w:color w:val="auto"/>
                <w:kern w:val="0"/>
                <w:szCs w:val="21"/>
                <w:u w:val="single"/>
              </w:rPr>
              <w:t>弱</w:t>
            </w:r>
          </w:p>
        </w:tc>
      </w:tr>
      <w:tr w14:paraId="1EB3A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1B47833B">
            <w:pPr>
              <w:widowControl/>
              <w:snapToGrid w:val="0"/>
              <w:jc w:val="center"/>
              <w:rPr>
                <w:color w:val="auto"/>
                <w:kern w:val="0"/>
                <w:szCs w:val="21"/>
                <w:u w:val="single"/>
              </w:rPr>
            </w:pPr>
          </w:p>
        </w:tc>
        <w:tc>
          <w:tcPr>
            <w:tcW w:w="506" w:type="dxa"/>
            <w:tcBorders>
              <w:tl2br w:val="nil"/>
              <w:tr2bl w:val="nil"/>
            </w:tcBorders>
            <w:vAlign w:val="center"/>
          </w:tcPr>
          <w:p w14:paraId="21822535">
            <w:pPr>
              <w:widowControl/>
              <w:snapToGrid w:val="0"/>
              <w:jc w:val="center"/>
              <w:rPr>
                <w:color w:val="auto"/>
                <w:kern w:val="0"/>
                <w:szCs w:val="21"/>
                <w:u w:val="single"/>
              </w:rPr>
            </w:pPr>
            <w:r>
              <w:rPr>
                <w:color w:val="auto"/>
                <w:kern w:val="0"/>
                <w:szCs w:val="21"/>
                <w:u w:val="single"/>
              </w:rPr>
              <w:t>生态敏感区</w:t>
            </w:r>
          </w:p>
        </w:tc>
        <w:tc>
          <w:tcPr>
            <w:tcW w:w="1095" w:type="dxa"/>
            <w:tcBorders>
              <w:tl2br w:val="nil"/>
              <w:tr2bl w:val="nil"/>
            </w:tcBorders>
            <w:vAlign w:val="center"/>
          </w:tcPr>
          <w:p w14:paraId="18DA33A1">
            <w:pPr>
              <w:widowControl/>
              <w:snapToGrid w:val="0"/>
              <w:jc w:val="center"/>
              <w:rPr>
                <w:color w:val="auto"/>
                <w:kern w:val="0"/>
                <w:szCs w:val="21"/>
                <w:u w:val="single"/>
              </w:rPr>
            </w:pPr>
            <w:r>
              <w:rPr>
                <w:color w:val="auto"/>
                <w:kern w:val="0"/>
                <w:szCs w:val="21"/>
                <w:u w:val="single"/>
              </w:rPr>
              <w:t>主要保护对象、生态功能等</w:t>
            </w:r>
          </w:p>
        </w:tc>
        <w:tc>
          <w:tcPr>
            <w:tcW w:w="3664" w:type="dxa"/>
            <w:tcBorders>
              <w:tl2br w:val="nil"/>
              <w:tr2bl w:val="nil"/>
            </w:tcBorders>
            <w:vAlign w:val="center"/>
          </w:tcPr>
          <w:p w14:paraId="05FB6502">
            <w:pPr>
              <w:widowControl/>
              <w:snapToGrid w:val="0"/>
              <w:jc w:val="center"/>
              <w:rPr>
                <w:color w:val="auto"/>
                <w:kern w:val="0"/>
                <w:szCs w:val="21"/>
                <w:u w:val="single"/>
              </w:rPr>
            </w:pPr>
            <w:r>
              <w:rPr>
                <w:color w:val="auto"/>
                <w:kern w:val="0"/>
                <w:szCs w:val="21"/>
                <w:u w:val="single"/>
              </w:rPr>
              <w:t>工程施工活动、噪声等会破坏保护对象的生境，会驱使主要保护对象往其他相似类型生境迁移；工程临时占地会破坏敏感区内植被，造成生物量及生产力的损失；</w:t>
            </w:r>
          </w:p>
        </w:tc>
        <w:tc>
          <w:tcPr>
            <w:tcW w:w="993" w:type="dxa"/>
            <w:tcBorders>
              <w:tl2br w:val="nil"/>
              <w:tr2bl w:val="nil"/>
            </w:tcBorders>
            <w:vAlign w:val="center"/>
          </w:tcPr>
          <w:p w14:paraId="185EB613">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047BC129">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1AADF599">
            <w:pPr>
              <w:widowControl/>
              <w:snapToGrid w:val="0"/>
              <w:jc w:val="center"/>
              <w:rPr>
                <w:color w:val="auto"/>
                <w:kern w:val="0"/>
                <w:szCs w:val="21"/>
                <w:u w:val="single"/>
              </w:rPr>
            </w:pPr>
            <w:r>
              <w:rPr>
                <w:color w:val="auto"/>
                <w:kern w:val="0"/>
                <w:szCs w:val="21"/>
                <w:u w:val="single"/>
              </w:rPr>
              <w:t>弱</w:t>
            </w:r>
          </w:p>
        </w:tc>
      </w:tr>
      <w:tr w14:paraId="72AF0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6E459522">
            <w:pPr>
              <w:widowControl/>
              <w:snapToGrid w:val="0"/>
              <w:jc w:val="center"/>
              <w:rPr>
                <w:color w:val="auto"/>
                <w:kern w:val="0"/>
                <w:szCs w:val="21"/>
                <w:u w:val="single"/>
              </w:rPr>
            </w:pPr>
          </w:p>
        </w:tc>
        <w:tc>
          <w:tcPr>
            <w:tcW w:w="506" w:type="dxa"/>
            <w:tcBorders>
              <w:tl2br w:val="nil"/>
              <w:tr2bl w:val="nil"/>
            </w:tcBorders>
            <w:vAlign w:val="center"/>
          </w:tcPr>
          <w:p w14:paraId="7E772F0F">
            <w:pPr>
              <w:widowControl/>
              <w:snapToGrid w:val="0"/>
              <w:jc w:val="center"/>
              <w:rPr>
                <w:color w:val="auto"/>
                <w:kern w:val="0"/>
                <w:szCs w:val="21"/>
                <w:u w:val="single"/>
              </w:rPr>
            </w:pPr>
            <w:r>
              <w:rPr>
                <w:color w:val="auto"/>
                <w:kern w:val="0"/>
                <w:szCs w:val="21"/>
                <w:u w:val="single"/>
              </w:rPr>
              <w:t>自然景观</w:t>
            </w:r>
          </w:p>
        </w:tc>
        <w:tc>
          <w:tcPr>
            <w:tcW w:w="1095" w:type="dxa"/>
            <w:tcBorders>
              <w:tl2br w:val="nil"/>
              <w:tr2bl w:val="nil"/>
            </w:tcBorders>
            <w:vAlign w:val="center"/>
          </w:tcPr>
          <w:p w14:paraId="3D556070">
            <w:pPr>
              <w:widowControl/>
              <w:snapToGrid w:val="0"/>
              <w:jc w:val="center"/>
              <w:rPr>
                <w:color w:val="auto"/>
                <w:kern w:val="0"/>
                <w:szCs w:val="21"/>
                <w:u w:val="single"/>
              </w:rPr>
            </w:pPr>
            <w:r>
              <w:rPr>
                <w:color w:val="auto"/>
                <w:kern w:val="0"/>
                <w:szCs w:val="21"/>
                <w:u w:val="single"/>
              </w:rPr>
              <w:t>景观多样性、完整性</w:t>
            </w:r>
          </w:p>
        </w:tc>
        <w:tc>
          <w:tcPr>
            <w:tcW w:w="3664" w:type="dxa"/>
            <w:tcBorders>
              <w:tl2br w:val="nil"/>
              <w:tr2bl w:val="nil"/>
            </w:tcBorders>
            <w:vAlign w:val="center"/>
          </w:tcPr>
          <w:p w14:paraId="0F618A9F">
            <w:pPr>
              <w:widowControl/>
              <w:snapToGrid w:val="0"/>
              <w:jc w:val="center"/>
              <w:rPr>
                <w:color w:val="auto"/>
                <w:kern w:val="0"/>
                <w:szCs w:val="21"/>
                <w:u w:val="single"/>
              </w:rPr>
            </w:pPr>
            <w:r>
              <w:rPr>
                <w:color w:val="auto"/>
                <w:kern w:val="0"/>
                <w:szCs w:val="21"/>
                <w:u w:val="single"/>
              </w:rPr>
              <w:t>工程施工局部破坏地表植被、地貌破坏，易造成施工扬尘、水土流失等视觉污染，对局部区域景观造成影响；</w:t>
            </w:r>
          </w:p>
        </w:tc>
        <w:tc>
          <w:tcPr>
            <w:tcW w:w="993" w:type="dxa"/>
            <w:tcBorders>
              <w:tl2br w:val="nil"/>
              <w:tr2bl w:val="nil"/>
            </w:tcBorders>
            <w:vAlign w:val="center"/>
          </w:tcPr>
          <w:p w14:paraId="2C0FB8C0">
            <w:pPr>
              <w:widowControl/>
              <w:snapToGrid w:val="0"/>
              <w:jc w:val="center"/>
              <w:rPr>
                <w:color w:val="auto"/>
                <w:kern w:val="0"/>
                <w:szCs w:val="21"/>
                <w:u w:val="single"/>
              </w:rPr>
            </w:pPr>
            <w:r>
              <w:rPr>
                <w:color w:val="auto"/>
                <w:kern w:val="0"/>
                <w:szCs w:val="21"/>
                <w:u w:val="single"/>
              </w:rPr>
              <w:t>直接影响</w:t>
            </w:r>
          </w:p>
        </w:tc>
        <w:tc>
          <w:tcPr>
            <w:tcW w:w="1190" w:type="dxa"/>
            <w:tcBorders>
              <w:tl2br w:val="nil"/>
              <w:tr2bl w:val="nil"/>
            </w:tcBorders>
            <w:vAlign w:val="center"/>
          </w:tcPr>
          <w:p w14:paraId="722F600F">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1E851623">
            <w:pPr>
              <w:widowControl/>
              <w:snapToGrid w:val="0"/>
              <w:jc w:val="center"/>
              <w:rPr>
                <w:color w:val="auto"/>
                <w:kern w:val="0"/>
                <w:szCs w:val="21"/>
                <w:u w:val="single"/>
              </w:rPr>
            </w:pPr>
            <w:r>
              <w:rPr>
                <w:color w:val="auto"/>
                <w:kern w:val="0"/>
                <w:szCs w:val="21"/>
                <w:u w:val="single"/>
              </w:rPr>
              <w:t>弱</w:t>
            </w:r>
          </w:p>
        </w:tc>
      </w:tr>
      <w:tr w14:paraId="14760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restart"/>
            <w:tcBorders>
              <w:tl2br w:val="nil"/>
              <w:tr2bl w:val="nil"/>
            </w:tcBorders>
            <w:vAlign w:val="center"/>
          </w:tcPr>
          <w:p w14:paraId="406329E2">
            <w:pPr>
              <w:widowControl/>
              <w:snapToGrid w:val="0"/>
              <w:jc w:val="center"/>
              <w:rPr>
                <w:color w:val="auto"/>
                <w:kern w:val="0"/>
                <w:szCs w:val="21"/>
                <w:u w:val="single"/>
              </w:rPr>
            </w:pPr>
            <w:r>
              <w:rPr>
                <w:color w:val="auto"/>
                <w:kern w:val="0"/>
                <w:szCs w:val="21"/>
                <w:u w:val="single"/>
              </w:rPr>
              <w:t>运营期</w:t>
            </w:r>
          </w:p>
        </w:tc>
        <w:tc>
          <w:tcPr>
            <w:tcW w:w="506" w:type="dxa"/>
            <w:tcBorders>
              <w:tl2br w:val="nil"/>
              <w:tr2bl w:val="nil"/>
            </w:tcBorders>
            <w:vAlign w:val="center"/>
          </w:tcPr>
          <w:p w14:paraId="374A8843">
            <w:pPr>
              <w:widowControl/>
              <w:snapToGrid w:val="0"/>
              <w:jc w:val="center"/>
              <w:rPr>
                <w:color w:val="auto"/>
                <w:kern w:val="0"/>
                <w:szCs w:val="21"/>
                <w:u w:val="single"/>
              </w:rPr>
            </w:pPr>
            <w:r>
              <w:rPr>
                <w:color w:val="auto"/>
                <w:kern w:val="0"/>
                <w:szCs w:val="21"/>
                <w:u w:val="single"/>
              </w:rPr>
              <w:t>物种</w:t>
            </w:r>
          </w:p>
        </w:tc>
        <w:tc>
          <w:tcPr>
            <w:tcW w:w="1095" w:type="dxa"/>
            <w:tcBorders>
              <w:tl2br w:val="nil"/>
              <w:tr2bl w:val="nil"/>
            </w:tcBorders>
            <w:vAlign w:val="center"/>
          </w:tcPr>
          <w:p w14:paraId="415A3EEB">
            <w:pPr>
              <w:widowControl/>
              <w:snapToGrid w:val="0"/>
              <w:jc w:val="center"/>
              <w:rPr>
                <w:color w:val="auto"/>
                <w:kern w:val="0"/>
                <w:szCs w:val="21"/>
                <w:u w:val="single"/>
              </w:rPr>
            </w:pPr>
            <w:r>
              <w:rPr>
                <w:color w:val="auto"/>
                <w:kern w:val="0"/>
                <w:szCs w:val="21"/>
                <w:u w:val="single"/>
              </w:rPr>
              <w:t>分布范围、种群数量、种群结构、行为等</w:t>
            </w:r>
          </w:p>
        </w:tc>
        <w:tc>
          <w:tcPr>
            <w:tcW w:w="3664" w:type="dxa"/>
            <w:tcBorders>
              <w:tl2br w:val="nil"/>
              <w:tr2bl w:val="nil"/>
            </w:tcBorders>
            <w:vAlign w:val="center"/>
          </w:tcPr>
          <w:p w14:paraId="3E2C8946">
            <w:pPr>
              <w:widowControl/>
              <w:snapToGrid w:val="0"/>
              <w:jc w:val="center"/>
              <w:rPr>
                <w:color w:val="auto"/>
                <w:kern w:val="0"/>
                <w:szCs w:val="21"/>
                <w:u w:val="single"/>
              </w:rPr>
            </w:pPr>
            <w:r>
              <w:rPr>
                <w:color w:val="auto"/>
                <w:kern w:val="0"/>
                <w:szCs w:val="21"/>
                <w:u w:val="single"/>
              </w:rPr>
              <w:t>运营期，部分占地区植被得到恢复，但植被恢复也可能使外来物种入侵；大多数的陆生动物长期与人类活动相适应，环境变化对其影响不大；</w:t>
            </w:r>
          </w:p>
        </w:tc>
        <w:tc>
          <w:tcPr>
            <w:tcW w:w="993" w:type="dxa"/>
            <w:tcBorders>
              <w:tl2br w:val="nil"/>
              <w:tr2bl w:val="nil"/>
            </w:tcBorders>
            <w:vAlign w:val="center"/>
          </w:tcPr>
          <w:p w14:paraId="4D9B1C58">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529B349C">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273E19F1">
            <w:pPr>
              <w:widowControl/>
              <w:snapToGrid w:val="0"/>
              <w:jc w:val="center"/>
              <w:rPr>
                <w:color w:val="auto"/>
                <w:kern w:val="0"/>
                <w:szCs w:val="21"/>
                <w:u w:val="single"/>
              </w:rPr>
            </w:pPr>
            <w:r>
              <w:rPr>
                <w:color w:val="auto"/>
                <w:kern w:val="0"/>
                <w:szCs w:val="21"/>
                <w:u w:val="single"/>
              </w:rPr>
              <w:t>弱</w:t>
            </w:r>
          </w:p>
        </w:tc>
      </w:tr>
      <w:tr w14:paraId="0E5E9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0E16FD67">
            <w:pPr>
              <w:widowControl/>
              <w:snapToGrid w:val="0"/>
              <w:jc w:val="center"/>
              <w:rPr>
                <w:color w:val="auto"/>
                <w:kern w:val="0"/>
                <w:szCs w:val="21"/>
                <w:u w:val="single"/>
              </w:rPr>
            </w:pPr>
          </w:p>
        </w:tc>
        <w:tc>
          <w:tcPr>
            <w:tcW w:w="506" w:type="dxa"/>
            <w:tcBorders>
              <w:tl2br w:val="nil"/>
              <w:tr2bl w:val="nil"/>
            </w:tcBorders>
            <w:vAlign w:val="center"/>
          </w:tcPr>
          <w:p w14:paraId="23040FCB">
            <w:pPr>
              <w:widowControl/>
              <w:snapToGrid w:val="0"/>
              <w:jc w:val="center"/>
              <w:rPr>
                <w:color w:val="auto"/>
                <w:kern w:val="0"/>
                <w:szCs w:val="21"/>
                <w:u w:val="single"/>
              </w:rPr>
            </w:pPr>
            <w:r>
              <w:rPr>
                <w:color w:val="auto"/>
                <w:kern w:val="0"/>
                <w:szCs w:val="21"/>
                <w:u w:val="single"/>
              </w:rPr>
              <w:t>生境</w:t>
            </w:r>
          </w:p>
        </w:tc>
        <w:tc>
          <w:tcPr>
            <w:tcW w:w="1095" w:type="dxa"/>
            <w:tcBorders>
              <w:tl2br w:val="nil"/>
              <w:tr2bl w:val="nil"/>
            </w:tcBorders>
            <w:vAlign w:val="center"/>
          </w:tcPr>
          <w:p w14:paraId="6DDE9B23">
            <w:pPr>
              <w:widowControl/>
              <w:snapToGrid w:val="0"/>
              <w:jc w:val="center"/>
              <w:rPr>
                <w:color w:val="auto"/>
                <w:kern w:val="0"/>
                <w:szCs w:val="21"/>
                <w:u w:val="single"/>
              </w:rPr>
            </w:pPr>
            <w:r>
              <w:rPr>
                <w:color w:val="auto"/>
                <w:kern w:val="0"/>
                <w:szCs w:val="21"/>
                <w:u w:val="single"/>
              </w:rPr>
              <w:t>面积、质量、连通性等</w:t>
            </w:r>
          </w:p>
        </w:tc>
        <w:tc>
          <w:tcPr>
            <w:tcW w:w="3664" w:type="dxa"/>
            <w:tcBorders>
              <w:tl2br w:val="nil"/>
              <w:tr2bl w:val="nil"/>
            </w:tcBorders>
            <w:vAlign w:val="center"/>
          </w:tcPr>
          <w:p w14:paraId="0FF276FE">
            <w:pPr>
              <w:widowControl/>
              <w:snapToGrid w:val="0"/>
              <w:jc w:val="center"/>
              <w:rPr>
                <w:color w:val="auto"/>
                <w:kern w:val="0"/>
                <w:szCs w:val="21"/>
                <w:u w:val="single"/>
              </w:rPr>
            </w:pPr>
            <w:r>
              <w:rPr>
                <w:color w:val="auto"/>
                <w:kern w:val="0"/>
                <w:szCs w:val="21"/>
                <w:u w:val="single"/>
              </w:rPr>
              <w:t>运营期养殖区域会对部分动物进行阻隔，但养殖区域均为原有鱼塘上升级改造，因此对动物的连通性影响较小；</w:t>
            </w:r>
          </w:p>
        </w:tc>
        <w:tc>
          <w:tcPr>
            <w:tcW w:w="993" w:type="dxa"/>
            <w:tcBorders>
              <w:tl2br w:val="nil"/>
              <w:tr2bl w:val="nil"/>
            </w:tcBorders>
            <w:vAlign w:val="center"/>
          </w:tcPr>
          <w:p w14:paraId="63CBA9B1">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1739C6B7">
            <w:pPr>
              <w:widowControl/>
              <w:snapToGrid w:val="0"/>
              <w:jc w:val="center"/>
              <w:rPr>
                <w:color w:val="auto"/>
                <w:kern w:val="0"/>
                <w:szCs w:val="21"/>
                <w:u w:val="single"/>
              </w:rPr>
            </w:pPr>
            <w:r>
              <w:rPr>
                <w:color w:val="auto"/>
                <w:kern w:val="0"/>
                <w:szCs w:val="21"/>
                <w:u w:val="single"/>
              </w:rPr>
              <w:t>长期、不可逆</w:t>
            </w:r>
          </w:p>
        </w:tc>
        <w:tc>
          <w:tcPr>
            <w:tcW w:w="559" w:type="dxa"/>
            <w:tcBorders>
              <w:tl2br w:val="nil"/>
              <w:tr2bl w:val="nil"/>
            </w:tcBorders>
            <w:vAlign w:val="center"/>
          </w:tcPr>
          <w:p w14:paraId="1E892509">
            <w:pPr>
              <w:widowControl/>
              <w:snapToGrid w:val="0"/>
              <w:jc w:val="center"/>
              <w:rPr>
                <w:color w:val="auto"/>
                <w:kern w:val="0"/>
                <w:szCs w:val="21"/>
                <w:u w:val="single"/>
              </w:rPr>
            </w:pPr>
            <w:r>
              <w:rPr>
                <w:color w:val="auto"/>
                <w:kern w:val="0"/>
                <w:szCs w:val="21"/>
                <w:u w:val="single"/>
              </w:rPr>
              <w:t>弱</w:t>
            </w:r>
          </w:p>
        </w:tc>
      </w:tr>
      <w:tr w14:paraId="40AD7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5E40C98F">
            <w:pPr>
              <w:widowControl/>
              <w:snapToGrid w:val="0"/>
              <w:jc w:val="center"/>
              <w:rPr>
                <w:color w:val="auto"/>
                <w:kern w:val="0"/>
                <w:szCs w:val="21"/>
                <w:u w:val="single"/>
              </w:rPr>
            </w:pPr>
          </w:p>
        </w:tc>
        <w:tc>
          <w:tcPr>
            <w:tcW w:w="506" w:type="dxa"/>
            <w:tcBorders>
              <w:tl2br w:val="nil"/>
              <w:tr2bl w:val="nil"/>
            </w:tcBorders>
            <w:vAlign w:val="center"/>
          </w:tcPr>
          <w:p w14:paraId="768167D6">
            <w:pPr>
              <w:widowControl/>
              <w:snapToGrid w:val="0"/>
              <w:jc w:val="center"/>
              <w:rPr>
                <w:color w:val="auto"/>
                <w:kern w:val="0"/>
                <w:szCs w:val="21"/>
                <w:u w:val="single"/>
              </w:rPr>
            </w:pPr>
            <w:r>
              <w:rPr>
                <w:color w:val="auto"/>
                <w:kern w:val="0"/>
                <w:szCs w:val="21"/>
                <w:u w:val="single"/>
              </w:rPr>
              <w:t>生物群落</w:t>
            </w:r>
          </w:p>
        </w:tc>
        <w:tc>
          <w:tcPr>
            <w:tcW w:w="1095" w:type="dxa"/>
            <w:tcBorders>
              <w:tl2br w:val="nil"/>
              <w:tr2bl w:val="nil"/>
            </w:tcBorders>
            <w:vAlign w:val="center"/>
          </w:tcPr>
          <w:p w14:paraId="5D79645E">
            <w:pPr>
              <w:widowControl/>
              <w:snapToGrid w:val="0"/>
              <w:jc w:val="center"/>
              <w:rPr>
                <w:color w:val="auto"/>
                <w:kern w:val="0"/>
                <w:szCs w:val="21"/>
                <w:u w:val="single"/>
              </w:rPr>
            </w:pPr>
            <w:r>
              <w:rPr>
                <w:color w:val="auto"/>
                <w:kern w:val="0"/>
                <w:szCs w:val="21"/>
                <w:u w:val="single"/>
              </w:rPr>
              <w:t>物种组成、群落结构</w:t>
            </w:r>
          </w:p>
        </w:tc>
        <w:tc>
          <w:tcPr>
            <w:tcW w:w="3664" w:type="dxa"/>
            <w:tcBorders>
              <w:tl2br w:val="nil"/>
              <w:tr2bl w:val="nil"/>
            </w:tcBorders>
            <w:vAlign w:val="center"/>
          </w:tcPr>
          <w:p w14:paraId="150C4C15">
            <w:pPr>
              <w:widowControl/>
              <w:snapToGrid w:val="0"/>
              <w:jc w:val="center"/>
              <w:rPr>
                <w:color w:val="auto"/>
                <w:kern w:val="0"/>
                <w:szCs w:val="21"/>
                <w:u w:val="single"/>
              </w:rPr>
            </w:pPr>
            <w:r>
              <w:rPr>
                <w:color w:val="auto"/>
                <w:kern w:val="0"/>
                <w:szCs w:val="21"/>
                <w:u w:val="single"/>
              </w:rPr>
              <w:t>运营期，因临时占地而消失的植物个体将会逐渐通过自然更新的方式或人工种植的方式逐渐恢复；部分野生动物会返迁回原分布地，但由于工程建设导致原有各类栖息地面积减小，会对动植物群落造成一定影响；</w:t>
            </w:r>
          </w:p>
        </w:tc>
        <w:tc>
          <w:tcPr>
            <w:tcW w:w="993" w:type="dxa"/>
            <w:tcBorders>
              <w:tl2br w:val="nil"/>
              <w:tr2bl w:val="nil"/>
            </w:tcBorders>
            <w:vAlign w:val="center"/>
          </w:tcPr>
          <w:p w14:paraId="13CF849E">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1B1F63B6">
            <w:pPr>
              <w:widowControl/>
              <w:snapToGrid w:val="0"/>
              <w:jc w:val="center"/>
              <w:rPr>
                <w:color w:val="auto"/>
                <w:kern w:val="0"/>
                <w:szCs w:val="21"/>
                <w:u w:val="single"/>
              </w:rPr>
            </w:pPr>
            <w:r>
              <w:rPr>
                <w:color w:val="auto"/>
                <w:kern w:val="0"/>
                <w:szCs w:val="21"/>
                <w:u w:val="single"/>
              </w:rPr>
              <w:t>长期、不可逆</w:t>
            </w:r>
          </w:p>
        </w:tc>
        <w:tc>
          <w:tcPr>
            <w:tcW w:w="559" w:type="dxa"/>
            <w:tcBorders>
              <w:tl2br w:val="nil"/>
              <w:tr2bl w:val="nil"/>
            </w:tcBorders>
            <w:vAlign w:val="center"/>
          </w:tcPr>
          <w:p w14:paraId="1E410D71">
            <w:pPr>
              <w:widowControl/>
              <w:snapToGrid w:val="0"/>
              <w:jc w:val="center"/>
              <w:rPr>
                <w:color w:val="auto"/>
                <w:kern w:val="0"/>
                <w:szCs w:val="21"/>
                <w:u w:val="single"/>
              </w:rPr>
            </w:pPr>
            <w:r>
              <w:rPr>
                <w:color w:val="auto"/>
                <w:kern w:val="0"/>
                <w:szCs w:val="21"/>
                <w:u w:val="single"/>
              </w:rPr>
              <w:t>弱</w:t>
            </w:r>
          </w:p>
        </w:tc>
      </w:tr>
      <w:tr w14:paraId="10C49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59BEEC1F">
            <w:pPr>
              <w:widowControl/>
              <w:snapToGrid w:val="0"/>
              <w:jc w:val="center"/>
              <w:rPr>
                <w:color w:val="auto"/>
                <w:kern w:val="0"/>
                <w:szCs w:val="21"/>
                <w:u w:val="single"/>
              </w:rPr>
            </w:pPr>
          </w:p>
        </w:tc>
        <w:tc>
          <w:tcPr>
            <w:tcW w:w="506" w:type="dxa"/>
            <w:tcBorders>
              <w:tl2br w:val="nil"/>
              <w:tr2bl w:val="nil"/>
            </w:tcBorders>
            <w:vAlign w:val="center"/>
          </w:tcPr>
          <w:p w14:paraId="0C754CA3">
            <w:pPr>
              <w:widowControl/>
              <w:snapToGrid w:val="0"/>
              <w:jc w:val="center"/>
              <w:rPr>
                <w:color w:val="auto"/>
                <w:kern w:val="0"/>
                <w:szCs w:val="21"/>
                <w:u w:val="single"/>
              </w:rPr>
            </w:pPr>
            <w:r>
              <w:rPr>
                <w:color w:val="auto"/>
                <w:kern w:val="0"/>
                <w:szCs w:val="21"/>
                <w:u w:val="single"/>
              </w:rPr>
              <w:t>生态系统</w:t>
            </w:r>
          </w:p>
        </w:tc>
        <w:tc>
          <w:tcPr>
            <w:tcW w:w="1095" w:type="dxa"/>
            <w:tcBorders>
              <w:tl2br w:val="nil"/>
              <w:tr2bl w:val="nil"/>
            </w:tcBorders>
            <w:vAlign w:val="center"/>
          </w:tcPr>
          <w:p w14:paraId="0B09C7DC">
            <w:pPr>
              <w:widowControl/>
              <w:snapToGrid w:val="0"/>
              <w:jc w:val="center"/>
              <w:rPr>
                <w:color w:val="auto"/>
                <w:kern w:val="0"/>
                <w:szCs w:val="21"/>
                <w:u w:val="single"/>
              </w:rPr>
            </w:pPr>
            <w:r>
              <w:rPr>
                <w:color w:val="auto"/>
                <w:kern w:val="0"/>
                <w:szCs w:val="21"/>
                <w:u w:val="single"/>
              </w:rPr>
              <w:t>植被覆盖度、生产力、生物量、生态系统功能等</w:t>
            </w:r>
          </w:p>
        </w:tc>
        <w:tc>
          <w:tcPr>
            <w:tcW w:w="3664" w:type="dxa"/>
            <w:tcBorders>
              <w:tl2br w:val="nil"/>
              <w:tr2bl w:val="nil"/>
            </w:tcBorders>
            <w:vAlign w:val="center"/>
          </w:tcPr>
          <w:p w14:paraId="1144F0B5">
            <w:pPr>
              <w:widowControl/>
              <w:snapToGrid w:val="0"/>
              <w:jc w:val="center"/>
              <w:rPr>
                <w:color w:val="auto"/>
                <w:kern w:val="0"/>
                <w:szCs w:val="21"/>
                <w:u w:val="single"/>
              </w:rPr>
            </w:pPr>
            <w:r>
              <w:rPr>
                <w:color w:val="auto"/>
                <w:kern w:val="0"/>
                <w:szCs w:val="21"/>
                <w:u w:val="single"/>
              </w:rPr>
              <w:t>施工结果后，通过植被绿化、生境营造等恢复措施，动物栖息地减少、植被破坏等影响逐渐减弱，项目运营对生态系统功能的影响较小。</w:t>
            </w:r>
          </w:p>
        </w:tc>
        <w:tc>
          <w:tcPr>
            <w:tcW w:w="993" w:type="dxa"/>
            <w:tcBorders>
              <w:tl2br w:val="nil"/>
              <w:tr2bl w:val="nil"/>
            </w:tcBorders>
            <w:vAlign w:val="center"/>
          </w:tcPr>
          <w:p w14:paraId="1CD3028F">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6615E144">
            <w:pPr>
              <w:widowControl/>
              <w:snapToGrid w:val="0"/>
              <w:jc w:val="center"/>
              <w:rPr>
                <w:color w:val="auto"/>
                <w:kern w:val="0"/>
                <w:szCs w:val="21"/>
                <w:u w:val="single"/>
              </w:rPr>
            </w:pPr>
            <w:r>
              <w:rPr>
                <w:color w:val="auto"/>
                <w:kern w:val="0"/>
                <w:szCs w:val="21"/>
                <w:u w:val="single"/>
              </w:rPr>
              <w:t>短期、可逆</w:t>
            </w:r>
          </w:p>
        </w:tc>
        <w:tc>
          <w:tcPr>
            <w:tcW w:w="559" w:type="dxa"/>
            <w:tcBorders>
              <w:tl2br w:val="nil"/>
              <w:tr2bl w:val="nil"/>
            </w:tcBorders>
            <w:vAlign w:val="center"/>
          </w:tcPr>
          <w:p w14:paraId="706FEC2E">
            <w:pPr>
              <w:widowControl/>
              <w:snapToGrid w:val="0"/>
              <w:jc w:val="center"/>
              <w:rPr>
                <w:color w:val="auto"/>
                <w:kern w:val="0"/>
                <w:szCs w:val="21"/>
                <w:u w:val="single"/>
              </w:rPr>
            </w:pPr>
            <w:r>
              <w:rPr>
                <w:color w:val="auto"/>
                <w:kern w:val="0"/>
                <w:szCs w:val="21"/>
                <w:u w:val="single"/>
              </w:rPr>
              <w:t>弱</w:t>
            </w:r>
          </w:p>
        </w:tc>
      </w:tr>
      <w:tr w14:paraId="6B4F8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601F1C9E">
            <w:pPr>
              <w:widowControl/>
              <w:snapToGrid w:val="0"/>
              <w:jc w:val="center"/>
              <w:rPr>
                <w:color w:val="auto"/>
                <w:kern w:val="0"/>
                <w:szCs w:val="21"/>
                <w:u w:val="single"/>
              </w:rPr>
            </w:pPr>
          </w:p>
        </w:tc>
        <w:tc>
          <w:tcPr>
            <w:tcW w:w="506" w:type="dxa"/>
            <w:tcBorders>
              <w:tl2br w:val="nil"/>
              <w:tr2bl w:val="nil"/>
            </w:tcBorders>
            <w:vAlign w:val="center"/>
          </w:tcPr>
          <w:p w14:paraId="2499CC57">
            <w:pPr>
              <w:widowControl/>
              <w:snapToGrid w:val="0"/>
              <w:jc w:val="center"/>
              <w:rPr>
                <w:color w:val="auto"/>
                <w:kern w:val="0"/>
                <w:szCs w:val="21"/>
                <w:u w:val="single"/>
              </w:rPr>
            </w:pPr>
            <w:r>
              <w:rPr>
                <w:color w:val="auto"/>
                <w:kern w:val="0"/>
                <w:szCs w:val="21"/>
                <w:u w:val="single"/>
              </w:rPr>
              <w:t>生物多样性</w:t>
            </w:r>
          </w:p>
        </w:tc>
        <w:tc>
          <w:tcPr>
            <w:tcW w:w="1095" w:type="dxa"/>
            <w:tcBorders>
              <w:tl2br w:val="nil"/>
              <w:tr2bl w:val="nil"/>
            </w:tcBorders>
            <w:vAlign w:val="center"/>
          </w:tcPr>
          <w:p w14:paraId="3B40F182">
            <w:pPr>
              <w:widowControl/>
              <w:snapToGrid w:val="0"/>
              <w:jc w:val="center"/>
              <w:rPr>
                <w:color w:val="auto"/>
                <w:kern w:val="0"/>
                <w:szCs w:val="21"/>
                <w:u w:val="single"/>
              </w:rPr>
            </w:pPr>
            <w:r>
              <w:rPr>
                <w:color w:val="auto"/>
                <w:kern w:val="0"/>
                <w:szCs w:val="21"/>
                <w:u w:val="single"/>
              </w:rPr>
              <w:t>物种丰富度、均匀度、优势度等</w:t>
            </w:r>
          </w:p>
        </w:tc>
        <w:tc>
          <w:tcPr>
            <w:tcW w:w="3664" w:type="dxa"/>
            <w:tcBorders>
              <w:tl2br w:val="nil"/>
              <w:tr2bl w:val="nil"/>
            </w:tcBorders>
            <w:vAlign w:val="center"/>
          </w:tcPr>
          <w:p w14:paraId="457DE224">
            <w:pPr>
              <w:widowControl/>
              <w:snapToGrid w:val="0"/>
              <w:jc w:val="center"/>
              <w:rPr>
                <w:color w:val="auto"/>
                <w:kern w:val="0"/>
                <w:szCs w:val="21"/>
                <w:u w:val="single"/>
              </w:rPr>
            </w:pPr>
            <w:r>
              <w:rPr>
                <w:color w:val="auto"/>
                <w:kern w:val="0"/>
                <w:szCs w:val="21"/>
                <w:u w:val="single"/>
              </w:rPr>
              <w:t>工程建设导致部分栖息地面积减小，可能会使动物分布发生改变，对生物多样性造成影响；</w:t>
            </w:r>
          </w:p>
        </w:tc>
        <w:tc>
          <w:tcPr>
            <w:tcW w:w="993" w:type="dxa"/>
            <w:tcBorders>
              <w:tl2br w:val="nil"/>
              <w:tr2bl w:val="nil"/>
            </w:tcBorders>
            <w:vAlign w:val="center"/>
          </w:tcPr>
          <w:p w14:paraId="095957B9">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4387031D">
            <w:pPr>
              <w:widowControl/>
              <w:snapToGrid w:val="0"/>
              <w:jc w:val="center"/>
              <w:rPr>
                <w:color w:val="auto"/>
                <w:kern w:val="0"/>
                <w:szCs w:val="21"/>
                <w:u w:val="single"/>
              </w:rPr>
            </w:pPr>
            <w:r>
              <w:rPr>
                <w:color w:val="auto"/>
                <w:kern w:val="0"/>
                <w:szCs w:val="21"/>
                <w:u w:val="single"/>
              </w:rPr>
              <w:t>长期、不可逆</w:t>
            </w:r>
          </w:p>
        </w:tc>
        <w:tc>
          <w:tcPr>
            <w:tcW w:w="559" w:type="dxa"/>
            <w:tcBorders>
              <w:tl2br w:val="nil"/>
              <w:tr2bl w:val="nil"/>
            </w:tcBorders>
            <w:vAlign w:val="center"/>
          </w:tcPr>
          <w:p w14:paraId="2D8F3E23">
            <w:pPr>
              <w:widowControl/>
              <w:snapToGrid w:val="0"/>
              <w:jc w:val="center"/>
              <w:rPr>
                <w:color w:val="auto"/>
                <w:kern w:val="0"/>
                <w:szCs w:val="21"/>
                <w:u w:val="single"/>
              </w:rPr>
            </w:pPr>
            <w:r>
              <w:rPr>
                <w:color w:val="auto"/>
                <w:kern w:val="0"/>
                <w:szCs w:val="21"/>
                <w:u w:val="single"/>
              </w:rPr>
              <w:t>弱</w:t>
            </w:r>
          </w:p>
        </w:tc>
      </w:tr>
      <w:tr w14:paraId="0B5D6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6" w:type="dxa"/>
            <w:vMerge w:val="continue"/>
            <w:tcBorders>
              <w:tl2br w:val="nil"/>
              <w:tr2bl w:val="nil"/>
            </w:tcBorders>
            <w:vAlign w:val="center"/>
          </w:tcPr>
          <w:p w14:paraId="65DEFDA6">
            <w:pPr>
              <w:widowControl/>
              <w:snapToGrid w:val="0"/>
              <w:jc w:val="center"/>
              <w:rPr>
                <w:color w:val="auto"/>
                <w:kern w:val="0"/>
                <w:szCs w:val="21"/>
                <w:u w:val="single"/>
              </w:rPr>
            </w:pPr>
          </w:p>
        </w:tc>
        <w:tc>
          <w:tcPr>
            <w:tcW w:w="506" w:type="dxa"/>
            <w:tcBorders>
              <w:tl2br w:val="nil"/>
              <w:tr2bl w:val="nil"/>
            </w:tcBorders>
            <w:vAlign w:val="center"/>
          </w:tcPr>
          <w:p w14:paraId="36B5AC23">
            <w:pPr>
              <w:widowControl/>
              <w:snapToGrid w:val="0"/>
              <w:jc w:val="center"/>
              <w:rPr>
                <w:color w:val="auto"/>
                <w:kern w:val="0"/>
                <w:szCs w:val="21"/>
                <w:u w:val="single"/>
              </w:rPr>
            </w:pPr>
            <w:r>
              <w:rPr>
                <w:color w:val="auto"/>
                <w:kern w:val="0"/>
                <w:szCs w:val="21"/>
                <w:u w:val="single"/>
              </w:rPr>
              <w:t>生态敏感区</w:t>
            </w:r>
          </w:p>
        </w:tc>
        <w:tc>
          <w:tcPr>
            <w:tcW w:w="1095" w:type="dxa"/>
            <w:tcBorders>
              <w:tl2br w:val="nil"/>
              <w:tr2bl w:val="nil"/>
            </w:tcBorders>
            <w:vAlign w:val="center"/>
          </w:tcPr>
          <w:p w14:paraId="72998497">
            <w:pPr>
              <w:widowControl/>
              <w:snapToGrid w:val="0"/>
              <w:jc w:val="center"/>
              <w:rPr>
                <w:color w:val="auto"/>
                <w:kern w:val="0"/>
                <w:szCs w:val="21"/>
                <w:u w:val="single"/>
              </w:rPr>
            </w:pPr>
            <w:r>
              <w:rPr>
                <w:color w:val="auto"/>
                <w:kern w:val="0"/>
                <w:szCs w:val="21"/>
                <w:u w:val="single"/>
              </w:rPr>
              <w:t>主要保护对象、生态功能等</w:t>
            </w:r>
          </w:p>
        </w:tc>
        <w:tc>
          <w:tcPr>
            <w:tcW w:w="3664" w:type="dxa"/>
            <w:tcBorders>
              <w:tl2br w:val="nil"/>
              <w:tr2bl w:val="nil"/>
            </w:tcBorders>
            <w:vAlign w:val="center"/>
          </w:tcPr>
          <w:p w14:paraId="068098CF">
            <w:pPr>
              <w:widowControl/>
              <w:snapToGrid w:val="0"/>
              <w:jc w:val="center"/>
              <w:rPr>
                <w:color w:val="auto"/>
                <w:kern w:val="0"/>
                <w:szCs w:val="21"/>
                <w:u w:val="single"/>
              </w:rPr>
            </w:pPr>
            <w:r>
              <w:rPr>
                <w:color w:val="auto"/>
                <w:kern w:val="0"/>
                <w:szCs w:val="21"/>
                <w:u w:val="single"/>
              </w:rPr>
              <w:t>项目的实施会破坏保护对象的生境，会驱使主要保护对象往其他相似类型生境迁移；</w:t>
            </w:r>
          </w:p>
        </w:tc>
        <w:tc>
          <w:tcPr>
            <w:tcW w:w="993" w:type="dxa"/>
            <w:tcBorders>
              <w:tl2br w:val="nil"/>
              <w:tr2bl w:val="nil"/>
            </w:tcBorders>
            <w:vAlign w:val="center"/>
          </w:tcPr>
          <w:p w14:paraId="0E72EBBC">
            <w:pPr>
              <w:widowControl/>
              <w:snapToGrid w:val="0"/>
              <w:jc w:val="center"/>
              <w:rPr>
                <w:color w:val="auto"/>
                <w:kern w:val="0"/>
                <w:szCs w:val="21"/>
                <w:u w:val="single"/>
              </w:rPr>
            </w:pPr>
            <w:r>
              <w:rPr>
                <w:color w:val="auto"/>
                <w:kern w:val="0"/>
                <w:szCs w:val="21"/>
                <w:u w:val="single"/>
              </w:rPr>
              <w:t>间接影响</w:t>
            </w:r>
          </w:p>
        </w:tc>
        <w:tc>
          <w:tcPr>
            <w:tcW w:w="1190" w:type="dxa"/>
            <w:tcBorders>
              <w:tl2br w:val="nil"/>
              <w:tr2bl w:val="nil"/>
            </w:tcBorders>
            <w:vAlign w:val="center"/>
          </w:tcPr>
          <w:p w14:paraId="69CA370E">
            <w:pPr>
              <w:widowControl/>
              <w:snapToGrid w:val="0"/>
              <w:jc w:val="center"/>
              <w:rPr>
                <w:color w:val="auto"/>
                <w:kern w:val="0"/>
                <w:szCs w:val="21"/>
                <w:u w:val="single"/>
              </w:rPr>
            </w:pPr>
            <w:r>
              <w:rPr>
                <w:color w:val="auto"/>
                <w:kern w:val="0"/>
                <w:szCs w:val="21"/>
                <w:u w:val="single"/>
              </w:rPr>
              <w:t>长期、不可逆</w:t>
            </w:r>
          </w:p>
        </w:tc>
        <w:tc>
          <w:tcPr>
            <w:tcW w:w="559" w:type="dxa"/>
            <w:tcBorders>
              <w:tl2br w:val="nil"/>
              <w:tr2bl w:val="nil"/>
            </w:tcBorders>
            <w:vAlign w:val="center"/>
          </w:tcPr>
          <w:p w14:paraId="0DAEF0ED">
            <w:pPr>
              <w:widowControl/>
              <w:snapToGrid w:val="0"/>
              <w:jc w:val="center"/>
              <w:rPr>
                <w:color w:val="auto"/>
                <w:kern w:val="0"/>
                <w:szCs w:val="21"/>
                <w:u w:val="single"/>
              </w:rPr>
            </w:pPr>
            <w:r>
              <w:rPr>
                <w:color w:val="auto"/>
                <w:kern w:val="0"/>
                <w:szCs w:val="21"/>
                <w:u w:val="single"/>
              </w:rPr>
              <w:t>弱</w:t>
            </w:r>
          </w:p>
        </w:tc>
      </w:tr>
    </w:tbl>
    <w:p w14:paraId="19A8E096">
      <w:pPr>
        <w:spacing w:line="360" w:lineRule="auto"/>
        <w:ind w:firstLine="480" w:firstLineChars="200"/>
        <w:rPr>
          <w:color w:val="auto"/>
          <w:kern w:val="0"/>
          <w:sz w:val="24"/>
        </w:rPr>
      </w:pPr>
      <w:r>
        <w:rPr>
          <w:color w:val="auto"/>
          <w:kern w:val="0"/>
          <w:sz w:val="24"/>
          <w:u w:val="single"/>
        </w:rPr>
        <w:t>根据上表可知，项目建设对生态的影响是不利、短期、可逆影响。</w:t>
      </w:r>
    </w:p>
    <w:p w14:paraId="7EBC9156">
      <w:pPr>
        <w:pStyle w:val="82"/>
        <w:widowControl w:val="0"/>
        <w:spacing w:line="360" w:lineRule="auto"/>
        <w:outlineLvl w:val="1"/>
        <w:rPr>
          <w:rFonts w:ascii="Times New Roman" w:hAnsi="Times New Roman" w:eastAsia="宋体" w:cs="Times New Roman"/>
          <w:b/>
          <w:color w:val="auto"/>
          <w:sz w:val="30"/>
          <w:szCs w:val="30"/>
        </w:rPr>
      </w:pPr>
      <w:bookmarkStart w:id="158" w:name="_Toc16484"/>
      <w:bookmarkStart w:id="159" w:name="_Toc25305"/>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2评价区占地对生态环境的影响分析</w:t>
      </w:r>
      <w:bookmarkEnd w:id="158"/>
      <w:bookmarkEnd w:id="159"/>
    </w:p>
    <w:p w14:paraId="23208EF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2.1评价区土地利用变化</w:t>
      </w:r>
    </w:p>
    <w:p w14:paraId="3318B9C0">
      <w:pPr>
        <w:spacing w:line="360" w:lineRule="auto"/>
        <w:ind w:firstLine="480" w:firstLineChars="200"/>
        <w:rPr>
          <w:color w:val="auto"/>
          <w:kern w:val="0"/>
          <w:sz w:val="24"/>
        </w:rPr>
      </w:pPr>
      <w:r>
        <w:rPr>
          <w:color w:val="auto"/>
          <w:kern w:val="0"/>
          <w:sz w:val="24"/>
        </w:rPr>
        <w:t>工程建设前后，评价区内土地利用格局不会发生明显变化，主要因为项目是利用原有散户鱼塘进行升级改造，无新增建设用地，项目占地均为临时占地。工程结束后，对临时占地进行恢复。工程建设前后各类拼块数量以及面积的变化具体见表</w:t>
      </w:r>
      <w:r>
        <w:rPr>
          <w:rFonts w:hint="eastAsia"/>
          <w:color w:val="auto"/>
          <w:kern w:val="0"/>
          <w:sz w:val="24"/>
        </w:rPr>
        <w:t>4.</w:t>
      </w:r>
      <w:r>
        <w:rPr>
          <w:color w:val="auto"/>
          <w:kern w:val="0"/>
          <w:sz w:val="24"/>
        </w:rPr>
        <w:t>2-1。</w:t>
      </w:r>
    </w:p>
    <w:p w14:paraId="569ABA70">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2-1   工程建设前后各工程段评价区面积变化表</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046"/>
        <w:gridCol w:w="2046"/>
        <w:gridCol w:w="1709"/>
      </w:tblGrid>
      <w:tr w14:paraId="4AB5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94" w:type="pct"/>
            <w:vMerge w:val="restart"/>
            <w:tcBorders>
              <w:tl2br w:val="nil"/>
              <w:tr2bl w:val="nil"/>
            </w:tcBorders>
            <w:vAlign w:val="center"/>
          </w:tcPr>
          <w:p w14:paraId="08EF43AA">
            <w:pPr>
              <w:widowControl/>
              <w:jc w:val="center"/>
              <w:rPr>
                <w:b/>
                <w:bCs/>
                <w:color w:val="auto"/>
                <w:kern w:val="0"/>
                <w:szCs w:val="21"/>
              </w:rPr>
            </w:pPr>
            <w:r>
              <w:rPr>
                <w:b/>
                <w:bCs/>
                <w:color w:val="auto"/>
                <w:kern w:val="0"/>
                <w:szCs w:val="21"/>
              </w:rPr>
              <w:t>占地类型</w:t>
            </w:r>
          </w:p>
        </w:tc>
        <w:tc>
          <w:tcPr>
            <w:tcW w:w="3405" w:type="pct"/>
            <w:gridSpan w:val="3"/>
            <w:tcBorders>
              <w:tl2br w:val="nil"/>
              <w:tr2bl w:val="nil"/>
            </w:tcBorders>
            <w:vAlign w:val="center"/>
          </w:tcPr>
          <w:p w14:paraId="5E039697">
            <w:pPr>
              <w:widowControl/>
              <w:jc w:val="center"/>
              <w:rPr>
                <w:b/>
                <w:bCs/>
                <w:color w:val="auto"/>
                <w:kern w:val="0"/>
                <w:szCs w:val="21"/>
              </w:rPr>
            </w:pPr>
            <w:r>
              <w:rPr>
                <w:b/>
                <w:bCs/>
                <w:color w:val="auto"/>
                <w:kern w:val="0"/>
                <w:szCs w:val="21"/>
              </w:rPr>
              <w:t>面积（hm</w:t>
            </w:r>
            <w:r>
              <w:rPr>
                <w:b/>
                <w:bCs/>
                <w:color w:val="auto"/>
                <w:kern w:val="0"/>
                <w:szCs w:val="21"/>
                <w:vertAlign w:val="superscript"/>
              </w:rPr>
              <w:t>2</w:t>
            </w:r>
            <w:r>
              <w:rPr>
                <w:b/>
                <w:bCs/>
                <w:color w:val="auto"/>
                <w:kern w:val="0"/>
                <w:szCs w:val="21"/>
              </w:rPr>
              <w:t>）</w:t>
            </w:r>
          </w:p>
        </w:tc>
      </w:tr>
      <w:tr w14:paraId="03A39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vMerge w:val="continue"/>
            <w:tcBorders>
              <w:tl2br w:val="nil"/>
              <w:tr2bl w:val="nil"/>
            </w:tcBorders>
            <w:vAlign w:val="center"/>
          </w:tcPr>
          <w:p w14:paraId="1D5F0333">
            <w:pPr>
              <w:widowControl/>
              <w:jc w:val="center"/>
              <w:rPr>
                <w:b/>
                <w:bCs/>
                <w:color w:val="auto"/>
                <w:kern w:val="0"/>
                <w:szCs w:val="21"/>
              </w:rPr>
            </w:pPr>
          </w:p>
        </w:tc>
        <w:tc>
          <w:tcPr>
            <w:tcW w:w="1201" w:type="pct"/>
            <w:tcBorders>
              <w:tl2br w:val="nil"/>
              <w:tr2bl w:val="nil"/>
            </w:tcBorders>
            <w:vAlign w:val="center"/>
          </w:tcPr>
          <w:p w14:paraId="610A7273">
            <w:pPr>
              <w:widowControl/>
              <w:jc w:val="center"/>
              <w:rPr>
                <w:b/>
                <w:bCs/>
                <w:color w:val="auto"/>
                <w:kern w:val="0"/>
                <w:szCs w:val="21"/>
              </w:rPr>
            </w:pPr>
            <w:r>
              <w:rPr>
                <w:b/>
                <w:bCs/>
                <w:color w:val="auto"/>
                <w:kern w:val="0"/>
                <w:szCs w:val="21"/>
              </w:rPr>
              <w:t>工程建设前</w:t>
            </w:r>
          </w:p>
        </w:tc>
        <w:tc>
          <w:tcPr>
            <w:tcW w:w="1201" w:type="pct"/>
            <w:tcBorders>
              <w:tl2br w:val="nil"/>
              <w:tr2bl w:val="nil"/>
            </w:tcBorders>
            <w:vAlign w:val="center"/>
          </w:tcPr>
          <w:p w14:paraId="68D58515">
            <w:pPr>
              <w:widowControl/>
              <w:jc w:val="center"/>
              <w:rPr>
                <w:b/>
                <w:bCs/>
                <w:color w:val="auto"/>
                <w:kern w:val="0"/>
                <w:szCs w:val="21"/>
              </w:rPr>
            </w:pPr>
            <w:r>
              <w:rPr>
                <w:b/>
                <w:bCs/>
                <w:color w:val="auto"/>
                <w:kern w:val="0"/>
                <w:szCs w:val="21"/>
              </w:rPr>
              <w:t>工程建设后</w:t>
            </w:r>
          </w:p>
        </w:tc>
        <w:tc>
          <w:tcPr>
            <w:tcW w:w="1002" w:type="pct"/>
            <w:tcBorders>
              <w:tl2br w:val="nil"/>
              <w:tr2bl w:val="nil"/>
            </w:tcBorders>
            <w:vAlign w:val="center"/>
          </w:tcPr>
          <w:p w14:paraId="625F78A1">
            <w:pPr>
              <w:widowControl/>
              <w:jc w:val="center"/>
              <w:rPr>
                <w:b/>
                <w:bCs/>
                <w:color w:val="auto"/>
                <w:kern w:val="0"/>
                <w:szCs w:val="21"/>
              </w:rPr>
            </w:pPr>
            <w:r>
              <w:rPr>
                <w:b/>
                <w:bCs/>
                <w:color w:val="auto"/>
                <w:kern w:val="0"/>
                <w:szCs w:val="21"/>
              </w:rPr>
              <w:t>变化情况</w:t>
            </w:r>
          </w:p>
        </w:tc>
      </w:tr>
      <w:tr w14:paraId="5A4DB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3609087D">
            <w:pPr>
              <w:widowControl/>
              <w:jc w:val="center"/>
              <w:rPr>
                <w:color w:val="auto"/>
                <w:kern w:val="0"/>
                <w:szCs w:val="21"/>
              </w:rPr>
            </w:pPr>
            <w:r>
              <w:rPr>
                <w:color w:val="auto"/>
                <w:kern w:val="0"/>
                <w:szCs w:val="21"/>
              </w:rPr>
              <w:t>林地</w:t>
            </w:r>
          </w:p>
        </w:tc>
        <w:tc>
          <w:tcPr>
            <w:tcW w:w="1201" w:type="pct"/>
            <w:tcBorders>
              <w:tl2br w:val="nil"/>
              <w:tr2bl w:val="nil"/>
            </w:tcBorders>
            <w:vAlign w:val="center"/>
          </w:tcPr>
          <w:p w14:paraId="13977AA1">
            <w:pPr>
              <w:widowControl/>
              <w:jc w:val="center"/>
              <w:textAlignment w:val="center"/>
              <w:rPr>
                <w:color w:val="auto"/>
                <w:kern w:val="0"/>
                <w:szCs w:val="21"/>
              </w:rPr>
            </w:pPr>
            <w:r>
              <w:rPr>
                <w:color w:val="auto"/>
                <w:kern w:val="0"/>
                <w:szCs w:val="21"/>
                <w:lang w:bidi="ar"/>
              </w:rPr>
              <w:t>18.721</w:t>
            </w:r>
          </w:p>
        </w:tc>
        <w:tc>
          <w:tcPr>
            <w:tcW w:w="2046" w:type="dxa"/>
            <w:tcBorders>
              <w:tl2br w:val="nil"/>
              <w:tr2bl w:val="nil"/>
            </w:tcBorders>
            <w:vAlign w:val="center"/>
          </w:tcPr>
          <w:p w14:paraId="35483673">
            <w:pPr>
              <w:widowControl/>
              <w:jc w:val="center"/>
              <w:textAlignment w:val="center"/>
              <w:rPr>
                <w:color w:val="auto"/>
                <w:kern w:val="0"/>
                <w:szCs w:val="21"/>
              </w:rPr>
            </w:pPr>
            <w:r>
              <w:rPr>
                <w:color w:val="auto"/>
                <w:kern w:val="0"/>
                <w:szCs w:val="21"/>
                <w:lang w:bidi="ar"/>
              </w:rPr>
              <w:t>18.911</w:t>
            </w:r>
          </w:p>
        </w:tc>
        <w:tc>
          <w:tcPr>
            <w:tcW w:w="1709" w:type="dxa"/>
            <w:tcBorders>
              <w:tl2br w:val="nil"/>
              <w:tr2bl w:val="nil"/>
            </w:tcBorders>
            <w:vAlign w:val="center"/>
          </w:tcPr>
          <w:p w14:paraId="2E5DA9F4">
            <w:pPr>
              <w:widowControl/>
              <w:jc w:val="center"/>
              <w:textAlignment w:val="center"/>
              <w:rPr>
                <w:color w:val="auto"/>
                <w:kern w:val="0"/>
                <w:szCs w:val="21"/>
              </w:rPr>
            </w:pPr>
            <w:r>
              <w:rPr>
                <w:color w:val="auto"/>
                <w:kern w:val="0"/>
                <w:szCs w:val="21"/>
                <w:lang w:bidi="ar"/>
              </w:rPr>
              <w:t>+0.19</w:t>
            </w:r>
          </w:p>
        </w:tc>
      </w:tr>
      <w:tr w14:paraId="76D18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7268DE08">
            <w:pPr>
              <w:widowControl/>
              <w:jc w:val="center"/>
              <w:rPr>
                <w:color w:val="auto"/>
                <w:kern w:val="0"/>
                <w:szCs w:val="21"/>
              </w:rPr>
            </w:pPr>
            <w:r>
              <w:rPr>
                <w:color w:val="auto"/>
                <w:kern w:val="0"/>
                <w:szCs w:val="21"/>
              </w:rPr>
              <w:t>灌草地</w:t>
            </w:r>
          </w:p>
        </w:tc>
        <w:tc>
          <w:tcPr>
            <w:tcW w:w="1201" w:type="pct"/>
            <w:tcBorders>
              <w:tl2br w:val="nil"/>
              <w:tr2bl w:val="nil"/>
            </w:tcBorders>
            <w:vAlign w:val="center"/>
          </w:tcPr>
          <w:p w14:paraId="3C1AC388">
            <w:pPr>
              <w:widowControl/>
              <w:jc w:val="center"/>
              <w:textAlignment w:val="center"/>
              <w:rPr>
                <w:color w:val="auto"/>
                <w:kern w:val="0"/>
                <w:szCs w:val="21"/>
              </w:rPr>
            </w:pPr>
            <w:r>
              <w:rPr>
                <w:color w:val="auto"/>
                <w:kern w:val="0"/>
                <w:szCs w:val="21"/>
                <w:lang w:bidi="ar"/>
              </w:rPr>
              <w:t>83.124</w:t>
            </w:r>
          </w:p>
        </w:tc>
        <w:tc>
          <w:tcPr>
            <w:tcW w:w="2046" w:type="dxa"/>
            <w:tcBorders>
              <w:tl2br w:val="nil"/>
              <w:tr2bl w:val="nil"/>
            </w:tcBorders>
            <w:vAlign w:val="center"/>
          </w:tcPr>
          <w:p w14:paraId="69CBFE2A">
            <w:pPr>
              <w:widowControl/>
              <w:jc w:val="center"/>
              <w:textAlignment w:val="center"/>
              <w:rPr>
                <w:color w:val="auto"/>
                <w:kern w:val="0"/>
                <w:szCs w:val="21"/>
              </w:rPr>
            </w:pPr>
            <w:r>
              <w:rPr>
                <w:color w:val="auto"/>
                <w:kern w:val="0"/>
                <w:szCs w:val="21"/>
                <w:lang w:bidi="ar"/>
              </w:rPr>
              <w:t>83.458</w:t>
            </w:r>
          </w:p>
        </w:tc>
        <w:tc>
          <w:tcPr>
            <w:tcW w:w="1709" w:type="dxa"/>
            <w:tcBorders>
              <w:tl2br w:val="nil"/>
              <w:tr2bl w:val="nil"/>
            </w:tcBorders>
            <w:vAlign w:val="center"/>
          </w:tcPr>
          <w:p w14:paraId="51E26F38">
            <w:pPr>
              <w:widowControl/>
              <w:jc w:val="center"/>
              <w:textAlignment w:val="center"/>
              <w:rPr>
                <w:color w:val="auto"/>
                <w:kern w:val="0"/>
                <w:szCs w:val="21"/>
              </w:rPr>
            </w:pPr>
            <w:r>
              <w:rPr>
                <w:color w:val="auto"/>
                <w:kern w:val="0"/>
                <w:szCs w:val="21"/>
                <w:lang w:bidi="ar"/>
              </w:rPr>
              <w:t>+0.334</w:t>
            </w:r>
          </w:p>
        </w:tc>
      </w:tr>
      <w:tr w14:paraId="236BD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5F73D87D">
            <w:pPr>
              <w:widowControl/>
              <w:jc w:val="center"/>
              <w:rPr>
                <w:color w:val="auto"/>
                <w:kern w:val="0"/>
                <w:szCs w:val="21"/>
              </w:rPr>
            </w:pPr>
            <w:r>
              <w:rPr>
                <w:color w:val="auto"/>
                <w:kern w:val="0"/>
                <w:szCs w:val="21"/>
              </w:rPr>
              <w:t>耕地</w:t>
            </w:r>
          </w:p>
        </w:tc>
        <w:tc>
          <w:tcPr>
            <w:tcW w:w="1201" w:type="pct"/>
            <w:tcBorders>
              <w:tl2br w:val="nil"/>
              <w:tr2bl w:val="nil"/>
            </w:tcBorders>
            <w:vAlign w:val="center"/>
          </w:tcPr>
          <w:p w14:paraId="7A45163D">
            <w:pPr>
              <w:widowControl/>
              <w:jc w:val="center"/>
              <w:textAlignment w:val="center"/>
              <w:rPr>
                <w:color w:val="auto"/>
                <w:kern w:val="0"/>
                <w:szCs w:val="21"/>
              </w:rPr>
            </w:pPr>
            <w:r>
              <w:rPr>
                <w:color w:val="auto"/>
                <w:kern w:val="0"/>
                <w:szCs w:val="21"/>
                <w:lang w:bidi="ar"/>
              </w:rPr>
              <w:t>121.852</w:t>
            </w:r>
          </w:p>
        </w:tc>
        <w:tc>
          <w:tcPr>
            <w:tcW w:w="2046" w:type="dxa"/>
            <w:tcBorders>
              <w:tl2br w:val="nil"/>
              <w:tr2bl w:val="nil"/>
            </w:tcBorders>
            <w:vAlign w:val="center"/>
          </w:tcPr>
          <w:p w14:paraId="47731267">
            <w:pPr>
              <w:widowControl/>
              <w:jc w:val="center"/>
              <w:textAlignment w:val="center"/>
              <w:rPr>
                <w:color w:val="auto"/>
                <w:kern w:val="0"/>
                <w:szCs w:val="21"/>
              </w:rPr>
            </w:pPr>
            <w:r>
              <w:rPr>
                <w:color w:val="auto"/>
                <w:kern w:val="0"/>
                <w:szCs w:val="21"/>
                <w:lang w:bidi="ar"/>
              </w:rPr>
              <w:t>121.852</w:t>
            </w:r>
          </w:p>
        </w:tc>
        <w:tc>
          <w:tcPr>
            <w:tcW w:w="1709" w:type="dxa"/>
            <w:tcBorders>
              <w:tl2br w:val="nil"/>
              <w:tr2bl w:val="nil"/>
            </w:tcBorders>
            <w:vAlign w:val="center"/>
          </w:tcPr>
          <w:p w14:paraId="2495D728">
            <w:pPr>
              <w:widowControl/>
              <w:jc w:val="center"/>
              <w:textAlignment w:val="center"/>
              <w:rPr>
                <w:color w:val="auto"/>
                <w:kern w:val="0"/>
                <w:szCs w:val="21"/>
              </w:rPr>
            </w:pPr>
            <w:r>
              <w:rPr>
                <w:color w:val="auto"/>
                <w:kern w:val="0"/>
                <w:szCs w:val="21"/>
                <w:lang w:bidi="ar"/>
              </w:rPr>
              <w:t>0</w:t>
            </w:r>
          </w:p>
        </w:tc>
      </w:tr>
      <w:tr w14:paraId="539E3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7AFAA801">
            <w:pPr>
              <w:widowControl/>
              <w:jc w:val="center"/>
              <w:rPr>
                <w:color w:val="auto"/>
                <w:kern w:val="0"/>
                <w:szCs w:val="21"/>
              </w:rPr>
            </w:pPr>
            <w:r>
              <w:rPr>
                <w:color w:val="auto"/>
                <w:kern w:val="0"/>
                <w:szCs w:val="21"/>
              </w:rPr>
              <w:t>水域（含滩涂）</w:t>
            </w:r>
          </w:p>
        </w:tc>
        <w:tc>
          <w:tcPr>
            <w:tcW w:w="1201" w:type="pct"/>
            <w:tcBorders>
              <w:tl2br w:val="nil"/>
              <w:tr2bl w:val="nil"/>
            </w:tcBorders>
            <w:vAlign w:val="center"/>
          </w:tcPr>
          <w:p w14:paraId="7D0C366E">
            <w:pPr>
              <w:widowControl/>
              <w:jc w:val="center"/>
              <w:textAlignment w:val="center"/>
              <w:rPr>
                <w:color w:val="auto"/>
                <w:kern w:val="0"/>
                <w:szCs w:val="21"/>
              </w:rPr>
            </w:pPr>
            <w:r>
              <w:rPr>
                <w:color w:val="auto"/>
                <w:kern w:val="0"/>
                <w:szCs w:val="21"/>
                <w:lang w:bidi="ar"/>
              </w:rPr>
              <w:t>213.265</w:t>
            </w:r>
          </w:p>
        </w:tc>
        <w:tc>
          <w:tcPr>
            <w:tcW w:w="2046" w:type="dxa"/>
            <w:tcBorders>
              <w:tl2br w:val="nil"/>
              <w:tr2bl w:val="nil"/>
            </w:tcBorders>
            <w:vAlign w:val="center"/>
          </w:tcPr>
          <w:p w14:paraId="589114C4">
            <w:pPr>
              <w:widowControl/>
              <w:jc w:val="center"/>
              <w:textAlignment w:val="center"/>
              <w:rPr>
                <w:color w:val="auto"/>
                <w:kern w:val="0"/>
                <w:szCs w:val="21"/>
              </w:rPr>
            </w:pPr>
            <w:r>
              <w:rPr>
                <w:color w:val="auto"/>
                <w:kern w:val="0"/>
                <w:szCs w:val="21"/>
                <w:lang w:bidi="ar"/>
              </w:rPr>
              <w:t>213.456</w:t>
            </w:r>
          </w:p>
        </w:tc>
        <w:tc>
          <w:tcPr>
            <w:tcW w:w="1709" w:type="dxa"/>
            <w:tcBorders>
              <w:tl2br w:val="nil"/>
              <w:tr2bl w:val="nil"/>
            </w:tcBorders>
            <w:vAlign w:val="center"/>
          </w:tcPr>
          <w:p w14:paraId="50D69851">
            <w:pPr>
              <w:widowControl/>
              <w:jc w:val="center"/>
              <w:textAlignment w:val="center"/>
              <w:rPr>
                <w:color w:val="auto"/>
                <w:kern w:val="0"/>
                <w:szCs w:val="21"/>
              </w:rPr>
            </w:pPr>
            <w:r>
              <w:rPr>
                <w:color w:val="auto"/>
                <w:kern w:val="0"/>
                <w:szCs w:val="21"/>
                <w:lang w:bidi="ar"/>
              </w:rPr>
              <w:t>+0.191</w:t>
            </w:r>
          </w:p>
        </w:tc>
      </w:tr>
      <w:tr w14:paraId="12966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76E169B5">
            <w:pPr>
              <w:widowControl/>
              <w:jc w:val="center"/>
              <w:rPr>
                <w:color w:val="auto"/>
                <w:kern w:val="0"/>
                <w:szCs w:val="21"/>
              </w:rPr>
            </w:pPr>
            <w:r>
              <w:rPr>
                <w:color w:val="auto"/>
                <w:kern w:val="0"/>
                <w:szCs w:val="21"/>
              </w:rPr>
              <w:t>建设用地</w:t>
            </w:r>
          </w:p>
        </w:tc>
        <w:tc>
          <w:tcPr>
            <w:tcW w:w="1201" w:type="pct"/>
            <w:tcBorders>
              <w:tl2br w:val="nil"/>
              <w:tr2bl w:val="nil"/>
            </w:tcBorders>
            <w:vAlign w:val="center"/>
          </w:tcPr>
          <w:p w14:paraId="40A14E9F">
            <w:pPr>
              <w:widowControl/>
              <w:jc w:val="center"/>
              <w:textAlignment w:val="center"/>
              <w:rPr>
                <w:color w:val="auto"/>
                <w:kern w:val="0"/>
                <w:szCs w:val="21"/>
              </w:rPr>
            </w:pPr>
            <w:r>
              <w:rPr>
                <w:color w:val="auto"/>
                <w:kern w:val="0"/>
                <w:szCs w:val="21"/>
                <w:lang w:bidi="ar"/>
              </w:rPr>
              <w:t>39.395</w:t>
            </w:r>
          </w:p>
        </w:tc>
        <w:tc>
          <w:tcPr>
            <w:tcW w:w="2046" w:type="dxa"/>
            <w:tcBorders>
              <w:tl2br w:val="nil"/>
              <w:tr2bl w:val="nil"/>
            </w:tcBorders>
            <w:vAlign w:val="center"/>
          </w:tcPr>
          <w:p w14:paraId="07520BFF">
            <w:pPr>
              <w:widowControl/>
              <w:jc w:val="center"/>
              <w:textAlignment w:val="center"/>
              <w:rPr>
                <w:color w:val="auto"/>
                <w:kern w:val="0"/>
                <w:szCs w:val="21"/>
              </w:rPr>
            </w:pPr>
            <w:r>
              <w:rPr>
                <w:color w:val="auto"/>
                <w:kern w:val="0"/>
                <w:szCs w:val="21"/>
                <w:lang w:bidi="ar"/>
              </w:rPr>
              <w:t>38.680</w:t>
            </w:r>
          </w:p>
        </w:tc>
        <w:tc>
          <w:tcPr>
            <w:tcW w:w="1709" w:type="dxa"/>
            <w:tcBorders>
              <w:tl2br w:val="nil"/>
              <w:tr2bl w:val="nil"/>
            </w:tcBorders>
            <w:vAlign w:val="center"/>
          </w:tcPr>
          <w:p w14:paraId="71A2EE21">
            <w:pPr>
              <w:widowControl/>
              <w:jc w:val="center"/>
              <w:textAlignment w:val="center"/>
              <w:rPr>
                <w:color w:val="auto"/>
                <w:kern w:val="0"/>
                <w:szCs w:val="21"/>
              </w:rPr>
            </w:pPr>
            <w:r>
              <w:rPr>
                <w:color w:val="auto"/>
                <w:kern w:val="0"/>
                <w:szCs w:val="21"/>
                <w:lang w:bidi="ar"/>
              </w:rPr>
              <w:t>-0.715</w:t>
            </w:r>
          </w:p>
        </w:tc>
      </w:tr>
      <w:tr w14:paraId="17437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Borders>
              <w:tl2br w:val="nil"/>
              <w:tr2bl w:val="nil"/>
            </w:tcBorders>
            <w:vAlign w:val="center"/>
          </w:tcPr>
          <w:p w14:paraId="2EE8B465">
            <w:pPr>
              <w:widowControl/>
              <w:jc w:val="center"/>
              <w:rPr>
                <w:color w:val="auto"/>
                <w:kern w:val="0"/>
                <w:szCs w:val="21"/>
              </w:rPr>
            </w:pPr>
            <w:r>
              <w:rPr>
                <w:color w:val="auto"/>
                <w:kern w:val="0"/>
                <w:szCs w:val="21"/>
              </w:rPr>
              <w:t>合计</w:t>
            </w:r>
          </w:p>
        </w:tc>
        <w:tc>
          <w:tcPr>
            <w:tcW w:w="1201" w:type="pct"/>
            <w:tcBorders>
              <w:tl2br w:val="nil"/>
              <w:tr2bl w:val="nil"/>
            </w:tcBorders>
            <w:vAlign w:val="center"/>
          </w:tcPr>
          <w:p w14:paraId="305D4EA0">
            <w:pPr>
              <w:widowControl/>
              <w:jc w:val="center"/>
              <w:textAlignment w:val="center"/>
              <w:rPr>
                <w:color w:val="auto"/>
                <w:kern w:val="0"/>
                <w:szCs w:val="21"/>
              </w:rPr>
            </w:pPr>
            <w:r>
              <w:rPr>
                <w:color w:val="auto"/>
                <w:kern w:val="0"/>
                <w:szCs w:val="21"/>
                <w:lang w:bidi="ar"/>
              </w:rPr>
              <w:t>476.357</w:t>
            </w:r>
          </w:p>
        </w:tc>
        <w:tc>
          <w:tcPr>
            <w:tcW w:w="2046" w:type="dxa"/>
            <w:tcBorders>
              <w:tl2br w:val="nil"/>
              <w:tr2bl w:val="nil"/>
            </w:tcBorders>
            <w:vAlign w:val="center"/>
          </w:tcPr>
          <w:p w14:paraId="069E11FE">
            <w:pPr>
              <w:widowControl/>
              <w:jc w:val="center"/>
              <w:textAlignment w:val="center"/>
              <w:rPr>
                <w:color w:val="auto"/>
                <w:kern w:val="0"/>
                <w:szCs w:val="21"/>
              </w:rPr>
            </w:pPr>
            <w:r>
              <w:rPr>
                <w:color w:val="auto"/>
                <w:kern w:val="0"/>
                <w:szCs w:val="21"/>
              </w:rPr>
              <w:t>476.357</w:t>
            </w:r>
          </w:p>
        </w:tc>
        <w:tc>
          <w:tcPr>
            <w:tcW w:w="1709" w:type="dxa"/>
            <w:tcBorders>
              <w:tl2br w:val="nil"/>
              <w:tr2bl w:val="nil"/>
            </w:tcBorders>
            <w:vAlign w:val="center"/>
          </w:tcPr>
          <w:p w14:paraId="7924E3C9">
            <w:pPr>
              <w:widowControl/>
              <w:jc w:val="center"/>
              <w:rPr>
                <w:color w:val="auto"/>
                <w:kern w:val="0"/>
                <w:szCs w:val="21"/>
              </w:rPr>
            </w:pPr>
            <w:r>
              <w:rPr>
                <w:color w:val="auto"/>
                <w:kern w:val="0"/>
                <w:szCs w:val="21"/>
              </w:rPr>
              <w:t>0</w:t>
            </w:r>
          </w:p>
        </w:tc>
      </w:tr>
    </w:tbl>
    <w:p w14:paraId="133DC49E">
      <w:pPr>
        <w:spacing w:line="360" w:lineRule="auto"/>
        <w:ind w:firstLine="480" w:firstLineChars="200"/>
        <w:rPr>
          <w:color w:val="auto"/>
          <w:kern w:val="0"/>
          <w:sz w:val="24"/>
        </w:rPr>
      </w:pPr>
      <w:r>
        <w:rPr>
          <w:color w:val="auto"/>
          <w:kern w:val="0"/>
          <w:sz w:val="24"/>
        </w:rPr>
        <w:t>由表可知，本工程建设后，评价区建设用地面积减少0.715hm</w:t>
      </w:r>
      <w:r>
        <w:rPr>
          <w:color w:val="auto"/>
          <w:kern w:val="0"/>
          <w:sz w:val="24"/>
          <w:vertAlign w:val="superscript"/>
        </w:rPr>
        <w:t>2</w:t>
      </w:r>
      <w:r>
        <w:rPr>
          <w:color w:val="auto"/>
          <w:kern w:val="0"/>
          <w:sz w:val="24"/>
        </w:rPr>
        <w:t>，而林地、灌草地、水域面积将增加0.715hm</w:t>
      </w:r>
      <w:r>
        <w:rPr>
          <w:color w:val="auto"/>
          <w:kern w:val="0"/>
          <w:sz w:val="24"/>
          <w:vertAlign w:val="superscript"/>
        </w:rPr>
        <w:t>2</w:t>
      </w:r>
      <w:r>
        <w:rPr>
          <w:color w:val="auto"/>
          <w:kern w:val="0"/>
          <w:sz w:val="24"/>
        </w:rPr>
        <w:t>，变化不明显。</w:t>
      </w:r>
    </w:p>
    <w:p w14:paraId="43AC9C24">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2.2评价区占地对保护区生态环境的影响分析</w:t>
      </w:r>
    </w:p>
    <w:p w14:paraId="4FEEFA80">
      <w:pPr>
        <w:widowControl/>
        <w:spacing w:line="360" w:lineRule="auto"/>
        <w:ind w:firstLine="480" w:firstLineChars="200"/>
        <w:rPr>
          <w:color w:val="auto"/>
          <w:kern w:val="0"/>
          <w:sz w:val="24"/>
        </w:rPr>
      </w:pPr>
      <w:r>
        <w:rPr>
          <w:color w:val="auto"/>
          <w:kern w:val="0"/>
          <w:sz w:val="24"/>
        </w:rPr>
        <w:t>本次评价工程实施面积457.2379公顷，均位于湖南东洞庭湖国家级自然保护区实验区内。主要建设内容包括：共建设2个标准单元的圈养系统，每个标准单元设置40个圈养桶（每排2个桶，共计20排）。项目主要是利用原有散户鱼塘进行升级改造，无新增建设用地，</w:t>
      </w:r>
      <w:r>
        <w:rPr>
          <w:rFonts w:hint="eastAsia"/>
          <w:color w:val="auto"/>
          <w:kern w:val="0"/>
          <w:sz w:val="24"/>
        </w:rPr>
        <w:t>利用</w:t>
      </w:r>
      <w:r>
        <w:rPr>
          <w:color w:val="auto"/>
          <w:kern w:val="0"/>
          <w:sz w:val="24"/>
          <w:lang w:val="zh-CN"/>
        </w:rPr>
        <w:t>湖南省岳阳市君山区钱粮湖镇银杯社区方台村5组</w:t>
      </w:r>
      <w:r>
        <w:rPr>
          <w:color w:val="auto"/>
          <w:kern w:val="0"/>
          <w:sz w:val="24"/>
        </w:rPr>
        <w:t>属于现采桑湖渔场一荷三虾养殖基地，且已取得水域滩涂养殖证（详见附件9）。根据湖南东洞庭湖国家级自然保护区规划，项目用地面积（457.2379hm</w:t>
      </w:r>
      <w:r>
        <w:rPr>
          <w:color w:val="auto"/>
          <w:kern w:val="0"/>
          <w:sz w:val="24"/>
          <w:vertAlign w:val="superscript"/>
        </w:rPr>
        <w:t>2</w:t>
      </w:r>
      <w:r>
        <w:rPr>
          <w:color w:val="auto"/>
          <w:kern w:val="0"/>
          <w:sz w:val="24"/>
        </w:rPr>
        <w:t>）占整个自然保护区面积（15.7628万hm</w:t>
      </w:r>
      <w:r>
        <w:rPr>
          <w:color w:val="auto"/>
          <w:kern w:val="0"/>
          <w:sz w:val="24"/>
          <w:vertAlign w:val="superscript"/>
        </w:rPr>
        <w:t>2</w:t>
      </w:r>
      <w:r>
        <w:rPr>
          <w:color w:val="auto"/>
          <w:kern w:val="0"/>
          <w:sz w:val="24"/>
        </w:rPr>
        <w:t>）的比例很小（0.29%），项目占地位于该自然保护区实验区边缘处，其与保护区外围的生境类似，受人为活动影响较大，且是对原有散户鱼塘进行升级改造，建设池塘工程化循环水养殖场，取代散户不规范养殖，养殖尾水采用吸污泵+尾水塔+人工湿地处理后满足《渔业水质标准》（GB11607-89）表一一级标准限值要求后回用，改善现状鱼塘水质，治理对象和目标明确，项目工程本身位于保护区实验区内，故项目占地不会对自然保护区的生态结构、服务功能和生物多样性产生明显影响。</w:t>
      </w:r>
    </w:p>
    <w:p w14:paraId="1E0CF025">
      <w:pPr>
        <w:pStyle w:val="82"/>
        <w:widowControl w:val="0"/>
        <w:spacing w:line="360" w:lineRule="auto"/>
        <w:outlineLvl w:val="1"/>
        <w:rPr>
          <w:rFonts w:ascii="Times New Roman" w:hAnsi="Times New Roman" w:eastAsia="宋体" w:cs="Times New Roman"/>
          <w:color w:val="auto"/>
        </w:rPr>
      </w:pPr>
      <w:bookmarkStart w:id="160" w:name="_Toc7042"/>
      <w:bookmarkStart w:id="161" w:name="_Toc29602"/>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3对生态系统的影响</w:t>
      </w:r>
      <w:bookmarkEnd w:id="160"/>
      <w:bookmarkEnd w:id="161"/>
    </w:p>
    <w:p w14:paraId="716587A4">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3.1对生态系统组成的影响</w:t>
      </w:r>
    </w:p>
    <w:p w14:paraId="5F11945D">
      <w:pPr>
        <w:spacing w:line="360" w:lineRule="auto"/>
        <w:ind w:firstLine="480" w:firstLineChars="200"/>
        <w:rPr>
          <w:color w:val="auto"/>
          <w:kern w:val="0"/>
          <w:sz w:val="24"/>
        </w:rPr>
      </w:pPr>
      <w:r>
        <w:rPr>
          <w:color w:val="auto"/>
          <w:kern w:val="0"/>
          <w:sz w:val="24"/>
        </w:rPr>
        <w:t>评价区内生态系统由自然生态系统和人工生态系统组成，具体包括森林生态系统、草地生态系统、农业生态系统、湿地生态系统和村镇生态系统。项目无永久占地，临时占地区域会进行复耕或复植，多转变为森林生态系统、草地生态系统或农田生态系统。由下表数据可知，受项目临时占地影响的生态系统主要从村镇生态系统转变为森林生态系统、草地生态系统及农田生态系统，减少面积为0.715hm</w:t>
      </w:r>
      <w:r>
        <w:rPr>
          <w:color w:val="auto"/>
          <w:kern w:val="0"/>
          <w:sz w:val="24"/>
          <w:vertAlign w:val="superscript"/>
        </w:rPr>
        <w:t>2</w:t>
      </w:r>
      <w:r>
        <w:rPr>
          <w:color w:val="auto"/>
          <w:kern w:val="0"/>
          <w:sz w:val="24"/>
        </w:rPr>
        <w:t>，减少比例较小。</w:t>
      </w:r>
    </w:p>
    <w:p w14:paraId="4075A24E">
      <w:pPr>
        <w:widowControl/>
        <w:jc w:val="center"/>
        <w:rPr>
          <w:color w:val="auto"/>
          <w:kern w:val="0"/>
          <w:sz w:val="24"/>
        </w:rPr>
      </w:pPr>
      <w:r>
        <w:rPr>
          <w:b/>
          <w:bCs/>
          <w:color w:val="auto"/>
          <w:kern w:val="0"/>
          <w:szCs w:val="21"/>
        </w:rPr>
        <w:t>表</w:t>
      </w:r>
      <w:r>
        <w:rPr>
          <w:rFonts w:hint="eastAsia"/>
          <w:b/>
          <w:bCs/>
          <w:color w:val="auto"/>
          <w:kern w:val="0"/>
          <w:szCs w:val="21"/>
        </w:rPr>
        <w:t>4.</w:t>
      </w:r>
      <w:r>
        <w:rPr>
          <w:b/>
          <w:bCs/>
          <w:color w:val="auto"/>
          <w:kern w:val="0"/>
          <w:szCs w:val="21"/>
        </w:rPr>
        <w:t xml:space="preserve">2-2   </w:t>
      </w:r>
      <w:r>
        <w:rPr>
          <w:b/>
          <w:color w:val="auto"/>
          <w:kern w:val="0"/>
          <w:szCs w:val="21"/>
        </w:rPr>
        <w:t>评价区生态系统现状表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179"/>
        <w:gridCol w:w="1299"/>
        <w:gridCol w:w="1179"/>
        <w:gridCol w:w="1299"/>
        <w:gridCol w:w="1179"/>
        <w:gridCol w:w="1298"/>
      </w:tblGrid>
      <w:tr w14:paraId="3D781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7BE06119">
            <w:pPr>
              <w:widowControl/>
              <w:jc w:val="center"/>
              <w:textAlignment w:val="center"/>
              <w:rPr>
                <w:color w:val="auto"/>
                <w:kern w:val="0"/>
                <w:szCs w:val="21"/>
              </w:rPr>
            </w:pPr>
            <w:r>
              <w:rPr>
                <w:b/>
                <w:bCs/>
                <w:color w:val="auto"/>
                <w:kern w:val="0"/>
                <w:szCs w:val="21"/>
              </w:rPr>
              <w:t>生态系统类型</w:t>
            </w:r>
          </w:p>
        </w:tc>
        <w:tc>
          <w:tcPr>
            <w:tcW w:w="0" w:type="auto"/>
            <w:gridSpan w:val="2"/>
            <w:tcBorders>
              <w:tl2br w:val="nil"/>
              <w:tr2bl w:val="nil"/>
            </w:tcBorders>
            <w:vAlign w:val="center"/>
          </w:tcPr>
          <w:p w14:paraId="69FA0952">
            <w:pPr>
              <w:widowControl/>
              <w:jc w:val="center"/>
              <w:textAlignment w:val="center"/>
              <w:rPr>
                <w:b/>
                <w:bCs/>
                <w:color w:val="auto"/>
                <w:kern w:val="0"/>
                <w:szCs w:val="21"/>
              </w:rPr>
            </w:pPr>
            <w:r>
              <w:rPr>
                <w:b/>
                <w:bCs/>
                <w:color w:val="auto"/>
                <w:kern w:val="0"/>
                <w:szCs w:val="21"/>
              </w:rPr>
              <w:t>建设前</w:t>
            </w:r>
          </w:p>
        </w:tc>
        <w:tc>
          <w:tcPr>
            <w:tcW w:w="0" w:type="auto"/>
            <w:gridSpan w:val="2"/>
            <w:tcBorders>
              <w:tl2br w:val="nil"/>
              <w:tr2bl w:val="nil"/>
            </w:tcBorders>
            <w:vAlign w:val="center"/>
          </w:tcPr>
          <w:p w14:paraId="384477C4">
            <w:pPr>
              <w:widowControl/>
              <w:jc w:val="center"/>
              <w:textAlignment w:val="center"/>
              <w:rPr>
                <w:b/>
                <w:bCs/>
                <w:color w:val="auto"/>
                <w:kern w:val="0"/>
                <w:szCs w:val="21"/>
              </w:rPr>
            </w:pPr>
            <w:r>
              <w:rPr>
                <w:b/>
                <w:bCs/>
                <w:color w:val="auto"/>
                <w:kern w:val="0"/>
                <w:szCs w:val="21"/>
              </w:rPr>
              <w:t>建设后</w:t>
            </w:r>
          </w:p>
        </w:tc>
        <w:tc>
          <w:tcPr>
            <w:tcW w:w="0" w:type="auto"/>
            <w:gridSpan w:val="2"/>
            <w:tcBorders>
              <w:tl2br w:val="nil"/>
              <w:tr2bl w:val="nil"/>
            </w:tcBorders>
            <w:vAlign w:val="center"/>
          </w:tcPr>
          <w:p w14:paraId="35B3600A">
            <w:pPr>
              <w:widowControl/>
              <w:jc w:val="center"/>
              <w:rPr>
                <w:b/>
                <w:bCs/>
                <w:color w:val="auto"/>
                <w:kern w:val="0"/>
                <w:szCs w:val="21"/>
              </w:rPr>
            </w:pPr>
            <w:r>
              <w:rPr>
                <w:b/>
                <w:bCs/>
                <w:color w:val="auto"/>
                <w:kern w:val="0"/>
                <w:szCs w:val="21"/>
              </w:rPr>
              <w:t>变化量</w:t>
            </w:r>
          </w:p>
        </w:tc>
      </w:tr>
      <w:tr w14:paraId="051F4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42B57B4">
            <w:pPr>
              <w:widowControl/>
              <w:jc w:val="center"/>
              <w:textAlignment w:val="center"/>
              <w:rPr>
                <w:b/>
                <w:bCs/>
                <w:color w:val="auto"/>
                <w:kern w:val="0"/>
                <w:szCs w:val="21"/>
              </w:rPr>
            </w:pPr>
          </w:p>
        </w:tc>
        <w:tc>
          <w:tcPr>
            <w:tcW w:w="0" w:type="auto"/>
            <w:tcBorders>
              <w:tl2br w:val="nil"/>
              <w:tr2bl w:val="nil"/>
            </w:tcBorders>
            <w:vAlign w:val="center"/>
          </w:tcPr>
          <w:p w14:paraId="4DD071AD">
            <w:pPr>
              <w:widowControl/>
              <w:jc w:val="center"/>
              <w:textAlignment w:val="center"/>
              <w:rPr>
                <w:b/>
                <w:bCs/>
                <w:color w:val="auto"/>
                <w:kern w:val="0"/>
                <w:szCs w:val="21"/>
              </w:rPr>
            </w:pPr>
            <w:r>
              <w:rPr>
                <w:b/>
                <w:bCs/>
                <w:color w:val="auto"/>
                <w:kern w:val="0"/>
                <w:szCs w:val="21"/>
              </w:rPr>
              <w:t>面积（hm</w:t>
            </w:r>
            <w:r>
              <w:rPr>
                <w:b/>
                <w:bCs/>
                <w:color w:val="auto"/>
                <w:kern w:val="0"/>
                <w:szCs w:val="21"/>
                <w:vertAlign w:val="superscript"/>
              </w:rPr>
              <w:t>2</w:t>
            </w:r>
            <w:r>
              <w:rPr>
                <w:b/>
                <w:bCs/>
                <w:color w:val="auto"/>
                <w:kern w:val="0"/>
                <w:szCs w:val="21"/>
              </w:rPr>
              <w:t>）</w:t>
            </w:r>
          </w:p>
        </w:tc>
        <w:tc>
          <w:tcPr>
            <w:tcW w:w="0" w:type="auto"/>
            <w:tcBorders>
              <w:tl2br w:val="nil"/>
              <w:tr2bl w:val="nil"/>
            </w:tcBorders>
            <w:vAlign w:val="center"/>
          </w:tcPr>
          <w:p w14:paraId="50A5D928">
            <w:pPr>
              <w:widowControl/>
              <w:jc w:val="center"/>
              <w:textAlignment w:val="center"/>
              <w:rPr>
                <w:b/>
                <w:bCs/>
                <w:color w:val="auto"/>
                <w:kern w:val="0"/>
                <w:szCs w:val="21"/>
              </w:rPr>
            </w:pPr>
            <w:r>
              <w:rPr>
                <w:b/>
                <w:bCs/>
                <w:color w:val="auto"/>
                <w:kern w:val="0"/>
                <w:szCs w:val="21"/>
              </w:rPr>
              <w:t>所占百分比（%）</w:t>
            </w:r>
          </w:p>
        </w:tc>
        <w:tc>
          <w:tcPr>
            <w:tcW w:w="0" w:type="auto"/>
            <w:tcBorders>
              <w:tl2br w:val="nil"/>
              <w:tr2bl w:val="nil"/>
            </w:tcBorders>
            <w:vAlign w:val="center"/>
          </w:tcPr>
          <w:p w14:paraId="0588AF2C">
            <w:pPr>
              <w:widowControl/>
              <w:jc w:val="center"/>
              <w:textAlignment w:val="center"/>
              <w:rPr>
                <w:b/>
                <w:bCs/>
                <w:color w:val="auto"/>
                <w:kern w:val="0"/>
                <w:szCs w:val="21"/>
              </w:rPr>
            </w:pPr>
            <w:r>
              <w:rPr>
                <w:b/>
                <w:bCs/>
                <w:color w:val="auto"/>
                <w:kern w:val="0"/>
                <w:szCs w:val="21"/>
              </w:rPr>
              <w:t>面积（hm</w:t>
            </w:r>
            <w:r>
              <w:rPr>
                <w:b/>
                <w:bCs/>
                <w:color w:val="auto"/>
                <w:kern w:val="0"/>
                <w:szCs w:val="21"/>
                <w:vertAlign w:val="superscript"/>
              </w:rPr>
              <w:t>2</w:t>
            </w:r>
            <w:r>
              <w:rPr>
                <w:b/>
                <w:bCs/>
                <w:color w:val="auto"/>
                <w:kern w:val="0"/>
                <w:szCs w:val="21"/>
              </w:rPr>
              <w:t>）</w:t>
            </w:r>
          </w:p>
        </w:tc>
        <w:tc>
          <w:tcPr>
            <w:tcW w:w="0" w:type="auto"/>
            <w:tcBorders>
              <w:tl2br w:val="nil"/>
              <w:tr2bl w:val="nil"/>
            </w:tcBorders>
            <w:vAlign w:val="center"/>
          </w:tcPr>
          <w:p w14:paraId="67B4E414">
            <w:pPr>
              <w:widowControl/>
              <w:jc w:val="center"/>
              <w:textAlignment w:val="center"/>
              <w:rPr>
                <w:b/>
                <w:bCs/>
                <w:color w:val="auto"/>
                <w:kern w:val="0"/>
                <w:szCs w:val="21"/>
              </w:rPr>
            </w:pPr>
            <w:r>
              <w:rPr>
                <w:b/>
                <w:bCs/>
                <w:color w:val="auto"/>
                <w:kern w:val="0"/>
                <w:szCs w:val="21"/>
              </w:rPr>
              <w:t>所占百分比（%）</w:t>
            </w:r>
          </w:p>
        </w:tc>
        <w:tc>
          <w:tcPr>
            <w:tcW w:w="0" w:type="auto"/>
            <w:tcBorders>
              <w:tl2br w:val="nil"/>
              <w:tr2bl w:val="nil"/>
            </w:tcBorders>
            <w:vAlign w:val="center"/>
          </w:tcPr>
          <w:p w14:paraId="219EBCD7">
            <w:pPr>
              <w:widowControl/>
              <w:jc w:val="center"/>
              <w:textAlignment w:val="center"/>
              <w:rPr>
                <w:b/>
                <w:bCs/>
                <w:color w:val="auto"/>
                <w:kern w:val="0"/>
                <w:szCs w:val="21"/>
              </w:rPr>
            </w:pPr>
            <w:r>
              <w:rPr>
                <w:b/>
                <w:bCs/>
                <w:color w:val="auto"/>
                <w:kern w:val="0"/>
                <w:szCs w:val="21"/>
              </w:rPr>
              <w:t>面积（hm</w:t>
            </w:r>
            <w:r>
              <w:rPr>
                <w:b/>
                <w:bCs/>
                <w:color w:val="auto"/>
                <w:kern w:val="0"/>
                <w:szCs w:val="21"/>
                <w:vertAlign w:val="superscript"/>
              </w:rPr>
              <w:t>2</w:t>
            </w:r>
            <w:r>
              <w:rPr>
                <w:b/>
                <w:bCs/>
                <w:color w:val="auto"/>
                <w:kern w:val="0"/>
                <w:szCs w:val="21"/>
              </w:rPr>
              <w:t>）</w:t>
            </w:r>
          </w:p>
        </w:tc>
        <w:tc>
          <w:tcPr>
            <w:tcW w:w="0" w:type="auto"/>
            <w:tcBorders>
              <w:tl2br w:val="nil"/>
              <w:tr2bl w:val="nil"/>
            </w:tcBorders>
            <w:vAlign w:val="center"/>
          </w:tcPr>
          <w:p w14:paraId="61BF5B52">
            <w:pPr>
              <w:widowControl/>
              <w:jc w:val="center"/>
              <w:textAlignment w:val="center"/>
              <w:rPr>
                <w:b/>
                <w:bCs/>
                <w:color w:val="auto"/>
                <w:kern w:val="0"/>
                <w:szCs w:val="21"/>
              </w:rPr>
            </w:pPr>
            <w:r>
              <w:rPr>
                <w:b/>
                <w:bCs/>
                <w:color w:val="auto"/>
                <w:kern w:val="0"/>
                <w:szCs w:val="21"/>
              </w:rPr>
              <w:t>所占百分比（%）</w:t>
            </w:r>
          </w:p>
        </w:tc>
      </w:tr>
      <w:tr w14:paraId="057C3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B5E7FB6">
            <w:pPr>
              <w:widowControl/>
              <w:jc w:val="center"/>
              <w:textAlignment w:val="center"/>
              <w:rPr>
                <w:color w:val="auto"/>
                <w:kern w:val="0"/>
                <w:szCs w:val="21"/>
                <w:lang w:bidi="ar"/>
              </w:rPr>
            </w:pPr>
            <w:r>
              <w:rPr>
                <w:b/>
                <w:bCs/>
                <w:color w:val="auto"/>
                <w:kern w:val="0"/>
                <w:szCs w:val="21"/>
              </w:rPr>
              <w:t>森林生态系统</w:t>
            </w:r>
          </w:p>
        </w:tc>
        <w:tc>
          <w:tcPr>
            <w:tcW w:w="0" w:type="auto"/>
            <w:tcBorders>
              <w:tl2br w:val="nil"/>
              <w:tr2bl w:val="nil"/>
            </w:tcBorders>
            <w:vAlign w:val="center"/>
          </w:tcPr>
          <w:p w14:paraId="13562A3C">
            <w:pPr>
              <w:widowControl/>
              <w:jc w:val="center"/>
              <w:textAlignment w:val="center"/>
              <w:rPr>
                <w:color w:val="auto"/>
                <w:kern w:val="0"/>
                <w:szCs w:val="21"/>
                <w:lang w:bidi="ar"/>
              </w:rPr>
            </w:pPr>
            <w:r>
              <w:rPr>
                <w:color w:val="auto"/>
                <w:kern w:val="0"/>
                <w:szCs w:val="21"/>
                <w:lang w:bidi="ar"/>
              </w:rPr>
              <w:t>18.721</w:t>
            </w:r>
          </w:p>
        </w:tc>
        <w:tc>
          <w:tcPr>
            <w:tcW w:w="0" w:type="auto"/>
            <w:tcBorders>
              <w:tl2br w:val="nil"/>
              <w:tr2bl w:val="nil"/>
            </w:tcBorders>
            <w:vAlign w:val="center"/>
          </w:tcPr>
          <w:p w14:paraId="6B9EED5A">
            <w:pPr>
              <w:widowControl/>
              <w:jc w:val="center"/>
              <w:textAlignment w:val="center"/>
              <w:rPr>
                <w:color w:val="auto"/>
                <w:kern w:val="0"/>
                <w:szCs w:val="21"/>
                <w:lang w:bidi="ar"/>
              </w:rPr>
            </w:pPr>
            <w:r>
              <w:rPr>
                <w:color w:val="auto"/>
                <w:kern w:val="0"/>
                <w:szCs w:val="21"/>
                <w:lang w:bidi="ar"/>
              </w:rPr>
              <w:t>3.93</w:t>
            </w:r>
          </w:p>
        </w:tc>
        <w:tc>
          <w:tcPr>
            <w:tcW w:w="0" w:type="auto"/>
            <w:tcBorders>
              <w:tl2br w:val="nil"/>
              <w:tr2bl w:val="nil"/>
            </w:tcBorders>
            <w:vAlign w:val="center"/>
          </w:tcPr>
          <w:p w14:paraId="4B048051">
            <w:pPr>
              <w:widowControl/>
              <w:jc w:val="center"/>
              <w:textAlignment w:val="center"/>
              <w:rPr>
                <w:color w:val="auto"/>
                <w:kern w:val="0"/>
                <w:szCs w:val="21"/>
                <w:lang w:bidi="ar"/>
              </w:rPr>
            </w:pPr>
            <w:r>
              <w:rPr>
                <w:color w:val="auto"/>
                <w:kern w:val="0"/>
                <w:szCs w:val="21"/>
                <w:lang w:bidi="ar"/>
              </w:rPr>
              <w:t>18.911</w:t>
            </w:r>
          </w:p>
        </w:tc>
        <w:tc>
          <w:tcPr>
            <w:tcW w:w="0" w:type="auto"/>
            <w:tcBorders>
              <w:tl2br w:val="nil"/>
              <w:tr2bl w:val="nil"/>
            </w:tcBorders>
            <w:vAlign w:val="center"/>
          </w:tcPr>
          <w:p w14:paraId="06BB8F8D">
            <w:pPr>
              <w:widowControl/>
              <w:jc w:val="center"/>
              <w:textAlignment w:val="center"/>
              <w:rPr>
                <w:color w:val="auto"/>
                <w:kern w:val="0"/>
                <w:szCs w:val="21"/>
                <w:lang w:bidi="ar"/>
              </w:rPr>
            </w:pPr>
            <w:r>
              <w:rPr>
                <w:color w:val="auto"/>
                <w:kern w:val="0"/>
                <w:szCs w:val="21"/>
                <w:lang w:bidi="ar"/>
              </w:rPr>
              <w:t>3.97</w:t>
            </w:r>
          </w:p>
        </w:tc>
        <w:tc>
          <w:tcPr>
            <w:tcW w:w="1179" w:type="dxa"/>
            <w:tcBorders>
              <w:tl2br w:val="nil"/>
              <w:tr2bl w:val="nil"/>
            </w:tcBorders>
            <w:vAlign w:val="center"/>
          </w:tcPr>
          <w:p w14:paraId="647ECBD1">
            <w:pPr>
              <w:widowControl/>
              <w:jc w:val="center"/>
              <w:textAlignment w:val="center"/>
              <w:rPr>
                <w:color w:val="auto"/>
                <w:kern w:val="0"/>
                <w:szCs w:val="21"/>
              </w:rPr>
            </w:pPr>
            <w:r>
              <w:rPr>
                <w:color w:val="auto"/>
                <w:kern w:val="0"/>
                <w:szCs w:val="21"/>
                <w:lang w:bidi="ar"/>
              </w:rPr>
              <w:t>+0.19</w:t>
            </w:r>
          </w:p>
        </w:tc>
        <w:tc>
          <w:tcPr>
            <w:tcW w:w="1299" w:type="dxa"/>
            <w:tcBorders>
              <w:tl2br w:val="nil"/>
              <w:tr2bl w:val="nil"/>
            </w:tcBorders>
            <w:vAlign w:val="center"/>
          </w:tcPr>
          <w:p w14:paraId="6F5E0895">
            <w:pPr>
              <w:widowControl/>
              <w:jc w:val="center"/>
              <w:textAlignment w:val="center"/>
              <w:rPr>
                <w:color w:val="auto"/>
                <w:kern w:val="0"/>
                <w:szCs w:val="21"/>
              </w:rPr>
            </w:pPr>
            <w:r>
              <w:rPr>
                <w:color w:val="auto"/>
                <w:kern w:val="0"/>
                <w:szCs w:val="21"/>
                <w:lang w:bidi="ar"/>
              </w:rPr>
              <w:t>+0.04</w:t>
            </w:r>
          </w:p>
        </w:tc>
      </w:tr>
      <w:tr w14:paraId="5F82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0A993541">
            <w:pPr>
              <w:widowControl/>
              <w:jc w:val="center"/>
              <w:textAlignment w:val="center"/>
              <w:rPr>
                <w:color w:val="auto"/>
                <w:kern w:val="0"/>
                <w:szCs w:val="21"/>
                <w:lang w:bidi="ar"/>
              </w:rPr>
            </w:pPr>
            <w:r>
              <w:rPr>
                <w:b/>
                <w:bCs/>
                <w:color w:val="auto"/>
                <w:kern w:val="0"/>
                <w:szCs w:val="21"/>
              </w:rPr>
              <w:t>灌草地生态系统</w:t>
            </w:r>
          </w:p>
        </w:tc>
        <w:tc>
          <w:tcPr>
            <w:tcW w:w="0" w:type="auto"/>
            <w:tcBorders>
              <w:tl2br w:val="nil"/>
              <w:tr2bl w:val="nil"/>
            </w:tcBorders>
            <w:vAlign w:val="center"/>
          </w:tcPr>
          <w:p w14:paraId="329CA221">
            <w:pPr>
              <w:widowControl/>
              <w:jc w:val="center"/>
              <w:textAlignment w:val="center"/>
              <w:rPr>
                <w:color w:val="auto"/>
                <w:kern w:val="0"/>
                <w:szCs w:val="21"/>
                <w:lang w:bidi="ar"/>
              </w:rPr>
            </w:pPr>
            <w:r>
              <w:rPr>
                <w:color w:val="auto"/>
                <w:kern w:val="0"/>
                <w:szCs w:val="21"/>
                <w:lang w:bidi="ar"/>
              </w:rPr>
              <w:t>83.124</w:t>
            </w:r>
          </w:p>
        </w:tc>
        <w:tc>
          <w:tcPr>
            <w:tcW w:w="0" w:type="auto"/>
            <w:tcBorders>
              <w:tl2br w:val="nil"/>
              <w:tr2bl w:val="nil"/>
            </w:tcBorders>
            <w:vAlign w:val="center"/>
          </w:tcPr>
          <w:p w14:paraId="3E04A993">
            <w:pPr>
              <w:widowControl/>
              <w:jc w:val="center"/>
              <w:textAlignment w:val="center"/>
              <w:rPr>
                <w:color w:val="auto"/>
                <w:kern w:val="0"/>
                <w:szCs w:val="21"/>
                <w:lang w:bidi="ar"/>
              </w:rPr>
            </w:pPr>
            <w:r>
              <w:rPr>
                <w:color w:val="auto"/>
                <w:kern w:val="0"/>
                <w:szCs w:val="21"/>
                <w:lang w:bidi="ar"/>
              </w:rPr>
              <w:t>17.45</w:t>
            </w:r>
          </w:p>
        </w:tc>
        <w:tc>
          <w:tcPr>
            <w:tcW w:w="0" w:type="auto"/>
            <w:tcBorders>
              <w:tl2br w:val="nil"/>
              <w:tr2bl w:val="nil"/>
            </w:tcBorders>
            <w:vAlign w:val="center"/>
          </w:tcPr>
          <w:p w14:paraId="53EA4138">
            <w:pPr>
              <w:widowControl/>
              <w:jc w:val="center"/>
              <w:textAlignment w:val="center"/>
              <w:rPr>
                <w:color w:val="auto"/>
                <w:kern w:val="0"/>
                <w:szCs w:val="21"/>
                <w:lang w:bidi="ar"/>
              </w:rPr>
            </w:pPr>
            <w:r>
              <w:rPr>
                <w:color w:val="auto"/>
                <w:kern w:val="0"/>
                <w:szCs w:val="21"/>
                <w:lang w:bidi="ar"/>
              </w:rPr>
              <w:t>83.458</w:t>
            </w:r>
          </w:p>
        </w:tc>
        <w:tc>
          <w:tcPr>
            <w:tcW w:w="0" w:type="auto"/>
            <w:tcBorders>
              <w:tl2br w:val="nil"/>
              <w:tr2bl w:val="nil"/>
            </w:tcBorders>
            <w:vAlign w:val="center"/>
          </w:tcPr>
          <w:p w14:paraId="5CD4F2DC">
            <w:pPr>
              <w:widowControl/>
              <w:jc w:val="center"/>
              <w:textAlignment w:val="center"/>
              <w:rPr>
                <w:color w:val="auto"/>
                <w:kern w:val="0"/>
                <w:szCs w:val="21"/>
                <w:lang w:bidi="ar"/>
              </w:rPr>
            </w:pPr>
            <w:r>
              <w:rPr>
                <w:color w:val="auto"/>
                <w:kern w:val="0"/>
                <w:szCs w:val="21"/>
                <w:lang w:bidi="ar"/>
              </w:rPr>
              <w:t>17.52</w:t>
            </w:r>
          </w:p>
        </w:tc>
        <w:tc>
          <w:tcPr>
            <w:tcW w:w="1179" w:type="dxa"/>
            <w:tcBorders>
              <w:tl2br w:val="nil"/>
              <w:tr2bl w:val="nil"/>
            </w:tcBorders>
            <w:vAlign w:val="center"/>
          </w:tcPr>
          <w:p w14:paraId="7075C2E0">
            <w:pPr>
              <w:widowControl/>
              <w:jc w:val="center"/>
              <w:textAlignment w:val="center"/>
              <w:rPr>
                <w:color w:val="auto"/>
                <w:kern w:val="0"/>
                <w:szCs w:val="21"/>
              </w:rPr>
            </w:pPr>
            <w:r>
              <w:rPr>
                <w:color w:val="auto"/>
                <w:kern w:val="0"/>
                <w:szCs w:val="21"/>
                <w:lang w:bidi="ar"/>
              </w:rPr>
              <w:t>+0.334</w:t>
            </w:r>
          </w:p>
        </w:tc>
        <w:tc>
          <w:tcPr>
            <w:tcW w:w="1299" w:type="dxa"/>
            <w:tcBorders>
              <w:tl2br w:val="nil"/>
              <w:tr2bl w:val="nil"/>
            </w:tcBorders>
            <w:vAlign w:val="center"/>
          </w:tcPr>
          <w:p w14:paraId="70C20D39">
            <w:pPr>
              <w:widowControl/>
              <w:jc w:val="center"/>
              <w:textAlignment w:val="center"/>
              <w:rPr>
                <w:color w:val="auto"/>
                <w:kern w:val="0"/>
                <w:szCs w:val="21"/>
              </w:rPr>
            </w:pPr>
            <w:r>
              <w:rPr>
                <w:color w:val="auto"/>
                <w:kern w:val="0"/>
                <w:szCs w:val="21"/>
                <w:lang w:bidi="ar"/>
              </w:rPr>
              <w:t>+0.07</w:t>
            </w:r>
          </w:p>
        </w:tc>
      </w:tr>
      <w:tr w14:paraId="7CB06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2237E19F">
            <w:pPr>
              <w:widowControl/>
              <w:jc w:val="center"/>
              <w:textAlignment w:val="center"/>
              <w:rPr>
                <w:color w:val="auto"/>
                <w:kern w:val="0"/>
                <w:szCs w:val="21"/>
                <w:lang w:bidi="ar"/>
              </w:rPr>
            </w:pPr>
            <w:r>
              <w:rPr>
                <w:b/>
                <w:bCs/>
                <w:color w:val="auto"/>
                <w:kern w:val="0"/>
                <w:szCs w:val="21"/>
              </w:rPr>
              <w:t>农业生态系统</w:t>
            </w:r>
          </w:p>
        </w:tc>
        <w:tc>
          <w:tcPr>
            <w:tcW w:w="0" w:type="auto"/>
            <w:tcBorders>
              <w:tl2br w:val="nil"/>
              <w:tr2bl w:val="nil"/>
            </w:tcBorders>
            <w:vAlign w:val="center"/>
          </w:tcPr>
          <w:p w14:paraId="54D743B6">
            <w:pPr>
              <w:widowControl/>
              <w:jc w:val="center"/>
              <w:textAlignment w:val="center"/>
              <w:rPr>
                <w:color w:val="auto"/>
                <w:kern w:val="0"/>
                <w:szCs w:val="21"/>
                <w:lang w:bidi="ar"/>
              </w:rPr>
            </w:pPr>
            <w:r>
              <w:rPr>
                <w:color w:val="auto"/>
                <w:kern w:val="0"/>
                <w:szCs w:val="21"/>
                <w:lang w:bidi="ar"/>
              </w:rPr>
              <w:t>121.852</w:t>
            </w:r>
          </w:p>
        </w:tc>
        <w:tc>
          <w:tcPr>
            <w:tcW w:w="0" w:type="auto"/>
            <w:tcBorders>
              <w:tl2br w:val="nil"/>
              <w:tr2bl w:val="nil"/>
            </w:tcBorders>
            <w:vAlign w:val="center"/>
          </w:tcPr>
          <w:p w14:paraId="614D8ABC">
            <w:pPr>
              <w:widowControl/>
              <w:jc w:val="center"/>
              <w:textAlignment w:val="center"/>
              <w:rPr>
                <w:color w:val="auto"/>
                <w:kern w:val="0"/>
                <w:szCs w:val="21"/>
                <w:lang w:bidi="ar"/>
              </w:rPr>
            </w:pPr>
            <w:r>
              <w:rPr>
                <w:color w:val="auto"/>
                <w:kern w:val="0"/>
                <w:szCs w:val="21"/>
                <w:lang w:bidi="ar"/>
              </w:rPr>
              <w:t>25.58</w:t>
            </w:r>
          </w:p>
        </w:tc>
        <w:tc>
          <w:tcPr>
            <w:tcW w:w="0" w:type="auto"/>
            <w:tcBorders>
              <w:tl2br w:val="nil"/>
              <w:tr2bl w:val="nil"/>
            </w:tcBorders>
            <w:vAlign w:val="center"/>
          </w:tcPr>
          <w:p w14:paraId="76D04488">
            <w:pPr>
              <w:widowControl/>
              <w:jc w:val="center"/>
              <w:textAlignment w:val="center"/>
              <w:rPr>
                <w:color w:val="auto"/>
                <w:kern w:val="0"/>
                <w:szCs w:val="21"/>
                <w:lang w:bidi="ar"/>
              </w:rPr>
            </w:pPr>
            <w:r>
              <w:rPr>
                <w:color w:val="auto"/>
                <w:kern w:val="0"/>
                <w:szCs w:val="21"/>
                <w:lang w:bidi="ar"/>
              </w:rPr>
              <w:t>121.852</w:t>
            </w:r>
          </w:p>
        </w:tc>
        <w:tc>
          <w:tcPr>
            <w:tcW w:w="0" w:type="auto"/>
            <w:tcBorders>
              <w:tl2br w:val="nil"/>
              <w:tr2bl w:val="nil"/>
            </w:tcBorders>
            <w:vAlign w:val="center"/>
          </w:tcPr>
          <w:p w14:paraId="2EE20760">
            <w:pPr>
              <w:widowControl/>
              <w:jc w:val="center"/>
              <w:textAlignment w:val="center"/>
              <w:rPr>
                <w:color w:val="auto"/>
                <w:kern w:val="0"/>
                <w:szCs w:val="21"/>
                <w:lang w:bidi="ar"/>
              </w:rPr>
            </w:pPr>
            <w:r>
              <w:rPr>
                <w:color w:val="auto"/>
                <w:kern w:val="0"/>
                <w:szCs w:val="21"/>
                <w:lang w:bidi="ar"/>
              </w:rPr>
              <w:t>25.58</w:t>
            </w:r>
          </w:p>
        </w:tc>
        <w:tc>
          <w:tcPr>
            <w:tcW w:w="1179" w:type="dxa"/>
            <w:tcBorders>
              <w:tl2br w:val="nil"/>
              <w:tr2bl w:val="nil"/>
            </w:tcBorders>
            <w:vAlign w:val="center"/>
          </w:tcPr>
          <w:p w14:paraId="3041ABFE">
            <w:pPr>
              <w:widowControl/>
              <w:jc w:val="center"/>
              <w:textAlignment w:val="center"/>
              <w:rPr>
                <w:color w:val="auto"/>
                <w:kern w:val="0"/>
                <w:szCs w:val="21"/>
              </w:rPr>
            </w:pPr>
            <w:r>
              <w:rPr>
                <w:color w:val="auto"/>
                <w:kern w:val="0"/>
                <w:szCs w:val="21"/>
                <w:lang w:bidi="ar"/>
              </w:rPr>
              <w:t>0</w:t>
            </w:r>
          </w:p>
        </w:tc>
        <w:tc>
          <w:tcPr>
            <w:tcW w:w="1299" w:type="dxa"/>
            <w:tcBorders>
              <w:tl2br w:val="nil"/>
              <w:tr2bl w:val="nil"/>
            </w:tcBorders>
            <w:vAlign w:val="center"/>
          </w:tcPr>
          <w:p w14:paraId="626FF900">
            <w:pPr>
              <w:widowControl/>
              <w:jc w:val="center"/>
              <w:textAlignment w:val="center"/>
              <w:rPr>
                <w:color w:val="auto"/>
                <w:kern w:val="0"/>
                <w:szCs w:val="21"/>
              </w:rPr>
            </w:pPr>
            <w:r>
              <w:rPr>
                <w:color w:val="auto"/>
                <w:kern w:val="0"/>
                <w:szCs w:val="21"/>
                <w:lang w:bidi="ar"/>
              </w:rPr>
              <w:t>0</w:t>
            </w:r>
          </w:p>
        </w:tc>
      </w:tr>
      <w:tr w14:paraId="4BCBC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7062F27">
            <w:pPr>
              <w:widowControl/>
              <w:jc w:val="center"/>
              <w:textAlignment w:val="center"/>
              <w:rPr>
                <w:color w:val="auto"/>
                <w:kern w:val="0"/>
                <w:szCs w:val="21"/>
                <w:lang w:bidi="ar"/>
              </w:rPr>
            </w:pPr>
            <w:r>
              <w:rPr>
                <w:b/>
                <w:bCs/>
                <w:color w:val="auto"/>
                <w:kern w:val="0"/>
                <w:szCs w:val="21"/>
              </w:rPr>
              <w:t>湿地生态系统</w:t>
            </w:r>
          </w:p>
        </w:tc>
        <w:tc>
          <w:tcPr>
            <w:tcW w:w="0" w:type="auto"/>
            <w:tcBorders>
              <w:tl2br w:val="nil"/>
              <w:tr2bl w:val="nil"/>
            </w:tcBorders>
            <w:vAlign w:val="center"/>
          </w:tcPr>
          <w:p w14:paraId="634BB5B8">
            <w:pPr>
              <w:widowControl/>
              <w:jc w:val="center"/>
              <w:textAlignment w:val="center"/>
              <w:rPr>
                <w:color w:val="auto"/>
                <w:kern w:val="0"/>
                <w:szCs w:val="21"/>
                <w:lang w:bidi="ar"/>
              </w:rPr>
            </w:pPr>
            <w:r>
              <w:rPr>
                <w:color w:val="auto"/>
                <w:kern w:val="0"/>
                <w:szCs w:val="21"/>
                <w:lang w:bidi="ar"/>
              </w:rPr>
              <w:t>213.265</w:t>
            </w:r>
          </w:p>
        </w:tc>
        <w:tc>
          <w:tcPr>
            <w:tcW w:w="0" w:type="auto"/>
            <w:tcBorders>
              <w:tl2br w:val="nil"/>
              <w:tr2bl w:val="nil"/>
            </w:tcBorders>
            <w:vAlign w:val="center"/>
          </w:tcPr>
          <w:p w14:paraId="6A8749C7">
            <w:pPr>
              <w:widowControl/>
              <w:jc w:val="center"/>
              <w:textAlignment w:val="center"/>
              <w:rPr>
                <w:color w:val="auto"/>
                <w:kern w:val="0"/>
                <w:szCs w:val="21"/>
                <w:lang w:bidi="ar"/>
              </w:rPr>
            </w:pPr>
            <w:r>
              <w:rPr>
                <w:color w:val="auto"/>
                <w:kern w:val="0"/>
                <w:szCs w:val="21"/>
                <w:lang w:bidi="ar"/>
              </w:rPr>
              <w:t>44.77</w:t>
            </w:r>
          </w:p>
        </w:tc>
        <w:tc>
          <w:tcPr>
            <w:tcW w:w="0" w:type="auto"/>
            <w:tcBorders>
              <w:tl2br w:val="nil"/>
              <w:tr2bl w:val="nil"/>
            </w:tcBorders>
            <w:vAlign w:val="center"/>
          </w:tcPr>
          <w:p w14:paraId="632653BF">
            <w:pPr>
              <w:widowControl/>
              <w:jc w:val="center"/>
              <w:textAlignment w:val="center"/>
              <w:rPr>
                <w:color w:val="auto"/>
                <w:kern w:val="0"/>
                <w:szCs w:val="21"/>
                <w:lang w:bidi="ar"/>
              </w:rPr>
            </w:pPr>
            <w:r>
              <w:rPr>
                <w:color w:val="auto"/>
                <w:kern w:val="0"/>
                <w:szCs w:val="21"/>
                <w:lang w:bidi="ar"/>
              </w:rPr>
              <w:t>213.456</w:t>
            </w:r>
          </w:p>
        </w:tc>
        <w:tc>
          <w:tcPr>
            <w:tcW w:w="0" w:type="auto"/>
            <w:tcBorders>
              <w:tl2br w:val="nil"/>
              <w:tr2bl w:val="nil"/>
            </w:tcBorders>
            <w:vAlign w:val="center"/>
          </w:tcPr>
          <w:p w14:paraId="5067BB46">
            <w:pPr>
              <w:widowControl/>
              <w:jc w:val="center"/>
              <w:textAlignment w:val="center"/>
              <w:rPr>
                <w:color w:val="auto"/>
                <w:kern w:val="0"/>
                <w:szCs w:val="21"/>
                <w:lang w:bidi="ar"/>
              </w:rPr>
            </w:pPr>
            <w:r>
              <w:rPr>
                <w:color w:val="auto"/>
                <w:kern w:val="0"/>
                <w:szCs w:val="21"/>
                <w:lang w:bidi="ar"/>
              </w:rPr>
              <w:t>44.81</w:t>
            </w:r>
          </w:p>
        </w:tc>
        <w:tc>
          <w:tcPr>
            <w:tcW w:w="1179" w:type="dxa"/>
            <w:tcBorders>
              <w:tl2br w:val="nil"/>
              <w:tr2bl w:val="nil"/>
            </w:tcBorders>
            <w:vAlign w:val="center"/>
          </w:tcPr>
          <w:p w14:paraId="3688540E">
            <w:pPr>
              <w:widowControl/>
              <w:jc w:val="center"/>
              <w:textAlignment w:val="center"/>
              <w:rPr>
                <w:color w:val="auto"/>
                <w:kern w:val="0"/>
                <w:szCs w:val="21"/>
              </w:rPr>
            </w:pPr>
            <w:r>
              <w:rPr>
                <w:color w:val="auto"/>
                <w:kern w:val="0"/>
                <w:szCs w:val="21"/>
                <w:lang w:bidi="ar"/>
              </w:rPr>
              <w:t>+0.191</w:t>
            </w:r>
          </w:p>
        </w:tc>
        <w:tc>
          <w:tcPr>
            <w:tcW w:w="1299" w:type="dxa"/>
            <w:tcBorders>
              <w:tl2br w:val="nil"/>
              <w:tr2bl w:val="nil"/>
            </w:tcBorders>
            <w:vAlign w:val="center"/>
          </w:tcPr>
          <w:p w14:paraId="270D7EF2">
            <w:pPr>
              <w:widowControl/>
              <w:jc w:val="center"/>
              <w:textAlignment w:val="center"/>
              <w:rPr>
                <w:color w:val="auto"/>
                <w:kern w:val="0"/>
                <w:szCs w:val="21"/>
              </w:rPr>
            </w:pPr>
            <w:r>
              <w:rPr>
                <w:color w:val="auto"/>
                <w:kern w:val="0"/>
                <w:szCs w:val="21"/>
                <w:lang w:bidi="ar"/>
              </w:rPr>
              <w:t>+0.04</w:t>
            </w:r>
          </w:p>
        </w:tc>
      </w:tr>
      <w:tr w14:paraId="4E1B9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63752841">
            <w:pPr>
              <w:widowControl/>
              <w:jc w:val="center"/>
              <w:textAlignment w:val="center"/>
              <w:rPr>
                <w:color w:val="auto"/>
                <w:kern w:val="0"/>
                <w:szCs w:val="21"/>
                <w:lang w:bidi="ar"/>
              </w:rPr>
            </w:pPr>
            <w:r>
              <w:rPr>
                <w:b/>
                <w:bCs/>
                <w:color w:val="auto"/>
                <w:kern w:val="0"/>
                <w:szCs w:val="21"/>
              </w:rPr>
              <w:t>城镇/村落生态系统</w:t>
            </w:r>
          </w:p>
        </w:tc>
        <w:tc>
          <w:tcPr>
            <w:tcW w:w="0" w:type="auto"/>
            <w:tcBorders>
              <w:tl2br w:val="nil"/>
              <w:tr2bl w:val="nil"/>
            </w:tcBorders>
            <w:vAlign w:val="center"/>
          </w:tcPr>
          <w:p w14:paraId="20963BED">
            <w:pPr>
              <w:widowControl/>
              <w:jc w:val="center"/>
              <w:textAlignment w:val="center"/>
              <w:rPr>
                <w:color w:val="auto"/>
                <w:kern w:val="0"/>
                <w:szCs w:val="21"/>
                <w:lang w:bidi="ar"/>
              </w:rPr>
            </w:pPr>
            <w:r>
              <w:rPr>
                <w:color w:val="auto"/>
                <w:kern w:val="0"/>
                <w:szCs w:val="21"/>
                <w:lang w:bidi="ar"/>
              </w:rPr>
              <w:t>39.395</w:t>
            </w:r>
          </w:p>
        </w:tc>
        <w:tc>
          <w:tcPr>
            <w:tcW w:w="0" w:type="auto"/>
            <w:tcBorders>
              <w:tl2br w:val="nil"/>
              <w:tr2bl w:val="nil"/>
            </w:tcBorders>
            <w:vAlign w:val="center"/>
          </w:tcPr>
          <w:p w14:paraId="3E85C5AB">
            <w:pPr>
              <w:widowControl/>
              <w:jc w:val="center"/>
              <w:textAlignment w:val="center"/>
              <w:rPr>
                <w:color w:val="auto"/>
                <w:kern w:val="0"/>
                <w:szCs w:val="21"/>
                <w:lang w:bidi="ar"/>
              </w:rPr>
            </w:pPr>
            <w:r>
              <w:rPr>
                <w:color w:val="auto"/>
                <w:kern w:val="0"/>
                <w:szCs w:val="21"/>
                <w:lang w:bidi="ar"/>
              </w:rPr>
              <w:t>8.27</w:t>
            </w:r>
          </w:p>
        </w:tc>
        <w:tc>
          <w:tcPr>
            <w:tcW w:w="0" w:type="auto"/>
            <w:tcBorders>
              <w:tl2br w:val="nil"/>
              <w:tr2bl w:val="nil"/>
            </w:tcBorders>
            <w:vAlign w:val="center"/>
          </w:tcPr>
          <w:p w14:paraId="2CFD1168">
            <w:pPr>
              <w:widowControl/>
              <w:jc w:val="center"/>
              <w:textAlignment w:val="center"/>
              <w:rPr>
                <w:color w:val="auto"/>
                <w:kern w:val="0"/>
                <w:szCs w:val="21"/>
                <w:lang w:bidi="ar"/>
              </w:rPr>
            </w:pPr>
            <w:r>
              <w:rPr>
                <w:color w:val="auto"/>
                <w:kern w:val="0"/>
                <w:szCs w:val="21"/>
                <w:lang w:bidi="ar"/>
              </w:rPr>
              <w:t>38.680</w:t>
            </w:r>
          </w:p>
        </w:tc>
        <w:tc>
          <w:tcPr>
            <w:tcW w:w="0" w:type="auto"/>
            <w:tcBorders>
              <w:tl2br w:val="nil"/>
              <w:tr2bl w:val="nil"/>
            </w:tcBorders>
            <w:vAlign w:val="center"/>
          </w:tcPr>
          <w:p w14:paraId="039185EC">
            <w:pPr>
              <w:widowControl/>
              <w:jc w:val="center"/>
              <w:textAlignment w:val="center"/>
              <w:rPr>
                <w:color w:val="auto"/>
                <w:kern w:val="0"/>
                <w:szCs w:val="21"/>
                <w:lang w:bidi="ar"/>
              </w:rPr>
            </w:pPr>
            <w:r>
              <w:rPr>
                <w:color w:val="auto"/>
                <w:kern w:val="0"/>
                <w:szCs w:val="21"/>
                <w:lang w:bidi="ar"/>
              </w:rPr>
              <w:t>8.12</w:t>
            </w:r>
          </w:p>
        </w:tc>
        <w:tc>
          <w:tcPr>
            <w:tcW w:w="1179" w:type="dxa"/>
            <w:tcBorders>
              <w:tl2br w:val="nil"/>
              <w:tr2bl w:val="nil"/>
            </w:tcBorders>
            <w:vAlign w:val="center"/>
          </w:tcPr>
          <w:p w14:paraId="00CB58A0">
            <w:pPr>
              <w:widowControl/>
              <w:jc w:val="center"/>
              <w:textAlignment w:val="center"/>
              <w:rPr>
                <w:color w:val="auto"/>
                <w:kern w:val="0"/>
                <w:szCs w:val="21"/>
              </w:rPr>
            </w:pPr>
            <w:r>
              <w:rPr>
                <w:color w:val="auto"/>
                <w:kern w:val="0"/>
                <w:szCs w:val="21"/>
                <w:lang w:bidi="ar"/>
              </w:rPr>
              <w:t>-0.715</w:t>
            </w:r>
          </w:p>
        </w:tc>
        <w:tc>
          <w:tcPr>
            <w:tcW w:w="1299" w:type="dxa"/>
            <w:tcBorders>
              <w:tl2br w:val="nil"/>
              <w:tr2bl w:val="nil"/>
            </w:tcBorders>
            <w:vAlign w:val="center"/>
          </w:tcPr>
          <w:p w14:paraId="141393D9">
            <w:pPr>
              <w:widowControl/>
              <w:jc w:val="center"/>
              <w:textAlignment w:val="center"/>
              <w:rPr>
                <w:color w:val="auto"/>
                <w:kern w:val="0"/>
                <w:szCs w:val="21"/>
              </w:rPr>
            </w:pPr>
            <w:r>
              <w:rPr>
                <w:color w:val="auto"/>
                <w:kern w:val="0"/>
                <w:szCs w:val="21"/>
                <w:lang w:bidi="ar"/>
              </w:rPr>
              <w:t>-0.15</w:t>
            </w:r>
          </w:p>
        </w:tc>
      </w:tr>
      <w:tr w14:paraId="13072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33A4835">
            <w:pPr>
              <w:widowControl/>
              <w:jc w:val="center"/>
              <w:textAlignment w:val="center"/>
              <w:rPr>
                <w:color w:val="auto"/>
                <w:kern w:val="0"/>
                <w:szCs w:val="21"/>
                <w:lang w:bidi="ar"/>
              </w:rPr>
            </w:pPr>
            <w:r>
              <w:rPr>
                <w:b/>
                <w:bCs/>
                <w:color w:val="auto"/>
                <w:kern w:val="0"/>
                <w:szCs w:val="21"/>
                <w:lang w:bidi="ar"/>
              </w:rPr>
              <w:t>合计</w:t>
            </w:r>
          </w:p>
        </w:tc>
        <w:tc>
          <w:tcPr>
            <w:tcW w:w="0" w:type="auto"/>
            <w:tcBorders>
              <w:tl2br w:val="nil"/>
              <w:tr2bl w:val="nil"/>
            </w:tcBorders>
            <w:vAlign w:val="center"/>
          </w:tcPr>
          <w:p w14:paraId="3DF0C3AA">
            <w:pPr>
              <w:widowControl/>
              <w:jc w:val="center"/>
              <w:textAlignment w:val="center"/>
              <w:rPr>
                <w:color w:val="auto"/>
                <w:kern w:val="0"/>
                <w:szCs w:val="21"/>
                <w:lang w:bidi="ar"/>
              </w:rPr>
            </w:pPr>
            <w:r>
              <w:rPr>
                <w:color w:val="auto"/>
                <w:kern w:val="0"/>
                <w:szCs w:val="21"/>
              </w:rPr>
              <w:t>476.357</w:t>
            </w:r>
          </w:p>
        </w:tc>
        <w:tc>
          <w:tcPr>
            <w:tcW w:w="0" w:type="auto"/>
            <w:tcBorders>
              <w:tl2br w:val="nil"/>
              <w:tr2bl w:val="nil"/>
            </w:tcBorders>
            <w:vAlign w:val="center"/>
          </w:tcPr>
          <w:p w14:paraId="588F2341">
            <w:pPr>
              <w:widowControl/>
              <w:jc w:val="center"/>
              <w:rPr>
                <w:color w:val="auto"/>
                <w:kern w:val="0"/>
                <w:szCs w:val="21"/>
                <w:lang w:bidi="ar"/>
              </w:rPr>
            </w:pPr>
            <w:r>
              <w:rPr>
                <w:color w:val="auto"/>
                <w:kern w:val="0"/>
                <w:szCs w:val="21"/>
              </w:rPr>
              <w:t>100</w:t>
            </w:r>
          </w:p>
        </w:tc>
        <w:tc>
          <w:tcPr>
            <w:tcW w:w="0" w:type="auto"/>
            <w:tcBorders>
              <w:tl2br w:val="nil"/>
              <w:tr2bl w:val="nil"/>
            </w:tcBorders>
            <w:vAlign w:val="center"/>
          </w:tcPr>
          <w:p w14:paraId="06484DEF">
            <w:pPr>
              <w:widowControl/>
              <w:jc w:val="center"/>
              <w:textAlignment w:val="center"/>
              <w:rPr>
                <w:color w:val="auto"/>
                <w:kern w:val="0"/>
                <w:szCs w:val="21"/>
                <w:lang w:bidi="ar"/>
              </w:rPr>
            </w:pPr>
            <w:r>
              <w:rPr>
                <w:color w:val="auto"/>
                <w:kern w:val="0"/>
                <w:szCs w:val="21"/>
              </w:rPr>
              <w:t>476.357</w:t>
            </w:r>
          </w:p>
        </w:tc>
        <w:tc>
          <w:tcPr>
            <w:tcW w:w="0" w:type="auto"/>
            <w:tcBorders>
              <w:tl2br w:val="nil"/>
              <w:tr2bl w:val="nil"/>
            </w:tcBorders>
            <w:vAlign w:val="center"/>
          </w:tcPr>
          <w:p w14:paraId="1EE26AB8">
            <w:pPr>
              <w:widowControl/>
              <w:jc w:val="center"/>
              <w:rPr>
                <w:color w:val="auto"/>
                <w:kern w:val="0"/>
                <w:szCs w:val="21"/>
                <w:lang w:bidi="ar"/>
              </w:rPr>
            </w:pPr>
            <w:r>
              <w:rPr>
                <w:color w:val="auto"/>
                <w:kern w:val="0"/>
                <w:szCs w:val="21"/>
              </w:rPr>
              <w:t>100</w:t>
            </w:r>
          </w:p>
        </w:tc>
        <w:tc>
          <w:tcPr>
            <w:tcW w:w="0" w:type="auto"/>
            <w:tcBorders>
              <w:tl2br w:val="nil"/>
              <w:tr2bl w:val="nil"/>
            </w:tcBorders>
            <w:vAlign w:val="center"/>
          </w:tcPr>
          <w:p w14:paraId="6F24E4B7">
            <w:pPr>
              <w:widowControl/>
              <w:jc w:val="center"/>
              <w:rPr>
                <w:color w:val="auto"/>
                <w:kern w:val="0"/>
                <w:szCs w:val="21"/>
              </w:rPr>
            </w:pPr>
            <w:r>
              <w:rPr>
                <w:color w:val="auto"/>
                <w:kern w:val="0"/>
                <w:szCs w:val="21"/>
              </w:rPr>
              <w:t>0</w:t>
            </w:r>
          </w:p>
        </w:tc>
        <w:tc>
          <w:tcPr>
            <w:tcW w:w="0" w:type="auto"/>
            <w:tcBorders>
              <w:tl2br w:val="nil"/>
              <w:tr2bl w:val="nil"/>
            </w:tcBorders>
            <w:vAlign w:val="center"/>
          </w:tcPr>
          <w:p w14:paraId="75673272">
            <w:pPr>
              <w:widowControl/>
              <w:jc w:val="center"/>
              <w:rPr>
                <w:color w:val="auto"/>
                <w:kern w:val="0"/>
                <w:szCs w:val="21"/>
              </w:rPr>
            </w:pPr>
            <w:r>
              <w:rPr>
                <w:color w:val="auto"/>
                <w:kern w:val="0"/>
                <w:szCs w:val="21"/>
              </w:rPr>
              <w:t>0</w:t>
            </w:r>
          </w:p>
        </w:tc>
      </w:tr>
    </w:tbl>
    <w:p w14:paraId="13F8D200">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3.2对生态系统结构的影响</w:t>
      </w:r>
    </w:p>
    <w:p w14:paraId="4B9CFA41">
      <w:pPr>
        <w:spacing w:line="360" w:lineRule="auto"/>
        <w:ind w:firstLine="480" w:firstLineChars="200"/>
        <w:jc w:val="left"/>
        <w:rPr>
          <w:color w:val="auto"/>
          <w:kern w:val="0"/>
          <w:sz w:val="24"/>
        </w:rPr>
      </w:pPr>
      <w:r>
        <w:rPr>
          <w:color w:val="auto"/>
          <w:kern w:val="0"/>
          <w:sz w:val="24"/>
        </w:rPr>
        <w:t>生态系统结构主要包括组分结构、时空结构和营养结构三个方面。</w:t>
      </w:r>
    </w:p>
    <w:p w14:paraId="6039688D">
      <w:pPr>
        <w:adjustRightInd w:val="0"/>
        <w:spacing w:line="360" w:lineRule="auto"/>
        <w:jc w:val="left"/>
        <w:outlineLvl w:val="3"/>
        <w:rPr>
          <w:b/>
          <w:bCs/>
          <w:color w:val="auto"/>
          <w:sz w:val="24"/>
        </w:rPr>
      </w:pPr>
      <w:r>
        <w:rPr>
          <w:rFonts w:hint="eastAsia"/>
          <w:b/>
          <w:bCs/>
          <w:color w:val="auto"/>
          <w:sz w:val="24"/>
        </w:rPr>
        <w:t>4.</w:t>
      </w:r>
      <w:r>
        <w:rPr>
          <w:b/>
          <w:bCs/>
          <w:color w:val="auto"/>
          <w:sz w:val="24"/>
        </w:rPr>
        <w:t>3.2.1组分结构</w:t>
      </w:r>
    </w:p>
    <w:p w14:paraId="156CDA5E">
      <w:pPr>
        <w:spacing w:line="360" w:lineRule="auto"/>
        <w:ind w:firstLine="480" w:firstLineChars="200"/>
        <w:jc w:val="left"/>
        <w:rPr>
          <w:color w:val="auto"/>
          <w:kern w:val="0"/>
          <w:sz w:val="24"/>
        </w:rPr>
      </w:pPr>
      <w:r>
        <w:rPr>
          <w:color w:val="auto"/>
          <w:kern w:val="0"/>
          <w:sz w:val="24"/>
        </w:rPr>
        <w:t>组分结构主要讨论的是生物群落的种类组成及格各组分之间的量比关系。通过对比施工前后土地利用类型和生态系统类型变化可知，评价区内湿地生态系统、农田生态系统在工程建设前后均占优势，村镇生态系统减少0.715%，幅度相比较小，区域内以加杨（</w:t>
      </w:r>
      <w:r>
        <w:rPr>
          <w:i/>
          <w:iCs/>
          <w:color w:val="auto"/>
          <w:kern w:val="0"/>
          <w:sz w:val="24"/>
        </w:rPr>
        <w:t>Populus×canadensis</w:t>
      </w:r>
      <w:r>
        <w:rPr>
          <w:color w:val="auto"/>
          <w:kern w:val="0"/>
          <w:sz w:val="24"/>
        </w:rPr>
        <w:t>）、桑（</w:t>
      </w:r>
      <w:r>
        <w:rPr>
          <w:i/>
          <w:iCs/>
          <w:color w:val="auto"/>
          <w:kern w:val="0"/>
          <w:sz w:val="24"/>
        </w:rPr>
        <w:t>Morus alba</w:t>
      </w:r>
      <w:r>
        <w:rPr>
          <w:color w:val="auto"/>
          <w:kern w:val="0"/>
          <w:sz w:val="24"/>
        </w:rPr>
        <w:t>）、构树（</w:t>
      </w:r>
      <w:r>
        <w:rPr>
          <w:i/>
          <w:iCs/>
          <w:color w:val="auto"/>
          <w:kern w:val="0"/>
          <w:sz w:val="24"/>
        </w:rPr>
        <w:t>Phragmites australis</w:t>
      </w:r>
      <w:r>
        <w:rPr>
          <w:color w:val="auto"/>
          <w:kern w:val="0"/>
          <w:sz w:val="24"/>
        </w:rPr>
        <w:t>）、狗牙根（</w:t>
      </w:r>
      <w:r>
        <w:rPr>
          <w:i/>
          <w:iCs/>
          <w:color w:val="auto"/>
          <w:kern w:val="0"/>
          <w:sz w:val="24"/>
        </w:rPr>
        <w:t>Cynodon dactylon</w:t>
      </w:r>
      <w:r>
        <w:rPr>
          <w:color w:val="auto"/>
          <w:kern w:val="0"/>
          <w:sz w:val="24"/>
        </w:rPr>
        <w:t>）、毛轴莎草（</w:t>
      </w:r>
      <w:r>
        <w:rPr>
          <w:i/>
          <w:iCs/>
          <w:color w:val="auto"/>
          <w:kern w:val="0"/>
          <w:sz w:val="24"/>
        </w:rPr>
        <w:t>Cyperus pilosus</w:t>
      </w:r>
      <w:r>
        <w:rPr>
          <w:color w:val="auto"/>
          <w:kern w:val="0"/>
          <w:sz w:val="24"/>
        </w:rPr>
        <w:t>）、酸模叶蓼（</w:t>
      </w:r>
      <w:r>
        <w:rPr>
          <w:i/>
          <w:iCs/>
          <w:color w:val="auto"/>
          <w:kern w:val="0"/>
          <w:sz w:val="24"/>
        </w:rPr>
        <w:t>Persicaria lapathifolia</w:t>
      </w:r>
      <w:r>
        <w:rPr>
          <w:color w:val="auto"/>
          <w:kern w:val="0"/>
          <w:sz w:val="24"/>
        </w:rPr>
        <w:t>）、萎蒿（</w:t>
      </w:r>
      <w:r>
        <w:rPr>
          <w:i/>
          <w:iCs/>
          <w:color w:val="auto"/>
          <w:kern w:val="0"/>
          <w:sz w:val="24"/>
        </w:rPr>
        <w:t>Artemisia selengensis</w:t>
      </w:r>
      <w:r>
        <w:rPr>
          <w:color w:val="auto"/>
          <w:kern w:val="0"/>
          <w:sz w:val="24"/>
        </w:rPr>
        <w:t>）、芦苇（</w:t>
      </w:r>
      <w:r>
        <w:rPr>
          <w:i/>
          <w:iCs/>
          <w:color w:val="auto"/>
          <w:kern w:val="0"/>
          <w:sz w:val="24"/>
        </w:rPr>
        <w:t>Phragmites australis</w:t>
      </w:r>
      <w:r>
        <w:rPr>
          <w:color w:val="auto"/>
          <w:kern w:val="0"/>
          <w:sz w:val="24"/>
        </w:rPr>
        <w:t>）、凤眼莲（</w:t>
      </w:r>
      <w:r>
        <w:rPr>
          <w:i/>
          <w:iCs/>
          <w:color w:val="auto"/>
          <w:kern w:val="0"/>
          <w:sz w:val="24"/>
        </w:rPr>
        <w:t>Eichhornia crassipes</w:t>
      </w:r>
      <w:r>
        <w:rPr>
          <w:color w:val="auto"/>
          <w:kern w:val="0"/>
          <w:sz w:val="24"/>
        </w:rPr>
        <w:t>）、空心莲子草（</w:t>
      </w:r>
      <w:r>
        <w:rPr>
          <w:i/>
          <w:iCs/>
          <w:color w:val="auto"/>
          <w:kern w:val="0"/>
          <w:sz w:val="24"/>
        </w:rPr>
        <w:t>Alternanthera philoxeroides</w:t>
      </w:r>
      <w:r>
        <w:rPr>
          <w:color w:val="auto"/>
          <w:kern w:val="0"/>
          <w:sz w:val="24"/>
        </w:rPr>
        <w:t>）等群系类型为主，由此可见群系类型及组成多为常见种，且成分简单，因此工程对生态系统组分结构影响较小。</w:t>
      </w:r>
    </w:p>
    <w:p w14:paraId="0C020644">
      <w:pPr>
        <w:adjustRightInd w:val="0"/>
        <w:spacing w:line="360" w:lineRule="auto"/>
        <w:jc w:val="left"/>
        <w:outlineLvl w:val="3"/>
        <w:rPr>
          <w:b/>
          <w:bCs/>
          <w:color w:val="auto"/>
          <w:sz w:val="24"/>
        </w:rPr>
      </w:pPr>
      <w:r>
        <w:rPr>
          <w:rFonts w:hint="eastAsia"/>
          <w:b/>
          <w:bCs/>
          <w:color w:val="auto"/>
          <w:sz w:val="24"/>
        </w:rPr>
        <w:t>4.</w:t>
      </w:r>
      <w:r>
        <w:rPr>
          <w:b/>
          <w:bCs/>
          <w:color w:val="auto"/>
          <w:sz w:val="24"/>
        </w:rPr>
        <w:t>3.2.2时空结构</w:t>
      </w:r>
    </w:p>
    <w:p w14:paraId="44B7286F">
      <w:pPr>
        <w:spacing w:line="360" w:lineRule="auto"/>
        <w:ind w:firstLine="480" w:firstLineChars="200"/>
        <w:jc w:val="left"/>
        <w:rPr>
          <w:color w:val="auto"/>
          <w:kern w:val="0"/>
          <w:sz w:val="24"/>
        </w:rPr>
      </w:pPr>
      <w:r>
        <w:rPr>
          <w:color w:val="auto"/>
          <w:kern w:val="0"/>
          <w:sz w:val="24"/>
        </w:rPr>
        <w:t>时空结构包括水平分布上的镶嵌性、垂直分布上的成层性和时间上的发展演替特征，即水平结构、垂直结构和时空分布格局。</w:t>
      </w:r>
    </w:p>
    <w:p w14:paraId="4196F9F9">
      <w:pPr>
        <w:spacing w:line="360" w:lineRule="auto"/>
        <w:ind w:firstLine="480" w:firstLineChars="200"/>
        <w:jc w:val="left"/>
        <w:rPr>
          <w:color w:val="auto"/>
          <w:kern w:val="0"/>
          <w:sz w:val="24"/>
        </w:rPr>
      </w:pPr>
      <w:r>
        <w:rPr>
          <w:color w:val="auto"/>
          <w:kern w:val="0"/>
          <w:sz w:val="24"/>
        </w:rPr>
        <w:t>水平结构：生态系统的水平结构是指在一定生态区域内生物类群在水平空间上的组合与分布，主要受地形、水文、土壤、气候等环境因子的影响。评价区内植被的水平分布来源于人为干扰强度不同及水文的差异。工程堤岸背水面以耕地及建筑用地为主，人为活动频繁，植被以栽培植被及次生植被为主，栽培植被主要为水稻、玉米等；次生植被主要有构树、狗牙根等。堤岸迎水面以滩涂地及水域为主，植被多为湿地植被及栽培植被，湿地植被常见有蒌蒿、芦苇、酸模叶蓼、凤眼莲、空心莲子草等；栽培植被主要为人工防护林，常见有加杨等。评价区水系发达，农耕历史悠久，人为活动频繁，区内基本不存在原生植被，自然植被分布较少，群落结构组成相对简单。垂直结构：生态系统的垂直结构包括不同类型生态系统在海拔高度不同的生境上的垂直分布和生态系统内部不同类型物种及不同个体的垂直分层两个方面。根据现场调查，评价区海拔高度在20~30m，生物类型未出现有规律的垂直分层现象，垂直结构不明显。</w:t>
      </w:r>
    </w:p>
    <w:p w14:paraId="5800A284">
      <w:pPr>
        <w:spacing w:line="360" w:lineRule="auto"/>
        <w:ind w:firstLine="480" w:firstLineChars="200"/>
        <w:jc w:val="left"/>
        <w:rPr>
          <w:color w:val="auto"/>
          <w:kern w:val="0"/>
          <w:sz w:val="24"/>
        </w:rPr>
      </w:pPr>
      <w:r>
        <w:rPr>
          <w:color w:val="auto"/>
          <w:kern w:val="0"/>
          <w:sz w:val="24"/>
        </w:rPr>
        <w:t>时空分布格局：生态系统的时空分布格局表现为生态系统的演替。工程建设影响的范围较小，影响到的植被类型在评价区内较为常见，对生态系统在水平结构和垂直结构上的影响均较小。</w:t>
      </w:r>
    </w:p>
    <w:p w14:paraId="2B6792B9">
      <w:pPr>
        <w:adjustRightInd w:val="0"/>
        <w:spacing w:line="360" w:lineRule="auto"/>
        <w:jc w:val="left"/>
        <w:outlineLvl w:val="3"/>
        <w:rPr>
          <w:b/>
          <w:bCs/>
          <w:color w:val="auto"/>
          <w:sz w:val="24"/>
        </w:rPr>
      </w:pPr>
      <w:r>
        <w:rPr>
          <w:rFonts w:hint="eastAsia"/>
          <w:b/>
          <w:bCs/>
          <w:color w:val="auto"/>
          <w:sz w:val="24"/>
        </w:rPr>
        <w:t>4.</w:t>
      </w:r>
      <w:r>
        <w:rPr>
          <w:b/>
          <w:bCs/>
          <w:color w:val="auto"/>
          <w:sz w:val="24"/>
        </w:rPr>
        <w:t>3.2.3营养结构</w:t>
      </w:r>
    </w:p>
    <w:p w14:paraId="3F7484D8">
      <w:pPr>
        <w:spacing w:line="360" w:lineRule="auto"/>
        <w:ind w:firstLine="480" w:firstLineChars="200"/>
        <w:jc w:val="left"/>
        <w:rPr>
          <w:color w:val="auto"/>
          <w:kern w:val="0"/>
          <w:sz w:val="24"/>
        </w:rPr>
      </w:pPr>
      <w:r>
        <w:rPr>
          <w:color w:val="auto"/>
          <w:kern w:val="0"/>
          <w:sz w:val="24"/>
        </w:rPr>
        <w:t>营养结构是指生态系统中生物与生物之间，生产者、消费者和分解者之间以食物营养为纽带所形成的食物链和食物网。生产者是生态系统营养结构的基础，也是本工程建设的直接影响对象。评价区内的生产者包括乔木、灌木、草本、农作物等能进行光合作用的生物类群，消费者为栖息于植物群落中的人类和动物等，工程建设占用了部分陆生植物和动物的生境，其中临时占用湿地0.85hm</w:t>
      </w:r>
      <w:r>
        <w:rPr>
          <w:color w:val="auto"/>
          <w:kern w:val="0"/>
          <w:sz w:val="24"/>
          <w:vertAlign w:val="superscript"/>
        </w:rPr>
        <w:t>2</w:t>
      </w:r>
      <w:r>
        <w:rPr>
          <w:color w:val="auto"/>
          <w:kern w:val="0"/>
          <w:sz w:val="24"/>
        </w:rPr>
        <w:t>，灌木草地0.25hm</w:t>
      </w:r>
      <w:r>
        <w:rPr>
          <w:color w:val="auto"/>
          <w:kern w:val="0"/>
          <w:sz w:val="24"/>
          <w:vertAlign w:val="superscript"/>
        </w:rPr>
        <w:t>2</w:t>
      </w:r>
      <w:r>
        <w:rPr>
          <w:color w:val="auto"/>
          <w:kern w:val="0"/>
          <w:sz w:val="24"/>
        </w:rPr>
        <w:t>，农田0.18hm</w:t>
      </w:r>
      <w:r>
        <w:rPr>
          <w:color w:val="auto"/>
          <w:kern w:val="0"/>
          <w:sz w:val="24"/>
          <w:vertAlign w:val="superscript"/>
        </w:rPr>
        <w:t>2</w:t>
      </w:r>
      <w:r>
        <w:rPr>
          <w:color w:val="auto"/>
          <w:kern w:val="0"/>
          <w:sz w:val="24"/>
        </w:rPr>
        <w:t>、林地0.01hm</w:t>
      </w:r>
      <w:r>
        <w:rPr>
          <w:color w:val="auto"/>
          <w:kern w:val="0"/>
          <w:sz w:val="24"/>
          <w:vertAlign w:val="superscript"/>
        </w:rPr>
        <w:t>2</w:t>
      </w:r>
      <w:r>
        <w:rPr>
          <w:color w:val="auto"/>
          <w:kern w:val="0"/>
          <w:sz w:val="24"/>
        </w:rPr>
        <w:t>，整体占用面积较小；永久占用水域50hm</w:t>
      </w:r>
      <w:r>
        <w:rPr>
          <w:color w:val="auto"/>
          <w:kern w:val="0"/>
          <w:sz w:val="24"/>
          <w:vertAlign w:val="superscript"/>
        </w:rPr>
        <w:t>2</w:t>
      </w:r>
      <w:r>
        <w:rPr>
          <w:color w:val="auto"/>
          <w:kern w:val="0"/>
          <w:sz w:val="24"/>
        </w:rPr>
        <w:t>，对于临时占用的，施工结束后进行植被恢复或复耕可减缓施工占地对生物类群的影响。工程建设会驱赶动物类群，但评价区水网交错复杂，相似生境较多，受影响的动物类群会寻找周边相似的生境生存。总体来说，施工建设对评价区内生产者、消费者的影响较小，对生态系统的营养结构影响较小。</w:t>
      </w:r>
    </w:p>
    <w:p w14:paraId="741930CD">
      <w:pPr>
        <w:adjustRightInd w:val="0"/>
        <w:spacing w:line="360" w:lineRule="auto"/>
        <w:jc w:val="left"/>
        <w:outlineLvl w:val="3"/>
        <w:rPr>
          <w:b/>
          <w:bCs/>
          <w:color w:val="auto"/>
          <w:sz w:val="24"/>
        </w:rPr>
      </w:pPr>
      <w:r>
        <w:rPr>
          <w:rFonts w:hint="eastAsia"/>
          <w:b/>
          <w:bCs/>
          <w:color w:val="auto"/>
          <w:sz w:val="24"/>
        </w:rPr>
        <w:t>4.</w:t>
      </w:r>
      <w:r>
        <w:rPr>
          <w:b/>
          <w:bCs/>
          <w:color w:val="auto"/>
          <w:sz w:val="24"/>
        </w:rPr>
        <w:t>3.3对生态系统服务功能的影响</w:t>
      </w:r>
    </w:p>
    <w:p w14:paraId="05721C9E">
      <w:pPr>
        <w:spacing w:line="360" w:lineRule="auto"/>
        <w:ind w:firstLine="480" w:firstLineChars="200"/>
        <w:jc w:val="left"/>
        <w:rPr>
          <w:color w:val="auto"/>
          <w:kern w:val="0"/>
          <w:sz w:val="24"/>
        </w:rPr>
      </w:pPr>
      <w:r>
        <w:rPr>
          <w:color w:val="auto"/>
          <w:kern w:val="0"/>
          <w:sz w:val="24"/>
        </w:rPr>
        <w:t>评价区典型的生态系统为湿地生态系统及农田生态系统。根据《湖南省生态功能区划研究报告》</w:t>
      </w:r>
      <w:r>
        <w:rPr>
          <w:rFonts w:hint="eastAsia"/>
          <w:color w:val="auto"/>
          <w:kern w:val="0"/>
          <w:sz w:val="24"/>
        </w:rPr>
        <w:t>（</w:t>
      </w:r>
      <w:r>
        <w:rPr>
          <w:color w:val="auto"/>
          <w:kern w:val="0"/>
          <w:sz w:val="24"/>
        </w:rPr>
        <w:t>湖南省环境保护局等，2005年</w:t>
      </w:r>
      <w:r>
        <w:rPr>
          <w:rFonts w:hint="eastAsia"/>
          <w:color w:val="auto"/>
          <w:kern w:val="0"/>
          <w:sz w:val="24"/>
        </w:rPr>
        <w:t>）</w:t>
      </w:r>
      <w:r>
        <w:rPr>
          <w:color w:val="auto"/>
          <w:kern w:val="0"/>
          <w:sz w:val="24"/>
        </w:rPr>
        <w:t>，评价区主要的生态系统功能定位为洞庭湖湖泊洪水调蓄与生物多样性保护生态功能区。</w:t>
      </w:r>
    </w:p>
    <w:p w14:paraId="05C07B7F">
      <w:pPr>
        <w:spacing w:line="360" w:lineRule="auto"/>
        <w:ind w:firstLine="480" w:firstLineChars="200"/>
        <w:jc w:val="left"/>
        <w:rPr>
          <w:color w:val="auto"/>
          <w:kern w:val="0"/>
          <w:sz w:val="24"/>
        </w:rPr>
      </w:pPr>
      <w:r>
        <w:rPr>
          <w:color w:val="auto"/>
          <w:kern w:val="0"/>
          <w:sz w:val="24"/>
        </w:rPr>
        <w:t>评价区主导生态功能为洪水调蓄与生物多样性保护。项目建设对区域生态系统服务功能的影响主要为：①项目建设占用湖区面积，将缩减湖区容量，其洪水调蓄能力降低；</w:t>
      </w:r>
    </w:p>
    <w:p w14:paraId="444E5D0D">
      <w:pPr>
        <w:spacing w:line="360" w:lineRule="auto"/>
        <w:ind w:firstLine="480" w:firstLineChars="200"/>
        <w:jc w:val="left"/>
        <w:rPr>
          <w:color w:val="auto"/>
          <w:kern w:val="0"/>
          <w:sz w:val="24"/>
        </w:rPr>
      </w:pPr>
      <w:r>
        <w:rPr>
          <w:color w:val="auto"/>
          <w:kern w:val="0"/>
          <w:sz w:val="24"/>
        </w:rPr>
        <w:t>②项目建设占用湿地，将改变区域土地利用格局，湿地生境减少，湿地植物多样性下降，湿地动物栖息地、觅食地等减少；③项目施工将产生弃渣、废水、扬尘等污染物，如处理不当将污染地表及水域环境，进而影响区域湿地生态系统结构及功能。</w:t>
      </w:r>
    </w:p>
    <w:p w14:paraId="0D54921E">
      <w:pPr>
        <w:spacing w:line="360" w:lineRule="auto"/>
        <w:ind w:firstLine="480" w:firstLineChars="200"/>
        <w:jc w:val="left"/>
        <w:rPr>
          <w:color w:val="auto"/>
          <w:kern w:val="0"/>
          <w:sz w:val="24"/>
        </w:rPr>
      </w:pPr>
      <w:r>
        <w:rPr>
          <w:color w:val="auto"/>
          <w:kern w:val="0"/>
          <w:sz w:val="24"/>
        </w:rPr>
        <w:t>根据工程布置，本项目建设区多位于洞庭湖周边陆域，工程建设临时占用湿地面积0.85hm</w:t>
      </w:r>
      <w:r>
        <w:rPr>
          <w:color w:val="auto"/>
          <w:kern w:val="0"/>
          <w:sz w:val="24"/>
          <w:vertAlign w:val="superscript"/>
        </w:rPr>
        <w:t>2</w:t>
      </w:r>
      <w:r>
        <w:rPr>
          <w:color w:val="auto"/>
          <w:kern w:val="0"/>
          <w:sz w:val="24"/>
        </w:rPr>
        <w:t>，占评价区湿地生态系统总面积的0.4%，所占面积及比例较小，且为临时占地，临时占用湿地可在施工结束后还湿及进行植被恢复，在采取相关的防范措施后，项目建设对评价区湿地生态系统洪水调蓄等功能的影响较小。</w:t>
      </w:r>
    </w:p>
    <w:p w14:paraId="00764CF0">
      <w:pPr>
        <w:spacing w:line="360" w:lineRule="auto"/>
        <w:ind w:firstLine="480" w:firstLineChars="200"/>
        <w:jc w:val="left"/>
        <w:rPr>
          <w:color w:val="auto"/>
          <w:kern w:val="0"/>
          <w:sz w:val="24"/>
        </w:rPr>
      </w:pPr>
      <w:r>
        <w:rPr>
          <w:color w:val="auto"/>
          <w:kern w:val="0"/>
          <w:sz w:val="24"/>
        </w:rPr>
        <w:t>根据现场调查，本项目主要对原有散户鱼塘进行升级改造，建设池塘工程化循环水养殖场，取代散户不规范养殖，养殖尾水采用吸污泵+尾水塔+人工湿地处理后满足《渔业水质标准》（GB11607-89）表一一级标准限值要求后回用，改善现状鱼塘水质，工程占用湿地区多位于农耕区，区域人为活动频繁，植被类型及群系组成简单，湿地动物种类及数量较少，且多以适应性强、抗逆性强、分布范围广的种类为主，其在工程占地区外均具有广泛分布。根据资料搜集、现场调查及访问调查，工程建设区历年来未见有珍稀水禽分布，因此，项目建设对评价区生物多样性的影响较小。</w:t>
      </w:r>
    </w:p>
    <w:p w14:paraId="557243F7">
      <w:pPr>
        <w:spacing w:line="360" w:lineRule="auto"/>
        <w:ind w:firstLine="480" w:firstLineChars="200"/>
        <w:jc w:val="left"/>
        <w:rPr>
          <w:color w:val="auto"/>
          <w:kern w:val="0"/>
          <w:sz w:val="24"/>
        </w:rPr>
      </w:pPr>
      <w:r>
        <w:rPr>
          <w:color w:val="auto"/>
          <w:kern w:val="0"/>
          <w:sz w:val="24"/>
        </w:rPr>
        <w:t>此外，项目建设过程中如严格遵守施工规范、做好污染物收集处理工作，项目建设对区域湿地环境的影响将得到有效控制。</w:t>
      </w:r>
    </w:p>
    <w:p w14:paraId="1BA63E17">
      <w:pPr>
        <w:spacing w:line="360" w:lineRule="auto"/>
        <w:ind w:firstLine="480" w:firstLineChars="200"/>
        <w:jc w:val="left"/>
        <w:rPr>
          <w:color w:val="auto"/>
          <w:kern w:val="0"/>
          <w:sz w:val="24"/>
        </w:rPr>
      </w:pPr>
      <w:r>
        <w:rPr>
          <w:color w:val="auto"/>
          <w:kern w:val="0"/>
          <w:sz w:val="24"/>
        </w:rPr>
        <w:t>综上，本项目建设对区域生态系统洪水调蓄与生物多样性保护功能的影响较小。同时本项目改善现状鱼塘水质，将有利于水环境质量。</w:t>
      </w:r>
    </w:p>
    <w:p w14:paraId="53A8B1C0">
      <w:pPr>
        <w:pStyle w:val="82"/>
        <w:widowControl w:val="0"/>
        <w:spacing w:line="360" w:lineRule="auto"/>
        <w:outlineLvl w:val="1"/>
        <w:rPr>
          <w:rFonts w:ascii="Times New Roman" w:hAnsi="Times New Roman" w:eastAsia="宋体" w:cs="Times New Roman"/>
          <w:color w:val="auto"/>
        </w:rPr>
      </w:pPr>
      <w:bookmarkStart w:id="162" w:name="_Toc11655"/>
      <w:bookmarkStart w:id="163" w:name="_Toc1145"/>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4对陆生植物的影响</w:t>
      </w:r>
      <w:bookmarkEnd w:id="162"/>
      <w:bookmarkEnd w:id="163"/>
    </w:p>
    <w:p w14:paraId="09B7F1D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4.1施工期对陆生植物和植被的影响</w:t>
      </w:r>
    </w:p>
    <w:p w14:paraId="70C56579">
      <w:pPr>
        <w:widowControl/>
        <w:spacing w:line="360" w:lineRule="auto"/>
        <w:ind w:firstLine="480" w:firstLineChars="200"/>
        <w:rPr>
          <w:color w:val="auto"/>
          <w:kern w:val="0"/>
          <w:sz w:val="24"/>
        </w:rPr>
      </w:pPr>
      <w:r>
        <w:rPr>
          <w:color w:val="auto"/>
          <w:kern w:val="0"/>
          <w:sz w:val="24"/>
        </w:rPr>
        <w:t>工程实施对植被和植物多样性的影响主要表现在：工程占地直接破坏植被及其生境；另外施工活动可能产生一些间接的影响，如废渣、废气、废水、人为活动、外来入侵等影响。</w:t>
      </w:r>
    </w:p>
    <w:p w14:paraId="5FD2BEC7">
      <w:pPr>
        <w:adjustRightInd w:val="0"/>
        <w:spacing w:line="360" w:lineRule="auto"/>
        <w:jc w:val="left"/>
        <w:outlineLvl w:val="3"/>
        <w:rPr>
          <w:b/>
          <w:bCs/>
          <w:color w:val="auto"/>
          <w:sz w:val="24"/>
        </w:rPr>
      </w:pPr>
      <w:r>
        <w:rPr>
          <w:rFonts w:hint="eastAsia"/>
          <w:b/>
          <w:bCs/>
          <w:color w:val="auto"/>
          <w:sz w:val="24"/>
        </w:rPr>
        <w:t>4.</w:t>
      </w:r>
      <w:r>
        <w:rPr>
          <w:b/>
          <w:bCs/>
          <w:color w:val="auto"/>
          <w:sz w:val="24"/>
        </w:rPr>
        <w:t>4.1.1工程占地对植物的影响</w:t>
      </w:r>
    </w:p>
    <w:p w14:paraId="32EDC0D2">
      <w:pPr>
        <w:widowControl/>
        <w:spacing w:line="360" w:lineRule="auto"/>
        <w:ind w:firstLine="480" w:firstLineChars="200"/>
        <w:rPr>
          <w:color w:val="auto"/>
          <w:kern w:val="0"/>
          <w:sz w:val="24"/>
        </w:rPr>
      </w:pPr>
      <w:r>
        <w:rPr>
          <w:color w:val="auto"/>
          <w:kern w:val="0"/>
          <w:sz w:val="24"/>
        </w:rPr>
        <w:t>本工程占地主要为永久占地（养殖区）和临时占地（土料场、施工生产生活区、施工道路区等）对植物及植被的影响。本项目是对原有散户鱼塘进行升级改造，建设池塘工程化循环水养殖场，在原有水域上进行，根据工程布置可知（表</w:t>
      </w:r>
      <w:r>
        <w:rPr>
          <w:rFonts w:hint="eastAsia"/>
          <w:color w:val="auto"/>
          <w:kern w:val="0"/>
          <w:sz w:val="24"/>
        </w:rPr>
        <w:t>4.</w:t>
      </w:r>
      <w:r>
        <w:rPr>
          <w:color w:val="auto"/>
          <w:kern w:val="0"/>
          <w:sz w:val="24"/>
        </w:rPr>
        <w:t>4-1），永久占用水域面积为50hm</w:t>
      </w:r>
      <w:r>
        <w:rPr>
          <w:color w:val="auto"/>
          <w:kern w:val="0"/>
          <w:sz w:val="24"/>
          <w:vertAlign w:val="superscript"/>
        </w:rPr>
        <w:t>2</w:t>
      </w:r>
      <w:r>
        <w:rPr>
          <w:color w:val="auto"/>
          <w:kern w:val="0"/>
          <w:sz w:val="24"/>
        </w:rPr>
        <w:t>，临时占地面积为1.30hm</w:t>
      </w:r>
      <w:r>
        <w:rPr>
          <w:color w:val="auto"/>
          <w:kern w:val="0"/>
          <w:sz w:val="24"/>
          <w:vertAlign w:val="superscript"/>
        </w:rPr>
        <w:t>2</w:t>
      </w:r>
      <w:r>
        <w:rPr>
          <w:color w:val="auto"/>
          <w:kern w:val="0"/>
          <w:sz w:val="24"/>
        </w:rPr>
        <w:t>。</w:t>
      </w:r>
    </w:p>
    <w:p w14:paraId="660AFAAC">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4-1   工程占地面积一览表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869"/>
        <w:gridCol w:w="706"/>
        <w:gridCol w:w="921"/>
        <w:gridCol w:w="1121"/>
        <w:gridCol w:w="1513"/>
        <w:gridCol w:w="1380"/>
        <w:gridCol w:w="794"/>
      </w:tblGrid>
      <w:tr w14:paraId="6F734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restart"/>
            <w:tcBorders>
              <w:tl2br w:val="nil"/>
              <w:tr2bl w:val="nil"/>
            </w:tcBorders>
            <w:vAlign w:val="center"/>
          </w:tcPr>
          <w:p w14:paraId="4E3F9623">
            <w:pPr>
              <w:widowControl/>
              <w:jc w:val="center"/>
              <w:rPr>
                <w:b/>
                <w:bCs/>
                <w:color w:val="auto"/>
                <w:kern w:val="0"/>
                <w:szCs w:val="21"/>
              </w:rPr>
            </w:pPr>
            <w:r>
              <w:rPr>
                <w:b/>
                <w:bCs/>
                <w:color w:val="auto"/>
                <w:kern w:val="0"/>
                <w:szCs w:val="21"/>
              </w:rPr>
              <w:t>项目</w:t>
            </w:r>
          </w:p>
        </w:tc>
        <w:tc>
          <w:tcPr>
            <w:tcW w:w="7304" w:type="dxa"/>
            <w:gridSpan w:val="7"/>
            <w:tcBorders>
              <w:tl2br w:val="nil"/>
              <w:tr2bl w:val="nil"/>
            </w:tcBorders>
            <w:vAlign w:val="center"/>
          </w:tcPr>
          <w:p w14:paraId="786FAE01">
            <w:pPr>
              <w:widowControl/>
              <w:jc w:val="center"/>
              <w:rPr>
                <w:b/>
                <w:bCs/>
                <w:color w:val="auto"/>
                <w:kern w:val="0"/>
                <w:szCs w:val="21"/>
              </w:rPr>
            </w:pPr>
            <w:r>
              <w:rPr>
                <w:b/>
                <w:bCs/>
                <w:color w:val="auto"/>
                <w:kern w:val="0"/>
                <w:szCs w:val="21"/>
              </w:rPr>
              <w:t>占地类型（单位：hm</w:t>
            </w:r>
            <w:r>
              <w:rPr>
                <w:b/>
                <w:bCs/>
                <w:color w:val="auto"/>
                <w:kern w:val="0"/>
                <w:szCs w:val="21"/>
                <w:vertAlign w:val="superscript"/>
              </w:rPr>
              <w:t>2</w:t>
            </w:r>
            <w:r>
              <w:rPr>
                <w:b/>
                <w:bCs/>
                <w:color w:val="auto"/>
                <w:kern w:val="0"/>
                <w:szCs w:val="21"/>
              </w:rPr>
              <w:t>）</w:t>
            </w:r>
          </w:p>
        </w:tc>
      </w:tr>
      <w:tr w14:paraId="541BA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tcBorders>
              <w:tl2br w:val="nil"/>
              <w:tr2bl w:val="nil"/>
            </w:tcBorders>
            <w:vAlign w:val="center"/>
          </w:tcPr>
          <w:p w14:paraId="35A21038">
            <w:pPr>
              <w:widowControl/>
              <w:jc w:val="center"/>
              <w:rPr>
                <w:color w:val="auto"/>
                <w:kern w:val="0"/>
                <w:szCs w:val="21"/>
              </w:rPr>
            </w:pPr>
          </w:p>
        </w:tc>
        <w:tc>
          <w:tcPr>
            <w:tcW w:w="869" w:type="dxa"/>
            <w:tcBorders>
              <w:tl2br w:val="nil"/>
              <w:tr2bl w:val="nil"/>
            </w:tcBorders>
            <w:vAlign w:val="center"/>
          </w:tcPr>
          <w:p w14:paraId="25550BC9">
            <w:pPr>
              <w:widowControl/>
              <w:jc w:val="center"/>
              <w:textAlignment w:val="center"/>
              <w:rPr>
                <w:b/>
                <w:bCs/>
                <w:color w:val="auto"/>
                <w:kern w:val="0"/>
                <w:szCs w:val="21"/>
              </w:rPr>
            </w:pPr>
            <w:r>
              <w:rPr>
                <w:b/>
                <w:bCs/>
                <w:color w:val="auto"/>
                <w:kern w:val="0"/>
                <w:szCs w:val="21"/>
              </w:rPr>
              <w:t>耕地</w:t>
            </w:r>
          </w:p>
        </w:tc>
        <w:tc>
          <w:tcPr>
            <w:tcW w:w="706" w:type="dxa"/>
            <w:tcBorders>
              <w:tl2br w:val="nil"/>
              <w:tr2bl w:val="nil"/>
            </w:tcBorders>
            <w:vAlign w:val="center"/>
          </w:tcPr>
          <w:p w14:paraId="4AB1F6E2">
            <w:pPr>
              <w:widowControl/>
              <w:jc w:val="center"/>
              <w:textAlignment w:val="center"/>
              <w:rPr>
                <w:b/>
                <w:bCs/>
                <w:color w:val="auto"/>
                <w:kern w:val="0"/>
                <w:szCs w:val="21"/>
              </w:rPr>
            </w:pPr>
            <w:r>
              <w:rPr>
                <w:b/>
                <w:bCs/>
                <w:color w:val="auto"/>
                <w:kern w:val="0"/>
                <w:szCs w:val="21"/>
              </w:rPr>
              <w:t>园地</w:t>
            </w:r>
          </w:p>
        </w:tc>
        <w:tc>
          <w:tcPr>
            <w:tcW w:w="921" w:type="dxa"/>
            <w:tcBorders>
              <w:tl2br w:val="nil"/>
              <w:tr2bl w:val="nil"/>
            </w:tcBorders>
            <w:vAlign w:val="center"/>
          </w:tcPr>
          <w:p w14:paraId="28592647">
            <w:pPr>
              <w:widowControl/>
              <w:jc w:val="center"/>
              <w:textAlignment w:val="center"/>
              <w:rPr>
                <w:b/>
                <w:bCs/>
                <w:color w:val="auto"/>
                <w:kern w:val="0"/>
                <w:szCs w:val="21"/>
              </w:rPr>
            </w:pPr>
            <w:r>
              <w:rPr>
                <w:b/>
                <w:bCs/>
                <w:color w:val="auto"/>
                <w:kern w:val="0"/>
                <w:szCs w:val="21"/>
              </w:rPr>
              <w:t>林地</w:t>
            </w:r>
          </w:p>
        </w:tc>
        <w:tc>
          <w:tcPr>
            <w:tcW w:w="1121" w:type="dxa"/>
            <w:tcBorders>
              <w:tl2br w:val="nil"/>
              <w:tr2bl w:val="nil"/>
            </w:tcBorders>
            <w:vAlign w:val="center"/>
          </w:tcPr>
          <w:p w14:paraId="7F1E3407">
            <w:pPr>
              <w:widowControl/>
              <w:jc w:val="center"/>
              <w:textAlignment w:val="center"/>
              <w:rPr>
                <w:b/>
                <w:bCs/>
                <w:color w:val="auto"/>
                <w:kern w:val="0"/>
                <w:szCs w:val="21"/>
              </w:rPr>
            </w:pPr>
            <w:r>
              <w:rPr>
                <w:b/>
                <w:bCs/>
                <w:color w:val="auto"/>
                <w:kern w:val="0"/>
                <w:szCs w:val="21"/>
              </w:rPr>
              <w:t>灌草地</w:t>
            </w:r>
          </w:p>
        </w:tc>
        <w:tc>
          <w:tcPr>
            <w:tcW w:w="1513" w:type="dxa"/>
            <w:tcBorders>
              <w:tl2br w:val="nil"/>
              <w:tr2bl w:val="nil"/>
            </w:tcBorders>
            <w:vAlign w:val="center"/>
          </w:tcPr>
          <w:p w14:paraId="44BEE043">
            <w:pPr>
              <w:widowControl/>
              <w:jc w:val="center"/>
              <w:textAlignment w:val="center"/>
              <w:rPr>
                <w:b/>
                <w:bCs/>
                <w:color w:val="auto"/>
                <w:kern w:val="0"/>
                <w:szCs w:val="21"/>
              </w:rPr>
            </w:pPr>
            <w:r>
              <w:rPr>
                <w:b/>
                <w:bCs/>
                <w:color w:val="auto"/>
                <w:kern w:val="0"/>
                <w:szCs w:val="21"/>
              </w:rPr>
              <w:t>建设用地及其他用地</w:t>
            </w:r>
          </w:p>
        </w:tc>
        <w:tc>
          <w:tcPr>
            <w:tcW w:w="1380" w:type="dxa"/>
            <w:tcBorders>
              <w:tl2br w:val="nil"/>
              <w:tr2bl w:val="nil"/>
            </w:tcBorders>
            <w:vAlign w:val="center"/>
          </w:tcPr>
          <w:p w14:paraId="69AE3D95">
            <w:pPr>
              <w:widowControl/>
              <w:jc w:val="center"/>
              <w:textAlignment w:val="center"/>
              <w:rPr>
                <w:b/>
                <w:bCs/>
                <w:color w:val="auto"/>
                <w:kern w:val="0"/>
                <w:szCs w:val="21"/>
              </w:rPr>
            </w:pPr>
            <w:r>
              <w:rPr>
                <w:b/>
                <w:bCs/>
                <w:color w:val="auto"/>
                <w:kern w:val="0"/>
                <w:szCs w:val="21"/>
              </w:rPr>
              <w:t>水域及水利设施用地</w:t>
            </w:r>
          </w:p>
        </w:tc>
        <w:tc>
          <w:tcPr>
            <w:tcW w:w="0" w:type="auto"/>
            <w:tcBorders>
              <w:tl2br w:val="nil"/>
              <w:tr2bl w:val="nil"/>
            </w:tcBorders>
            <w:vAlign w:val="center"/>
          </w:tcPr>
          <w:p w14:paraId="5C7D75C3">
            <w:pPr>
              <w:widowControl/>
              <w:jc w:val="center"/>
              <w:textAlignment w:val="center"/>
              <w:rPr>
                <w:b/>
                <w:bCs/>
                <w:color w:val="auto"/>
                <w:kern w:val="0"/>
                <w:szCs w:val="21"/>
              </w:rPr>
            </w:pPr>
            <w:r>
              <w:rPr>
                <w:b/>
                <w:bCs/>
                <w:color w:val="auto"/>
                <w:kern w:val="0"/>
                <w:szCs w:val="21"/>
              </w:rPr>
              <w:t>合计</w:t>
            </w:r>
          </w:p>
        </w:tc>
      </w:tr>
      <w:tr w14:paraId="0E8FA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vAlign w:val="center"/>
          </w:tcPr>
          <w:p w14:paraId="4386EEA8">
            <w:pPr>
              <w:widowControl/>
              <w:jc w:val="center"/>
              <w:rPr>
                <w:color w:val="auto"/>
                <w:kern w:val="0"/>
                <w:szCs w:val="21"/>
              </w:rPr>
            </w:pPr>
            <w:r>
              <w:rPr>
                <w:color w:val="auto"/>
                <w:kern w:val="0"/>
                <w:szCs w:val="21"/>
              </w:rPr>
              <w:t>永久占地</w:t>
            </w:r>
          </w:p>
        </w:tc>
        <w:tc>
          <w:tcPr>
            <w:tcW w:w="869" w:type="dxa"/>
            <w:tcBorders>
              <w:tl2br w:val="nil"/>
              <w:tr2bl w:val="nil"/>
            </w:tcBorders>
            <w:vAlign w:val="center"/>
          </w:tcPr>
          <w:p w14:paraId="2A7E71C8">
            <w:pPr>
              <w:widowControl/>
              <w:jc w:val="center"/>
              <w:textAlignment w:val="center"/>
              <w:rPr>
                <w:color w:val="auto"/>
                <w:kern w:val="0"/>
                <w:szCs w:val="21"/>
              </w:rPr>
            </w:pPr>
            <w:r>
              <w:rPr>
                <w:color w:val="auto"/>
                <w:kern w:val="0"/>
                <w:szCs w:val="21"/>
              </w:rPr>
              <w:t>-</w:t>
            </w:r>
          </w:p>
        </w:tc>
        <w:tc>
          <w:tcPr>
            <w:tcW w:w="706" w:type="dxa"/>
            <w:tcBorders>
              <w:tl2br w:val="nil"/>
              <w:tr2bl w:val="nil"/>
            </w:tcBorders>
            <w:vAlign w:val="center"/>
          </w:tcPr>
          <w:p w14:paraId="4FDFDBD3">
            <w:pPr>
              <w:widowControl/>
              <w:jc w:val="center"/>
              <w:textAlignment w:val="center"/>
              <w:rPr>
                <w:color w:val="auto"/>
                <w:kern w:val="0"/>
                <w:szCs w:val="21"/>
              </w:rPr>
            </w:pPr>
            <w:r>
              <w:rPr>
                <w:color w:val="auto"/>
                <w:kern w:val="0"/>
                <w:szCs w:val="21"/>
              </w:rPr>
              <w:t>-</w:t>
            </w:r>
          </w:p>
        </w:tc>
        <w:tc>
          <w:tcPr>
            <w:tcW w:w="921" w:type="dxa"/>
            <w:tcBorders>
              <w:tl2br w:val="nil"/>
              <w:tr2bl w:val="nil"/>
            </w:tcBorders>
            <w:vAlign w:val="center"/>
          </w:tcPr>
          <w:p w14:paraId="5A010325">
            <w:pPr>
              <w:widowControl/>
              <w:jc w:val="center"/>
              <w:textAlignment w:val="center"/>
              <w:rPr>
                <w:color w:val="auto"/>
                <w:kern w:val="0"/>
                <w:szCs w:val="21"/>
              </w:rPr>
            </w:pPr>
            <w:r>
              <w:rPr>
                <w:color w:val="auto"/>
                <w:kern w:val="0"/>
                <w:szCs w:val="21"/>
              </w:rPr>
              <w:t>-</w:t>
            </w:r>
          </w:p>
        </w:tc>
        <w:tc>
          <w:tcPr>
            <w:tcW w:w="1121" w:type="dxa"/>
            <w:tcBorders>
              <w:tl2br w:val="nil"/>
              <w:tr2bl w:val="nil"/>
            </w:tcBorders>
            <w:vAlign w:val="center"/>
          </w:tcPr>
          <w:p w14:paraId="73E285F1">
            <w:pPr>
              <w:widowControl/>
              <w:jc w:val="center"/>
              <w:textAlignment w:val="center"/>
              <w:rPr>
                <w:color w:val="auto"/>
                <w:kern w:val="0"/>
                <w:szCs w:val="21"/>
              </w:rPr>
            </w:pPr>
            <w:r>
              <w:rPr>
                <w:color w:val="auto"/>
                <w:kern w:val="0"/>
                <w:szCs w:val="21"/>
              </w:rPr>
              <w:t>-</w:t>
            </w:r>
          </w:p>
        </w:tc>
        <w:tc>
          <w:tcPr>
            <w:tcW w:w="1513" w:type="dxa"/>
            <w:tcBorders>
              <w:tl2br w:val="nil"/>
              <w:tr2bl w:val="nil"/>
            </w:tcBorders>
            <w:vAlign w:val="center"/>
          </w:tcPr>
          <w:p w14:paraId="54397725">
            <w:pPr>
              <w:widowControl/>
              <w:jc w:val="center"/>
              <w:textAlignment w:val="center"/>
              <w:rPr>
                <w:color w:val="auto"/>
                <w:kern w:val="0"/>
                <w:szCs w:val="21"/>
              </w:rPr>
            </w:pPr>
            <w:r>
              <w:rPr>
                <w:color w:val="auto"/>
                <w:kern w:val="0"/>
                <w:szCs w:val="21"/>
              </w:rPr>
              <w:t>-</w:t>
            </w:r>
          </w:p>
        </w:tc>
        <w:tc>
          <w:tcPr>
            <w:tcW w:w="1380" w:type="dxa"/>
            <w:tcBorders>
              <w:tl2br w:val="nil"/>
              <w:tr2bl w:val="nil"/>
            </w:tcBorders>
            <w:vAlign w:val="center"/>
          </w:tcPr>
          <w:p w14:paraId="3B9CA560">
            <w:pPr>
              <w:widowControl/>
              <w:jc w:val="center"/>
              <w:textAlignment w:val="center"/>
              <w:rPr>
                <w:color w:val="auto"/>
                <w:kern w:val="0"/>
                <w:szCs w:val="21"/>
              </w:rPr>
            </w:pPr>
            <w:r>
              <w:rPr>
                <w:color w:val="auto"/>
                <w:kern w:val="0"/>
                <w:szCs w:val="21"/>
              </w:rPr>
              <w:t>50</w:t>
            </w:r>
          </w:p>
        </w:tc>
        <w:tc>
          <w:tcPr>
            <w:tcW w:w="0" w:type="auto"/>
            <w:tcBorders>
              <w:tl2br w:val="nil"/>
              <w:tr2bl w:val="nil"/>
            </w:tcBorders>
            <w:vAlign w:val="center"/>
          </w:tcPr>
          <w:p w14:paraId="0381330A">
            <w:pPr>
              <w:widowControl/>
              <w:jc w:val="center"/>
              <w:textAlignment w:val="center"/>
              <w:rPr>
                <w:color w:val="auto"/>
                <w:kern w:val="0"/>
                <w:szCs w:val="21"/>
              </w:rPr>
            </w:pPr>
            <w:r>
              <w:rPr>
                <w:color w:val="auto"/>
                <w:kern w:val="0"/>
                <w:szCs w:val="21"/>
              </w:rPr>
              <w:t>50</w:t>
            </w:r>
          </w:p>
        </w:tc>
      </w:tr>
      <w:tr w14:paraId="50B5F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vAlign w:val="center"/>
          </w:tcPr>
          <w:p w14:paraId="3911EACC">
            <w:pPr>
              <w:widowControl/>
              <w:jc w:val="center"/>
              <w:rPr>
                <w:color w:val="auto"/>
                <w:kern w:val="0"/>
                <w:szCs w:val="21"/>
              </w:rPr>
            </w:pPr>
            <w:r>
              <w:rPr>
                <w:color w:val="auto"/>
                <w:kern w:val="0"/>
                <w:szCs w:val="21"/>
              </w:rPr>
              <w:t>临时占地</w:t>
            </w:r>
          </w:p>
        </w:tc>
        <w:tc>
          <w:tcPr>
            <w:tcW w:w="869" w:type="dxa"/>
            <w:tcBorders>
              <w:tl2br w:val="nil"/>
              <w:tr2bl w:val="nil"/>
            </w:tcBorders>
            <w:vAlign w:val="center"/>
          </w:tcPr>
          <w:p w14:paraId="7F695691">
            <w:pPr>
              <w:widowControl/>
              <w:jc w:val="center"/>
              <w:textAlignment w:val="center"/>
              <w:rPr>
                <w:color w:val="auto"/>
                <w:kern w:val="0"/>
                <w:szCs w:val="21"/>
              </w:rPr>
            </w:pPr>
            <w:r>
              <w:rPr>
                <w:color w:val="auto"/>
                <w:kern w:val="0"/>
                <w:szCs w:val="21"/>
              </w:rPr>
              <w:t>0.18</w:t>
            </w:r>
          </w:p>
        </w:tc>
        <w:tc>
          <w:tcPr>
            <w:tcW w:w="706" w:type="dxa"/>
            <w:tcBorders>
              <w:tl2br w:val="nil"/>
              <w:tr2bl w:val="nil"/>
            </w:tcBorders>
            <w:vAlign w:val="center"/>
          </w:tcPr>
          <w:p w14:paraId="072AFD4D">
            <w:pPr>
              <w:widowControl/>
              <w:jc w:val="center"/>
              <w:textAlignment w:val="center"/>
              <w:rPr>
                <w:color w:val="auto"/>
                <w:kern w:val="0"/>
                <w:szCs w:val="21"/>
              </w:rPr>
            </w:pPr>
            <w:r>
              <w:rPr>
                <w:color w:val="auto"/>
                <w:kern w:val="0"/>
                <w:szCs w:val="21"/>
              </w:rPr>
              <w:t>-</w:t>
            </w:r>
          </w:p>
        </w:tc>
        <w:tc>
          <w:tcPr>
            <w:tcW w:w="921" w:type="dxa"/>
            <w:tcBorders>
              <w:tl2br w:val="nil"/>
              <w:tr2bl w:val="nil"/>
            </w:tcBorders>
            <w:vAlign w:val="center"/>
          </w:tcPr>
          <w:p w14:paraId="174439EF">
            <w:pPr>
              <w:widowControl/>
              <w:jc w:val="center"/>
              <w:textAlignment w:val="center"/>
              <w:rPr>
                <w:color w:val="auto"/>
                <w:kern w:val="0"/>
                <w:szCs w:val="21"/>
              </w:rPr>
            </w:pPr>
            <w:r>
              <w:rPr>
                <w:color w:val="auto"/>
                <w:kern w:val="0"/>
                <w:szCs w:val="21"/>
              </w:rPr>
              <w:t>0.01</w:t>
            </w:r>
          </w:p>
        </w:tc>
        <w:tc>
          <w:tcPr>
            <w:tcW w:w="1121" w:type="dxa"/>
            <w:tcBorders>
              <w:tl2br w:val="nil"/>
              <w:tr2bl w:val="nil"/>
            </w:tcBorders>
            <w:vAlign w:val="center"/>
          </w:tcPr>
          <w:p w14:paraId="2F6F39D3">
            <w:pPr>
              <w:widowControl/>
              <w:jc w:val="center"/>
              <w:textAlignment w:val="center"/>
              <w:rPr>
                <w:color w:val="auto"/>
                <w:kern w:val="0"/>
                <w:szCs w:val="21"/>
              </w:rPr>
            </w:pPr>
            <w:r>
              <w:rPr>
                <w:color w:val="auto"/>
                <w:kern w:val="0"/>
                <w:szCs w:val="21"/>
              </w:rPr>
              <w:t>0.25</w:t>
            </w:r>
          </w:p>
        </w:tc>
        <w:tc>
          <w:tcPr>
            <w:tcW w:w="1513" w:type="dxa"/>
            <w:tcBorders>
              <w:tl2br w:val="nil"/>
              <w:tr2bl w:val="nil"/>
            </w:tcBorders>
            <w:vAlign w:val="center"/>
          </w:tcPr>
          <w:p w14:paraId="590A2FBD">
            <w:pPr>
              <w:widowControl/>
              <w:jc w:val="center"/>
              <w:textAlignment w:val="center"/>
              <w:rPr>
                <w:color w:val="auto"/>
                <w:kern w:val="0"/>
                <w:szCs w:val="21"/>
              </w:rPr>
            </w:pPr>
            <w:r>
              <w:rPr>
                <w:color w:val="auto"/>
                <w:kern w:val="0"/>
                <w:szCs w:val="21"/>
              </w:rPr>
              <w:t>-</w:t>
            </w:r>
          </w:p>
        </w:tc>
        <w:tc>
          <w:tcPr>
            <w:tcW w:w="1380" w:type="dxa"/>
            <w:tcBorders>
              <w:tl2br w:val="nil"/>
              <w:tr2bl w:val="nil"/>
            </w:tcBorders>
            <w:vAlign w:val="center"/>
          </w:tcPr>
          <w:p w14:paraId="76D64890">
            <w:pPr>
              <w:widowControl/>
              <w:jc w:val="center"/>
              <w:textAlignment w:val="center"/>
              <w:rPr>
                <w:color w:val="auto"/>
                <w:kern w:val="0"/>
                <w:szCs w:val="21"/>
              </w:rPr>
            </w:pPr>
            <w:r>
              <w:rPr>
                <w:color w:val="auto"/>
                <w:kern w:val="0"/>
                <w:szCs w:val="21"/>
              </w:rPr>
              <w:t>0.85</w:t>
            </w:r>
          </w:p>
        </w:tc>
        <w:tc>
          <w:tcPr>
            <w:tcW w:w="0" w:type="auto"/>
            <w:tcBorders>
              <w:tl2br w:val="nil"/>
              <w:tr2bl w:val="nil"/>
            </w:tcBorders>
            <w:vAlign w:val="center"/>
          </w:tcPr>
          <w:p w14:paraId="15AAB387">
            <w:pPr>
              <w:widowControl/>
              <w:jc w:val="center"/>
              <w:textAlignment w:val="center"/>
              <w:rPr>
                <w:color w:val="auto"/>
                <w:kern w:val="0"/>
                <w:szCs w:val="21"/>
              </w:rPr>
            </w:pPr>
            <w:r>
              <w:rPr>
                <w:color w:val="auto"/>
                <w:kern w:val="0"/>
                <w:szCs w:val="21"/>
              </w:rPr>
              <w:t>1.30</w:t>
            </w:r>
          </w:p>
        </w:tc>
      </w:tr>
      <w:tr w14:paraId="59DAB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vAlign w:val="center"/>
          </w:tcPr>
          <w:p w14:paraId="6F8D4181">
            <w:pPr>
              <w:widowControl/>
              <w:jc w:val="center"/>
              <w:rPr>
                <w:color w:val="auto"/>
                <w:kern w:val="0"/>
                <w:szCs w:val="21"/>
              </w:rPr>
            </w:pPr>
            <w:r>
              <w:rPr>
                <w:color w:val="auto"/>
                <w:kern w:val="0"/>
                <w:szCs w:val="21"/>
              </w:rPr>
              <w:t>小计</w:t>
            </w:r>
          </w:p>
        </w:tc>
        <w:tc>
          <w:tcPr>
            <w:tcW w:w="869" w:type="dxa"/>
            <w:tcBorders>
              <w:tl2br w:val="nil"/>
              <w:tr2bl w:val="nil"/>
            </w:tcBorders>
            <w:vAlign w:val="center"/>
          </w:tcPr>
          <w:p w14:paraId="1916DBBD">
            <w:pPr>
              <w:widowControl/>
              <w:jc w:val="center"/>
              <w:textAlignment w:val="center"/>
              <w:rPr>
                <w:color w:val="auto"/>
                <w:kern w:val="0"/>
                <w:szCs w:val="21"/>
              </w:rPr>
            </w:pPr>
            <w:r>
              <w:rPr>
                <w:color w:val="auto"/>
                <w:kern w:val="0"/>
                <w:szCs w:val="21"/>
              </w:rPr>
              <w:t>0.18</w:t>
            </w:r>
          </w:p>
        </w:tc>
        <w:tc>
          <w:tcPr>
            <w:tcW w:w="706" w:type="dxa"/>
            <w:tcBorders>
              <w:tl2br w:val="nil"/>
              <w:tr2bl w:val="nil"/>
            </w:tcBorders>
            <w:vAlign w:val="center"/>
          </w:tcPr>
          <w:p w14:paraId="1CF8AE77">
            <w:pPr>
              <w:widowControl/>
              <w:jc w:val="center"/>
              <w:textAlignment w:val="center"/>
              <w:rPr>
                <w:color w:val="auto"/>
                <w:kern w:val="0"/>
                <w:szCs w:val="21"/>
              </w:rPr>
            </w:pPr>
            <w:r>
              <w:rPr>
                <w:color w:val="auto"/>
                <w:kern w:val="0"/>
                <w:szCs w:val="21"/>
              </w:rPr>
              <w:t>-</w:t>
            </w:r>
          </w:p>
        </w:tc>
        <w:tc>
          <w:tcPr>
            <w:tcW w:w="921" w:type="dxa"/>
            <w:tcBorders>
              <w:tl2br w:val="nil"/>
              <w:tr2bl w:val="nil"/>
            </w:tcBorders>
            <w:vAlign w:val="center"/>
          </w:tcPr>
          <w:p w14:paraId="0B49C5AE">
            <w:pPr>
              <w:widowControl/>
              <w:jc w:val="center"/>
              <w:textAlignment w:val="center"/>
              <w:rPr>
                <w:color w:val="auto"/>
                <w:kern w:val="0"/>
                <w:szCs w:val="21"/>
              </w:rPr>
            </w:pPr>
            <w:r>
              <w:rPr>
                <w:color w:val="auto"/>
                <w:kern w:val="0"/>
                <w:szCs w:val="21"/>
              </w:rPr>
              <w:t>0.01</w:t>
            </w:r>
          </w:p>
        </w:tc>
        <w:tc>
          <w:tcPr>
            <w:tcW w:w="1121" w:type="dxa"/>
            <w:tcBorders>
              <w:tl2br w:val="nil"/>
              <w:tr2bl w:val="nil"/>
            </w:tcBorders>
            <w:vAlign w:val="center"/>
          </w:tcPr>
          <w:p w14:paraId="28314B66">
            <w:pPr>
              <w:widowControl/>
              <w:jc w:val="center"/>
              <w:textAlignment w:val="center"/>
              <w:rPr>
                <w:color w:val="auto"/>
                <w:kern w:val="0"/>
                <w:szCs w:val="21"/>
              </w:rPr>
            </w:pPr>
            <w:r>
              <w:rPr>
                <w:color w:val="auto"/>
                <w:kern w:val="0"/>
                <w:szCs w:val="21"/>
              </w:rPr>
              <w:t>0.25</w:t>
            </w:r>
          </w:p>
        </w:tc>
        <w:tc>
          <w:tcPr>
            <w:tcW w:w="1513" w:type="dxa"/>
            <w:tcBorders>
              <w:tl2br w:val="nil"/>
              <w:tr2bl w:val="nil"/>
            </w:tcBorders>
            <w:vAlign w:val="center"/>
          </w:tcPr>
          <w:p w14:paraId="062661D3">
            <w:pPr>
              <w:widowControl/>
              <w:jc w:val="center"/>
              <w:textAlignment w:val="center"/>
              <w:rPr>
                <w:color w:val="auto"/>
                <w:kern w:val="0"/>
                <w:szCs w:val="21"/>
              </w:rPr>
            </w:pPr>
            <w:r>
              <w:rPr>
                <w:color w:val="auto"/>
                <w:kern w:val="0"/>
                <w:szCs w:val="21"/>
              </w:rPr>
              <w:t>0.005</w:t>
            </w:r>
          </w:p>
        </w:tc>
        <w:tc>
          <w:tcPr>
            <w:tcW w:w="1380" w:type="dxa"/>
            <w:tcBorders>
              <w:tl2br w:val="nil"/>
              <w:tr2bl w:val="nil"/>
            </w:tcBorders>
            <w:vAlign w:val="center"/>
          </w:tcPr>
          <w:p w14:paraId="09837FFF">
            <w:pPr>
              <w:widowControl/>
              <w:jc w:val="center"/>
              <w:textAlignment w:val="center"/>
              <w:rPr>
                <w:color w:val="auto"/>
                <w:kern w:val="0"/>
                <w:szCs w:val="21"/>
              </w:rPr>
            </w:pPr>
            <w:r>
              <w:rPr>
                <w:color w:val="auto"/>
                <w:kern w:val="0"/>
                <w:szCs w:val="21"/>
              </w:rPr>
              <w:t>50.85</w:t>
            </w:r>
          </w:p>
        </w:tc>
        <w:tc>
          <w:tcPr>
            <w:tcW w:w="0" w:type="auto"/>
            <w:tcBorders>
              <w:tl2br w:val="nil"/>
              <w:tr2bl w:val="nil"/>
            </w:tcBorders>
            <w:vAlign w:val="center"/>
          </w:tcPr>
          <w:p w14:paraId="14D210C9">
            <w:pPr>
              <w:widowControl/>
              <w:jc w:val="center"/>
              <w:textAlignment w:val="center"/>
              <w:rPr>
                <w:color w:val="auto"/>
                <w:kern w:val="0"/>
                <w:szCs w:val="21"/>
              </w:rPr>
            </w:pPr>
            <w:r>
              <w:rPr>
                <w:color w:val="auto"/>
                <w:kern w:val="0"/>
                <w:szCs w:val="21"/>
              </w:rPr>
              <w:t>51.30</w:t>
            </w:r>
          </w:p>
        </w:tc>
      </w:tr>
    </w:tbl>
    <w:p w14:paraId="378C8649">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4-2   永久占地损失生物量一览表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649"/>
        <w:gridCol w:w="1862"/>
        <w:gridCol w:w="1460"/>
        <w:gridCol w:w="1773"/>
      </w:tblGrid>
      <w:tr w14:paraId="7D127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5087F1B">
            <w:pPr>
              <w:widowControl/>
              <w:jc w:val="center"/>
              <w:rPr>
                <w:b/>
                <w:bCs/>
                <w:color w:val="auto"/>
                <w:kern w:val="0"/>
                <w:szCs w:val="21"/>
              </w:rPr>
            </w:pPr>
            <w:r>
              <w:rPr>
                <w:b/>
                <w:bCs/>
                <w:color w:val="auto"/>
                <w:kern w:val="0"/>
                <w:szCs w:val="21"/>
              </w:rPr>
              <w:t>植被类型</w:t>
            </w:r>
          </w:p>
        </w:tc>
        <w:tc>
          <w:tcPr>
            <w:tcW w:w="968" w:type="pct"/>
            <w:tcBorders>
              <w:tl2br w:val="nil"/>
              <w:tr2bl w:val="nil"/>
            </w:tcBorders>
            <w:vAlign w:val="center"/>
          </w:tcPr>
          <w:p w14:paraId="5200E774">
            <w:pPr>
              <w:widowControl/>
              <w:jc w:val="center"/>
              <w:textAlignment w:val="center"/>
              <w:rPr>
                <w:b/>
                <w:bCs/>
                <w:color w:val="auto"/>
                <w:kern w:val="0"/>
                <w:szCs w:val="21"/>
              </w:rPr>
            </w:pPr>
            <w:r>
              <w:rPr>
                <w:b/>
                <w:bCs/>
                <w:color w:val="auto"/>
                <w:kern w:val="0"/>
                <w:szCs w:val="21"/>
              </w:rPr>
              <w:t>面积变化（hm</w:t>
            </w:r>
            <w:r>
              <w:rPr>
                <w:b/>
                <w:bCs/>
                <w:color w:val="auto"/>
                <w:kern w:val="0"/>
                <w:szCs w:val="21"/>
                <w:vertAlign w:val="superscript"/>
              </w:rPr>
              <w:t>2</w:t>
            </w:r>
            <w:r>
              <w:rPr>
                <w:b/>
                <w:bCs/>
                <w:color w:val="auto"/>
                <w:kern w:val="0"/>
                <w:szCs w:val="21"/>
              </w:rPr>
              <w:t>）</w:t>
            </w:r>
          </w:p>
        </w:tc>
        <w:tc>
          <w:tcPr>
            <w:tcW w:w="1093" w:type="pct"/>
            <w:tcBorders>
              <w:tl2br w:val="nil"/>
              <w:tr2bl w:val="nil"/>
            </w:tcBorders>
            <w:vAlign w:val="center"/>
          </w:tcPr>
          <w:p w14:paraId="07BC3346">
            <w:pPr>
              <w:widowControl/>
              <w:jc w:val="center"/>
              <w:textAlignment w:val="center"/>
              <w:rPr>
                <w:b/>
                <w:bCs/>
                <w:color w:val="auto"/>
                <w:kern w:val="0"/>
                <w:szCs w:val="21"/>
              </w:rPr>
            </w:pPr>
            <w:r>
              <w:rPr>
                <w:b/>
                <w:bCs/>
                <w:color w:val="auto"/>
                <w:kern w:val="0"/>
                <w:szCs w:val="21"/>
              </w:rPr>
              <w:t>平均生物量（t/hm</w:t>
            </w:r>
            <w:r>
              <w:rPr>
                <w:b/>
                <w:bCs/>
                <w:color w:val="auto"/>
                <w:kern w:val="0"/>
                <w:szCs w:val="21"/>
                <w:vertAlign w:val="superscript"/>
              </w:rPr>
              <w:t>2</w:t>
            </w:r>
            <w:r>
              <w:rPr>
                <w:b/>
                <w:bCs/>
                <w:color w:val="auto"/>
                <w:kern w:val="0"/>
                <w:szCs w:val="21"/>
              </w:rPr>
              <w:t>）</w:t>
            </w:r>
          </w:p>
        </w:tc>
        <w:tc>
          <w:tcPr>
            <w:tcW w:w="857" w:type="pct"/>
            <w:tcBorders>
              <w:tl2br w:val="nil"/>
              <w:tr2bl w:val="nil"/>
            </w:tcBorders>
            <w:vAlign w:val="center"/>
          </w:tcPr>
          <w:p w14:paraId="5A07A7A5">
            <w:pPr>
              <w:widowControl/>
              <w:jc w:val="center"/>
              <w:textAlignment w:val="center"/>
              <w:rPr>
                <w:b/>
                <w:bCs/>
                <w:color w:val="auto"/>
                <w:kern w:val="0"/>
                <w:szCs w:val="21"/>
              </w:rPr>
            </w:pPr>
            <w:r>
              <w:rPr>
                <w:b/>
                <w:bCs/>
                <w:color w:val="auto"/>
                <w:kern w:val="0"/>
                <w:szCs w:val="21"/>
              </w:rPr>
              <w:t>生物量变化值（t）</w:t>
            </w:r>
          </w:p>
        </w:tc>
        <w:tc>
          <w:tcPr>
            <w:tcW w:w="1040" w:type="pct"/>
            <w:tcBorders>
              <w:tl2br w:val="nil"/>
              <w:tr2bl w:val="nil"/>
            </w:tcBorders>
            <w:vAlign w:val="center"/>
          </w:tcPr>
          <w:p w14:paraId="72B74D04">
            <w:pPr>
              <w:widowControl/>
              <w:jc w:val="center"/>
              <w:textAlignment w:val="center"/>
              <w:rPr>
                <w:b/>
                <w:bCs/>
                <w:color w:val="auto"/>
                <w:kern w:val="0"/>
                <w:szCs w:val="21"/>
              </w:rPr>
            </w:pPr>
            <w:r>
              <w:rPr>
                <w:b/>
                <w:bCs/>
                <w:color w:val="auto"/>
                <w:kern w:val="0"/>
                <w:szCs w:val="21"/>
              </w:rPr>
              <w:t>占总生物量比列（%）</w:t>
            </w:r>
          </w:p>
        </w:tc>
      </w:tr>
      <w:tr w14:paraId="779B3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8891722">
            <w:pPr>
              <w:widowControl/>
              <w:jc w:val="center"/>
              <w:rPr>
                <w:color w:val="auto"/>
                <w:kern w:val="0"/>
                <w:szCs w:val="21"/>
              </w:rPr>
            </w:pPr>
            <w:r>
              <w:rPr>
                <w:color w:val="auto"/>
                <w:kern w:val="0"/>
                <w:szCs w:val="21"/>
              </w:rPr>
              <w:t>针叶林</w:t>
            </w:r>
          </w:p>
        </w:tc>
        <w:tc>
          <w:tcPr>
            <w:tcW w:w="1649" w:type="dxa"/>
            <w:tcBorders>
              <w:tl2br w:val="nil"/>
              <w:tr2bl w:val="nil"/>
            </w:tcBorders>
            <w:vAlign w:val="center"/>
          </w:tcPr>
          <w:p w14:paraId="4E493C1B">
            <w:pPr>
              <w:widowControl/>
              <w:jc w:val="center"/>
              <w:textAlignment w:val="center"/>
              <w:rPr>
                <w:color w:val="auto"/>
                <w:kern w:val="0"/>
                <w:szCs w:val="21"/>
              </w:rPr>
            </w:pPr>
            <w:r>
              <w:rPr>
                <w:color w:val="auto"/>
                <w:kern w:val="0"/>
                <w:szCs w:val="21"/>
              </w:rPr>
              <w:t>-</w:t>
            </w:r>
          </w:p>
        </w:tc>
        <w:tc>
          <w:tcPr>
            <w:tcW w:w="1862" w:type="dxa"/>
            <w:tcBorders>
              <w:tl2br w:val="nil"/>
              <w:tr2bl w:val="nil"/>
            </w:tcBorders>
            <w:vAlign w:val="center"/>
          </w:tcPr>
          <w:p w14:paraId="6A93BFF5">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41380647">
            <w:pPr>
              <w:widowControl/>
              <w:jc w:val="center"/>
              <w:textAlignment w:val="center"/>
              <w:rPr>
                <w:color w:val="auto"/>
                <w:kern w:val="0"/>
                <w:szCs w:val="21"/>
              </w:rPr>
            </w:pPr>
            <w:r>
              <w:rPr>
                <w:color w:val="auto"/>
                <w:kern w:val="0"/>
                <w:szCs w:val="21"/>
              </w:rPr>
              <w:t>-</w:t>
            </w:r>
          </w:p>
        </w:tc>
        <w:tc>
          <w:tcPr>
            <w:tcW w:w="1040" w:type="pct"/>
            <w:tcBorders>
              <w:tl2br w:val="nil"/>
              <w:tr2bl w:val="nil"/>
            </w:tcBorders>
            <w:vAlign w:val="center"/>
          </w:tcPr>
          <w:p w14:paraId="1D559754">
            <w:pPr>
              <w:widowControl/>
              <w:jc w:val="center"/>
              <w:textAlignment w:val="center"/>
              <w:rPr>
                <w:color w:val="auto"/>
                <w:kern w:val="0"/>
                <w:szCs w:val="21"/>
              </w:rPr>
            </w:pPr>
            <w:r>
              <w:rPr>
                <w:color w:val="auto"/>
                <w:kern w:val="0"/>
                <w:szCs w:val="21"/>
              </w:rPr>
              <w:t>-</w:t>
            </w:r>
          </w:p>
        </w:tc>
      </w:tr>
      <w:tr w14:paraId="0C9AC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1922D0B4">
            <w:pPr>
              <w:widowControl/>
              <w:jc w:val="center"/>
              <w:rPr>
                <w:color w:val="auto"/>
                <w:kern w:val="0"/>
                <w:szCs w:val="21"/>
              </w:rPr>
            </w:pPr>
            <w:r>
              <w:rPr>
                <w:color w:val="auto"/>
                <w:kern w:val="0"/>
                <w:szCs w:val="21"/>
              </w:rPr>
              <w:t>阔叶林</w:t>
            </w:r>
          </w:p>
        </w:tc>
        <w:tc>
          <w:tcPr>
            <w:tcW w:w="1649" w:type="dxa"/>
            <w:tcBorders>
              <w:tl2br w:val="nil"/>
              <w:tr2bl w:val="nil"/>
            </w:tcBorders>
            <w:vAlign w:val="center"/>
          </w:tcPr>
          <w:p w14:paraId="67AD3EF6">
            <w:pPr>
              <w:widowControl/>
              <w:jc w:val="center"/>
              <w:textAlignment w:val="center"/>
              <w:rPr>
                <w:color w:val="auto"/>
                <w:kern w:val="0"/>
                <w:szCs w:val="21"/>
              </w:rPr>
            </w:pPr>
            <w:r>
              <w:rPr>
                <w:color w:val="auto"/>
                <w:kern w:val="0"/>
                <w:szCs w:val="21"/>
              </w:rPr>
              <w:t>-</w:t>
            </w:r>
          </w:p>
        </w:tc>
        <w:tc>
          <w:tcPr>
            <w:tcW w:w="1862" w:type="dxa"/>
            <w:tcBorders>
              <w:tl2br w:val="nil"/>
              <w:tr2bl w:val="nil"/>
            </w:tcBorders>
            <w:vAlign w:val="center"/>
          </w:tcPr>
          <w:p w14:paraId="7C555EB2">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721ED21D">
            <w:pPr>
              <w:widowControl/>
              <w:jc w:val="center"/>
              <w:textAlignment w:val="center"/>
              <w:rPr>
                <w:color w:val="auto"/>
                <w:kern w:val="0"/>
                <w:szCs w:val="21"/>
              </w:rPr>
            </w:pPr>
            <w:r>
              <w:rPr>
                <w:color w:val="auto"/>
                <w:kern w:val="0"/>
                <w:szCs w:val="21"/>
              </w:rPr>
              <w:t>-</w:t>
            </w:r>
          </w:p>
        </w:tc>
        <w:tc>
          <w:tcPr>
            <w:tcW w:w="1040" w:type="pct"/>
            <w:tcBorders>
              <w:tl2br w:val="nil"/>
              <w:tr2bl w:val="nil"/>
            </w:tcBorders>
            <w:vAlign w:val="center"/>
          </w:tcPr>
          <w:p w14:paraId="236FA1B1">
            <w:pPr>
              <w:widowControl/>
              <w:jc w:val="center"/>
              <w:textAlignment w:val="center"/>
              <w:rPr>
                <w:color w:val="auto"/>
                <w:kern w:val="0"/>
                <w:szCs w:val="21"/>
              </w:rPr>
            </w:pPr>
            <w:r>
              <w:rPr>
                <w:color w:val="auto"/>
                <w:kern w:val="0"/>
                <w:szCs w:val="21"/>
              </w:rPr>
              <w:t>-</w:t>
            </w:r>
          </w:p>
        </w:tc>
      </w:tr>
      <w:tr w14:paraId="1596F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7CCF1AC">
            <w:pPr>
              <w:widowControl/>
              <w:jc w:val="center"/>
              <w:rPr>
                <w:color w:val="auto"/>
                <w:kern w:val="0"/>
                <w:szCs w:val="21"/>
              </w:rPr>
            </w:pPr>
            <w:r>
              <w:rPr>
                <w:color w:val="auto"/>
                <w:kern w:val="0"/>
                <w:szCs w:val="21"/>
              </w:rPr>
              <w:t>灌丛及灌草丛</w:t>
            </w:r>
          </w:p>
        </w:tc>
        <w:tc>
          <w:tcPr>
            <w:tcW w:w="1649" w:type="dxa"/>
            <w:tcBorders>
              <w:tl2br w:val="nil"/>
              <w:tr2bl w:val="nil"/>
            </w:tcBorders>
            <w:vAlign w:val="center"/>
          </w:tcPr>
          <w:p w14:paraId="7C601857">
            <w:pPr>
              <w:widowControl/>
              <w:jc w:val="center"/>
              <w:textAlignment w:val="center"/>
              <w:rPr>
                <w:color w:val="auto"/>
                <w:kern w:val="0"/>
                <w:szCs w:val="21"/>
              </w:rPr>
            </w:pPr>
            <w:r>
              <w:rPr>
                <w:color w:val="auto"/>
                <w:kern w:val="0"/>
                <w:szCs w:val="21"/>
              </w:rPr>
              <w:t>-</w:t>
            </w:r>
          </w:p>
        </w:tc>
        <w:tc>
          <w:tcPr>
            <w:tcW w:w="1862" w:type="dxa"/>
            <w:tcBorders>
              <w:tl2br w:val="nil"/>
              <w:tr2bl w:val="nil"/>
            </w:tcBorders>
            <w:vAlign w:val="center"/>
          </w:tcPr>
          <w:p w14:paraId="0D92BF0A">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51B798CE">
            <w:pPr>
              <w:widowControl/>
              <w:jc w:val="center"/>
              <w:textAlignment w:val="center"/>
              <w:rPr>
                <w:color w:val="auto"/>
                <w:kern w:val="0"/>
                <w:szCs w:val="21"/>
              </w:rPr>
            </w:pPr>
            <w:r>
              <w:rPr>
                <w:color w:val="auto"/>
                <w:kern w:val="0"/>
                <w:szCs w:val="21"/>
              </w:rPr>
              <w:t>-</w:t>
            </w:r>
          </w:p>
        </w:tc>
        <w:tc>
          <w:tcPr>
            <w:tcW w:w="1040" w:type="pct"/>
            <w:tcBorders>
              <w:tl2br w:val="nil"/>
              <w:tr2bl w:val="nil"/>
            </w:tcBorders>
            <w:vAlign w:val="center"/>
          </w:tcPr>
          <w:p w14:paraId="0B6DFD31">
            <w:pPr>
              <w:widowControl/>
              <w:jc w:val="center"/>
              <w:textAlignment w:val="center"/>
              <w:rPr>
                <w:color w:val="auto"/>
                <w:kern w:val="0"/>
                <w:szCs w:val="21"/>
              </w:rPr>
            </w:pPr>
            <w:r>
              <w:rPr>
                <w:color w:val="auto"/>
                <w:kern w:val="0"/>
                <w:szCs w:val="21"/>
              </w:rPr>
              <w:t>-</w:t>
            </w:r>
          </w:p>
        </w:tc>
      </w:tr>
      <w:tr w14:paraId="39F41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5BD85172">
            <w:pPr>
              <w:widowControl/>
              <w:jc w:val="center"/>
              <w:rPr>
                <w:color w:val="auto"/>
                <w:kern w:val="0"/>
                <w:szCs w:val="21"/>
              </w:rPr>
            </w:pPr>
            <w:r>
              <w:rPr>
                <w:color w:val="auto"/>
                <w:kern w:val="0"/>
                <w:szCs w:val="21"/>
              </w:rPr>
              <w:t>农业植被</w:t>
            </w:r>
          </w:p>
        </w:tc>
        <w:tc>
          <w:tcPr>
            <w:tcW w:w="1649" w:type="dxa"/>
            <w:tcBorders>
              <w:tl2br w:val="nil"/>
              <w:tr2bl w:val="nil"/>
            </w:tcBorders>
            <w:vAlign w:val="center"/>
          </w:tcPr>
          <w:p w14:paraId="14B968D8">
            <w:pPr>
              <w:widowControl/>
              <w:jc w:val="center"/>
              <w:textAlignment w:val="center"/>
              <w:rPr>
                <w:color w:val="auto"/>
                <w:kern w:val="0"/>
                <w:szCs w:val="21"/>
              </w:rPr>
            </w:pPr>
            <w:r>
              <w:rPr>
                <w:color w:val="auto"/>
                <w:kern w:val="0"/>
                <w:szCs w:val="21"/>
              </w:rPr>
              <w:t>-</w:t>
            </w:r>
          </w:p>
        </w:tc>
        <w:tc>
          <w:tcPr>
            <w:tcW w:w="1862" w:type="dxa"/>
            <w:tcBorders>
              <w:tl2br w:val="nil"/>
              <w:tr2bl w:val="nil"/>
            </w:tcBorders>
            <w:vAlign w:val="center"/>
          </w:tcPr>
          <w:p w14:paraId="27F7E58F">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6C2E768A">
            <w:pPr>
              <w:widowControl/>
              <w:jc w:val="center"/>
              <w:textAlignment w:val="center"/>
              <w:rPr>
                <w:color w:val="auto"/>
                <w:kern w:val="0"/>
                <w:szCs w:val="21"/>
              </w:rPr>
            </w:pPr>
            <w:r>
              <w:rPr>
                <w:color w:val="auto"/>
                <w:kern w:val="0"/>
                <w:szCs w:val="21"/>
              </w:rPr>
              <w:t>-</w:t>
            </w:r>
          </w:p>
        </w:tc>
        <w:tc>
          <w:tcPr>
            <w:tcW w:w="1040" w:type="pct"/>
            <w:tcBorders>
              <w:tl2br w:val="nil"/>
              <w:tr2bl w:val="nil"/>
            </w:tcBorders>
            <w:vAlign w:val="center"/>
          </w:tcPr>
          <w:p w14:paraId="4D8672EF">
            <w:pPr>
              <w:widowControl/>
              <w:jc w:val="center"/>
              <w:textAlignment w:val="center"/>
              <w:rPr>
                <w:color w:val="auto"/>
                <w:kern w:val="0"/>
                <w:szCs w:val="21"/>
              </w:rPr>
            </w:pPr>
            <w:r>
              <w:rPr>
                <w:color w:val="auto"/>
                <w:kern w:val="0"/>
                <w:szCs w:val="21"/>
              </w:rPr>
              <w:t>-</w:t>
            </w:r>
          </w:p>
        </w:tc>
      </w:tr>
      <w:tr w14:paraId="46863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65000176">
            <w:pPr>
              <w:widowControl/>
              <w:jc w:val="center"/>
              <w:rPr>
                <w:color w:val="auto"/>
                <w:kern w:val="0"/>
                <w:szCs w:val="21"/>
              </w:rPr>
            </w:pPr>
            <w:r>
              <w:rPr>
                <w:color w:val="auto"/>
                <w:kern w:val="0"/>
                <w:szCs w:val="21"/>
              </w:rPr>
              <w:t>水域</w:t>
            </w:r>
          </w:p>
        </w:tc>
        <w:tc>
          <w:tcPr>
            <w:tcW w:w="968" w:type="pct"/>
            <w:tcBorders>
              <w:tl2br w:val="nil"/>
              <w:tr2bl w:val="nil"/>
            </w:tcBorders>
            <w:vAlign w:val="center"/>
          </w:tcPr>
          <w:p w14:paraId="4C44F48B">
            <w:pPr>
              <w:widowControl/>
              <w:jc w:val="center"/>
              <w:textAlignment w:val="center"/>
              <w:rPr>
                <w:color w:val="auto"/>
                <w:kern w:val="0"/>
                <w:szCs w:val="21"/>
              </w:rPr>
            </w:pPr>
            <w:r>
              <w:rPr>
                <w:color w:val="auto"/>
                <w:kern w:val="0"/>
                <w:szCs w:val="21"/>
              </w:rPr>
              <w:t>-50</w:t>
            </w:r>
          </w:p>
        </w:tc>
        <w:tc>
          <w:tcPr>
            <w:tcW w:w="1093" w:type="pct"/>
            <w:tcBorders>
              <w:tl2br w:val="nil"/>
              <w:tr2bl w:val="nil"/>
            </w:tcBorders>
            <w:vAlign w:val="center"/>
          </w:tcPr>
          <w:p w14:paraId="0C6648D3">
            <w:pPr>
              <w:widowControl/>
              <w:jc w:val="center"/>
              <w:textAlignment w:val="center"/>
              <w:rPr>
                <w:color w:val="auto"/>
                <w:kern w:val="0"/>
                <w:szCs w:val="21"/>
              </w:rPr>
            </w:pPr>
            <w:r>
              <w:rPr>
                <w:color w:val="auto"/>
                <w:kern w:val="0"/>
                <w:szCs w:val="21"/>
              </w:rPr>
              <w:t>1.2</w:t>
            </w:r>
          </w:p>
        </w:tc>
        <w:tc>
          <w:tcPr>
            <w:tcW w:w="857" w:type="pct"/>
            <w:tcBorders>
              <w:tl2br w:val="nil"/>
              <w:tr2bl w:val="nil"/>
            </w:tcBorders>
            <w:vAlign w:val="center"/>
          </w:tcPr>
          <w:p w14:paraId="4B046F57">
            <w:pPr>
              <w:widowControl/>
              <w:jc w:val="center"/>
              <w:textAlignment w:val="center"/>
              <w:rPr>
                <w:color w:val="auto"/>
                <w:kern w:val="0"/>
                <w:szCs w:val="21"/>
              </w:rPr>
            </w:pPr>
            <w:r>
              <w:rPr>
                <w:color w:val="auto"/>
                <w:kern w:val="0"/>
                <w:szCs w:val="21"/>
              </w:rPr>
              <w:t>-60</w:t>
            </w:r>
          </w:p>
        </w:tc>
        <w:tc>
          <w:tcPr>
            <w:tcW w:w="1040" w:type="pct"/>
            <w:tcBorders>
              <w:tl2br w:val="nil"/>
              <w:tr2bl w:val="nil"/>
            </w:tcBorders>
            <w:vAlign w:val="center"/>
          </w:tcPr>
          <w:p w14:paraId="04302849">
            <w:pPr>
              <w:widowControl/>
              <w:jc w:val="center"/>
              <w:textAlignment w:val="center"/>
              <w:rPr>
                <w:color w:val="auto"/>
                <w:kern w:val="0"/>
                <w:szCs w:val="21"/>
              </w:rPr>
            </w:pPr>
            <w:r>
              <w:rPr>
                <w:color w:val="auto"/>
                <w:kern w:val="0"/>
                <w:szCs w:val="21"/>
              </w:rPr>
              <w:t>-1.53</w:t>
            </w:r>
          </w:p>
        </w:tc>
      </w:tr>
      <w:tr w14:paraId="231F2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6F3490C">
            <w:pPr>
              <w:widowControl/>
              <w:jc w:val="center"/>
              <w:rPr>
                <w:color w:val="auto"/>
                <w:kern w:val="0"/>
                <w:szCs w:val="21"/>
              </w:rPr>
            </w:pPr>
            <w:r>
              <w:rPr>
                <w:color w:val="auto"/>
                <w:kern w:val="0"/>
                <w:szCs w:val="21"/>
              </w:rPr>
              <w:t>合计</w:t>
            </w:r>
          </w:p>
        </w:tc>
        <w:tc>
          <w:tcPr>
            <w:tcW w:w="1649" w:type="dxa"/>
            <w:tcBorders>
              <w:tl2br w:val="nil"/>
              <w:tr2bl w:val="nil"/>
            </w:tcBorders>
            <w:vAlign w:val="center"/>
          </w:tcPr>
          <w:p w14:paraId="5E462581">
            <w:pPr>
              <w:widowControl/>
              <w:jc w:val="center"/>
              <w:textAlignment w:val="center"/>
              <w:rPr>
                <w:color w:val="auto"/>
                <w:kern w:val="0"/>
                <w:szCs w:val="21"/>
              </w:rPr>
            </w:pPr>
            <w:r>
              <w:rPr>
                <w:color w:val="auto"/>
                <w:kern w:val="0"/>
                <w:szCs w:val="21"/>
              </w:rPr>
              <w:t>-50</w:t>
            </w:r>
          </w:p>
        </w:tc>
        <w:tc>
          <w:tcPr>
            <w:tcW w:w="1862" w:type="dxa"/>
            <w:tcBorders>
              <w:tl2br w:val="nil"/>
              <w:tr2bl w:val="nil"/>
            </w:tcBorders>
            <w:vAlign w:val="center"/>
          </w:tcPr>
          <w:p w14:paraId="44199F07">
            <w:pPr>
              <w:widowControl/>
              <w:jc w:val="center"/>
              <w:textAlignment w:val="center"/>
              <w:rPr>
                <w:color w:val="auto"/>
                <w:kern w:val="0"/>
                <w:szCs w:val="21"/>
              </w:rPr>
            </w:pPr>
            <w:r>
              <w:rPr>
                <w:color w:val="auto"/>
                <w:kern w:val="0"/>
                <w:szCs w:val="21"/>
              </w:rPr>
              <w:t>1.2</w:t>
            </w:r>
          </w:p>
        </w:tc>
        <w:tc>
          <w:tcPr>
            <w:tcW w:w="1460" w:type="dxa"/>
            <w:tcBorders>
              <w:tl2br w:val="nil"/>
              <w:tr2bl w:val="nil"/>
            </w:tcBorders>
            <w:vAlign w:val="center"/>
          </w:tcPr>
          <w:p w14:paraId="25F6AF3A">
            <w:pPr>
              <w:widowControl/>
              <w:jc w:val="center"/>
              <w:textAlignment w:val="center"/>
              <w:rPr>
                <w:color w:val="auto"/>
                <w:kern w:val="0"/>
                <w:szCs w:val="21"/>
              </w:rPr>
            </w:pPr>
            <w:r>
              <w:rPr>
                <w:color w:val="auto"/>
                <w:kern w:val="0"/>
                <w:szCs w:val="21"/>
              </w:rPr>
              <w:t>-60</w:t>
            </w:r>
          </w:p>
        </w:tc>
        <w:tc>
          <w:tcPr>
            <w:tcW w:w="1773" w:type="dxa"/>
            <w:tcBorders>
              <w:tl2br w:val="nil"/>
              <w:tr2bl w:val="nil"/>
            </w:tcBorders>
            <w:vAlign w:val="center"/>
          </w:tcPr>
          <w:p w14:paraId="03AD1C31">
            <w:pPr>
              <w:widowControl/>
              <w:jc w:val="center"/>
              <w:textAlignment w:val="center"/>
              <w:rPr>
                <w:color w:val="auto"/>
                <w:kern w:val="0"/>
                <w:szCs w:val="21"/>
              </w:rPr>
            </w:pPr>
            <w:r>
              <w:rPr>
                <w:color w:val="auto"/>
                <w:kern w:val="0"/>
                <w:szCs w:val="21"/>
              </w:rPr>
              <w:t>-1.53</w:t>
            </w:r>
          </w:p>
        </w:tc>
      </w:tr>
    </w:tbl>
    <w:p w14:paraId="7D598A54">
      <w:pPr>
        <w:widowControl/>
        <w:spacing w:line="360" w:lineRule="auto"/>
        <w:ind w:firstLine="420" w:firstLineChars="200"/>
        <w:rPr>
          <w:color w:val="auto"/>
          <w:kern w:val="0"/>
          <w:szCs w:val="21"/>
        </w:rPr>
      </w:pPr>
      <w:r>
        <w:rPr>
          <w:color w:val="auto"/>
          <w:kern w:val="0"/>
          <w:szCs w:val="21"/>
        </w:rPr>
        <w:t>注：未包括占用建设用地及其他用地面积。</w:t>
      </w:r>
    </w:p>
    <w:p w14:paraId="6F1CA47C">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4-3   临时占地损失生物量一览表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649"/>
        <w:gridCol w:w="1862"/>
        <w:gridCol w:w="1460"/>
        <w:gridCol w:w="1773"/>
      </w:tblGrid>
      <w:tr w14:paraId="72730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38DF1F82">
            <w:pPr>
              <w:widowControl/>
              <w:jc w:val="center"/>
              <w:rPr>
                <w:b/>
                <w:bCs/>
                <w:color w:val="auto"/>
                <w:kern w:val="0"/>
                <w:szCs w:val="21"/>
              </w:rPr>
            </w:pPr>
            <w:r>
              <w:rPr>
                <w:b/>
                <w:bCs/>
                <w:color w:val="auto"/>
                <w:kern w:val="0"/>
                <w:szCs w:val="21"/>
              </w:rPr>
              <w:t>植被类型</w:t>
            </w:r>
          </w:p>
        </w:tc>
        <w:tc>
          <w:tcPr>
            <w:tcW w:w="968" w:type="pct"/>
            <w:tcBorders>
              <w:tl2br w:val="nil"/>
              <w:tr2bl w:val="nil"/>
            </w:tcBorders>
            <w:vAlign w:val="center"/>
          </w:tcPr>
          <w:p w14:paraId="62C89ECF">
            <w:pPr>
              <w:widowControl/>
              <w:jc w:val="center"/>
              <w:textAlignment w:val="center"/>
              <w:rPr>
                <w:b/>
                <w:bCs/>
                <w:color w:val="auto"/>
                <w:kern w:val="0"/>
                <w:szCs w:val="21"/>
              </w:rPr>
            </w:pPr>
            <w:r>
              <w:rPr>
                <w:b/>
                <w:bCs/>
                <w:color w:val="auto"/>
                <w:kern w:val="0"/>
                <w:szCs w:val="21"/>
              </w:rPr>
              <w:t>面积变化（hm</w:t>
            </w:r>
            <w:r>
              <w:rPr>
                <w:b/>
                <w:bCs/>
                <w:color w:val="auto"/>
                <w:kern w:val="0"/>
                <w:szCs w:val="21"/>
                <w:vertAlign w:val="superscript"/>
              </w:rPr>
              <w:t>2</w:t>
            </w:r>
            <w:r>
              <w:rPr>
                <w:b/>
                <w:bCs/>
                <w:color w:val="auto"/>
                <w:kern w:val="0"/>
                <w:szCs w:val="21"/>
              </w:rPr>
              <w:t>）</w:t>
            </w:r>
          </w:p>
        </w:tc>
        <w:tc>
          <w:tcPr>
            <w:tcW w:w="1093" w:type="pct"/>
            <w:tcBorders>
              <w:tl2br w:val="nil"/>
              <w:tr2bl w:val="nil"/>
            </w:tcBorders>
            <w:vAlign w:val="center"/>
          </w:tcPr>
          <w:p w14:paraId="45814A35">
            <w:pPr>
              <w:widowControl/>
              <w:jc w:val="center"/>
              <w:textAlignment w:val="center"/>
              <w:rPr>
                <w:b/>
                <w:bCs/>
                <w:color w:val="auto"/>
                <w:kern w:val="0"/>
                <w:szCs w:val="21"/>
              </w:rPr>
            </w:pPr>
            <w:r>
              <w:rPr>
                <w:b/>
                <w:bCs/>
                <w:color w:val="auto"/>
                <w:kern w:val="0"/>
                <w:szCs w:val="21"/>
              </w:rPr>
              <w:t>平均生物量（t/hm</w:t>
            </w:r>
            <w:r>
              <w:rPr>
                <w:b/>
                <w:bCs/>
                <w:color w:val="auto"/>
                <w:kern w:val="0"/>
                <w:szCs w:val="21"/>
                <w:vertAlign w:val="superscript"/>
              </w:rPr>
              <w:t>2</w:t>
            </w:r>
            <w:r>
              <w:rPr>
                <w:b/>
                <w:bCs/>
                <w:color w:val="auto"/>
                <w:kern w:val="0"/>
                <w:szCs w:val="21"/>
              </w:rPr>
              <w:t>）</w:t>
            </w:r>
          </w:p>
        </w:tc>
        <w:tc>
          <w:tcPr>
            <w:tcW w:w="857" w:type="pct"/>
            <w:tcBorders>
              <w:tl2br w:val="nil"/>
              <w:tr2bl w:val="nil"/>
            </w:tcBorders>
            <w:vAlign w:val="center"/>
          </w:tcPr>
          <w:p w14:paraId="0C08B962">
            <w:pPr>
              <w:widowControl/>
              <w:jc w:val="center"/>
              <w:textAlignment w:val="center"/>
              <w:rPr>
                <w:b/>
                <w:bCs/>
                <w:color w:val="auto"/>
                <w:kern w:val="0"/>
                <w:szCs w:val="21"/>
              </w:rPr>
            </w:pPr>
            <w:r>
              <w:rPr>
                <w:b/>
                <w:bCs/>
                <w:color w:val="auto"/>
                <w:kern w:val="0"/>
                <w:szCs w:val="21"/>
              </w:rPr>
              <w:t>生物量变化值（t）</w:t>
            </w:r>
          </w:p>
        </w:tc>
        <w:tc>
          <w:tcPr>
            <w:tcW w:w="1040" w:type="pct"/>
            <w:tcBorders>
              <w:tl2br w:val="nil"/>
              <w:tr2bl w:val="nil"/>
            </w:tcBorders>
            <w:vAlign w:val="center"/>
          </w:tcPr>
          <w:p w14:paraId="45BCAE2E">
            <w:pPr>
              <w:widowControl/>
              <w:jc w:val="center"/>
              <w:textAlignment w:val="center"/>
              <w:rPr>
                <w:b/>
                <w:bCs/>
                <w:color w:val="auto"/>
                <w:kern w:val="0"/>
                <w:szCs w:val="21"/>
              </w:rPr>
            </w:pPr>
            <w:r>
              <w:rPr>
                <w:b/>
                <w:bCs/>
                <w:color w:val="auto"/>
                <w:kern w:val="0"/>
                <w:szCs w:val="21"/>
              </w:rPr>
              <w:t>占评价区总生物量比列（%）</w:t>
            </w:r>
          </w:p>
        </w:tc>
      </w:tr>
      <w:tr w14:paraId="02672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13EBE53">
            <w:pPr>
              <w:widowControl/>
              <w:jc w:val="center"/>
              <w:rPr>
                <w:color w:val="auto"/>
                <w:kern w:val="0"/>
                <w:szCs w:val="21"/>
              </w:rPr>
            </w:pPr>
            <w:r>
              <w:rPr>
                <w:color w:val="auto"/>
                <w:kern w:val="0"/>
                <w:szCs w:val="21"/>
              </w:rPr>
              <w:t>针叶林</w:t>
            </w:r>
          </w:p>
        </w:tc>
        <w:tc>
          <w:tcPr>
            <w:tcW w:w="1649" w:type="dxa"/>
            <w:tcBorders>
              <w:tl2br w:val="nil"/>
              <w:tr2bl w:val="nil"/>
            </w:tcBorders>
            <w:vAlign w:val="center"/>
          </w:tcPr>
          <w:p w14:paraId="1F183FCF">
            <w:pPr>
              <w:widowControl/>
              <w:jc w:val="center"/>
              <w:textAlignment w:val="center"/>
              <w:rPr>
                <w:color w:val="auto"/>
                <w:kern w:val="0"/>
                <w:szCs w:val="21"/>
              </w:rPr>
            </w:pPr>
            <w:r>
              <w:rPr>
                <w:color w:val="auto"/>
                <w:kern w:val="0"/>
                <w:szCs w:val="21"/>
                <w:lang w:bidi="ar"/>
              </w:rPr>
              <w:t>-0.009</w:t>
            </w:r>
          </w:p>
        </w:tc>
        <w:tc>
          <w:tcPr>
            <w:tcW w:w="1862" w:type="dxa"/>
            <w:tcBorders>
              <w:tl2br w:val="nil"/>
              <w:tr2bl w:val="nil"/>
            </w:tcBorders>
            <w:vAlign w:val="center"/>
          </w:tcPr>
          <w:p w14:paraId="0054B0E2">
            <w:pPr>
              <w:widowControl/>
              <w:jc w:val="center"/>
              <w:textAlignment w:val="center"/>
              <w:rPr>
                <w:color w:val="auto"/>
                <w:kern w:val="0"/>
                <w:szCs w:val="21"/>
              </w:rPr>
            </w:pPr>
            <w:r>
              <w:rPr>
                <w:color w:val="auto"/>
                <w:kern w:val="0"/>
                <w:szCs w:val="21"/>
                <w:lang w:bidi="ar"/>
              </w:rPr>
              <w:t>26.77</w:t>
            </w:r>
          </w:p>
        </w:tc>
        <w:tc>
          <w:tcPr>
            <w:tcW w:w="1460" w:type="dxa"/>
            <w:tcBorders>
              <w:tl2br w:val="nil"/>
              <w:tr2bl w:val="nil"/>
            </w:tcBorders>
            <w:vAlign w:val="center"/>
          </w:tcPr>
          <w:p w14:paraId="4C1288EB">
            <w:pPr>
              <w:widowControl/>
              <w:jc w:val="center"/>
              <w:textAlignment w:val="center"/>
              <w:rPr>
                <w:color w:val="auto"/>
                <w:kern w:val="0"/>
                <w:szCs w:val="21"/>
              </w:rPr>
            </w:pPr>
            <w:r>
              <w:rPr>
                <w:color w:val="auto"/>
                <w:kern w:val="0"/>
                <w:szCs w:val="21"/>
                <w:lang w:bidi="ar"/>
              </w:rPr>
              <w:t>-0.24</w:t>
            </w:r>
          </w:p>
        </w:tc>
        <w:tc>
          <w:tcPr>
            <w:tcW w:w="1773" w:type="dxa"/>
            <w:tcBorders>
              <w:tl2br w:val="nil"/>
              <w:tr2bl w:val="nil"/>
            </w:tcBorders>
            <w:vAlign w:val="center"/>
          </w:tcPr>
          <w:p w14:paraId="7E1B8FC3">
            <w:pPr>
              <w:widowControl/>
              <w:jc w:val="center"/>
              <w:textAlignment w:val="center"/>
              <w:rPr>
                <w:color w:val="auto"/>
                <w:kern w:val="0"/>
                <w:szCs w:val="21"/>
              </w:rPr>
            </w:pPr>
            <w:r>
              <w:rPr>
                <w:color w:val="auto"/>
                <w:kern w:val="0"/>
                <w:szCs w:val="21"/>
                <w:lang w:bidi="ar"/>
              </w:rPr>
              <w:t>-0.01</w:t>
            </w:r>
          </w:p>
        </w:tc>
      </w:tr>
      <w:tr w14:paraId="3B81A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A1FFE9B">
            <w:pPr>
              <w:widowControl/>
              <w:jc w:val="center"/>
              <w:rPr>
                <w:color w:val="auto"/>
                <w:kern w:val="0"/>
                <w:szCs w:val="21"/>
              </w:rPr>
            </w:pPr>
            <w:r>
              <w:rPr>
                <w:color w:val="auto"/>
                <w:kern w:val="0"/>
                <w:szCs w:val="21"/>
              </w:rPr>
              <w:t>阔叶林</w:t>
            </w:r>
          </w:p>
        </w:tc>
        <w:tc>
          <w:tcPr>
            <w:tcW w:w="1649" w:type="dxa"/>
            <w:tcBorders>
              <w:tl2br w:val="nil"/>
              <w:tr2bl w:val="nil"/>
            </w:tcBorders>
            <w:vAlign w:val="center"/>
          </w:tcPr>
          <w:p w14:paraId="48776191">
            <w:pPr>
              <w:widowControl/>
              <w:jc w:val="center"/>
              <w:textAlignment w:val="center"/>
              <w:rPr>
                <w:color w:val="auto"/>
                <w:kern w:val="0"/>
                <w:szCs w:val="21"/>
              </w:rPr>
            </w:pPr>
            <w:r>
              <w:rPr>
                <w:color w:val="auto"/>
                <w:kern w:val="0"/>
                <w:szCs w:val="21"/>
                <w:lang w:bidi="ar"/>
              </w:rPr>
              <w:t>-0.001</w:t>
            </w:r>
          </w:p>
        </w:tc>
        <w:tc>
          <w:tcPr>
            <w:tcW w:w="1862" w:type="dxa"/>
            <w:tcBorders>
              <w:tl2br w:val="nil"/>
              <w:tr2bl w:val="nil"/>
            </w:tcBorders>
            <w:vAlign w:val="center"/>
          </w:tcPr>
          <w:p w14:paraId="26E6DFAE">
            <w:pPr>
              <w:widowControl/>
              <w:jc w:val="center"/>
              <w:textAlignment w:val="center"/>
              <w:rPr>
                <w:color w:val="auto"/>
                <w:kern w:val="0"/>
                <w:szCs w:val="21"/>
              </w:rPr>
            </w:pPr>
            <w:r>
              <w:rPr>
                <w:color w:val="auto"/>
                <w:kern w:val="0"/>
                <w:szCs w:val="21"/>
                <w:lang w:bidi="ar"/>
              </w:rPr>
              <w:t>70.69</w:t>
            </w:r>
          </w:p>
        </w:tc>
        <w:tc>
          <w:tcPr>
            <w:tcW w:w="1460" w:type="dxa"/>
            <w:tcBorders>
              <w:tl2br w:val="nil"/>
              <w:tr2bl w:val="nil"/>
            </w:tcBorders>
            <w:vAlign w:val="center"/>
          </w:tcPr>
          <w:p w14:paraId="021FCE30">
            <w:pPr>
              <w:widowControl/>
              <w:jc w:val="center"/>
              <w:textAlignment w:val="center"/>
              <w:rPr>
                <w:color w:val="auto"/>
                <w:kern w:val="0"/>
                <w:szCs w:val="21"/>
              </w:rPr>
            </w:pPr>
            <w:r>
              <w:rPr>
                <w:color w:val="auto"/>
                <w:kern w:val="0"/>
                <w:szCs w:val="21"/>
                <w:lang w:bidi="ar"/>
              </w:rPr>
              <w:t>-0.07</w:t>
            </w:r>
          </w:p>
        </w:tc>
        <w:tc>
          <w:tcPr>
            <w:tcW w:w="1773" w:type="dxa"/>
            <w:tcBorders>
              <w:tl2br w:val="nil"/>
              <w:tr2bl w:val="nil"/>
            </w:tcBorders>
            <w:vAlign w:val="center"/>
          </w:tcPr>
          <w:p w14:paraId="1935AEDA">
            <w:pPr>
              <w:widowControl/>
              <w:jc w:val="center"/>
              <w:textAlignment w:val="center"/>
              <w:rPr>
                <w:color w:val="auto"/>
                <w:kern w:val="0"/>
                <w:szCs w:val="21"/>
              </w:rPr>
            </w:pPr>
            <w:r>
              <w:rPr>
                <w:color w:val="auto"/>
                <w:kern w:val="0"/>
                <w:szCs w:val="21"/>
                <w:lang w:bidi="ar"/>
              </w:rPr>
              <w:t>-0.00</w:t>
            </w:r>
          </w:p>
        </w:tc>
      </w:tr>
      <w:tr w14:paraId="1365D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78508F34">
            <w:pPr>
              <w:widowControl/>
              <w:jc w:val="center"/>
              <w:rPr>
                <w:color w:val="auto"/>
                <w:kern w:val="0"/>
                <w:szCs w:val="21"/>
              </w:rPr>
            </w:pPr>
            <w:r>
              <w:rPr>
                <w:color w:val="auto"/>
                <w:kern w:val="0"/>
                <w:szCs w:val="21"/>
              </w:rPr>
              <w:t>灌丛及灌草丛</w:t>
            </w:r>
          </w:p>
        </w:tc>
        <w:tc>
          <w:tcPr>
            <w:tcW w:w="1649" w:type="dxa"/>
            <w:tcBorders>
              <w:tl2br w:val="nil"/>
              <w:tr2bl w:val="nil"/>
            </w:tcBorders>
            <w:vAlign w:val="center"/>
          </w:tcPr>
          <w:p w14:paraId="4592B9D2">
            <w:pPr>
              <w:widowControl/>
              <w:jc w:val="center"/>
              <w:textAlignment w:val="center"/>
              <w:rPr>
                <w:color w:val="auto"/>
                <w:kern w:val="0"/>
                <w:szCs w:val="21"/>
              </w:rPr>
            </w:pPr>
            <w:r>
              <w:rPr>
                <w:color w:val="auto"/>
                <w:kern w:val="0"/>
                <w:szCs w:val="21"/>
                <w:lang w:bidi="ar"/>
              </w:rPr>
              <w:t>-0.25</w:t>
            </w:r>
          </w:p>
        </w:tc>
        <w:tc>
          <w:tcPr>
            <w:tcW w:w="1862" w:type="dxa"/>
            <w:tcBorders>
              <w:tl2br w:val="nil"/>
              <w:tr2bl w:val="nil"/>
            </w:tcBorders>
            <w:vAlign w:val="center"/>
          </w:tcPr>
          <w:p w14:paraId="28EF97EA">
            <w:pPr>
              <w:widowControl/>
              <w:jc w:val="center"/>
              <w:textAlignment w:val="center"/>
              <w:rPr>
                <w:color w:val="auto"/>
                <w:kern w:val="0"/>
                <w:szCs w:val="21"/>
              </w:rPr>
            </w:pPr>
            <w:r>
              <w:rPr>
                <w:color w:val="auto"/>
                <w:kern w:val="0"/>
                <w:szCs w:val="21"/>
                <w:lang w:bidi="ar"/>
              </w:rPr>
              <w:t>20.24</w:t>
            </w:r>
          </w:p>
        </w:tc>
        <w:tc>
          <w:tcPr>
            <w:tcW w:w="1460" w:type="dxa"/>
            <w:tcBorders>
              <w:tl2br w:val="nil"/>
              <w:tr2bl w:val="nil"/>
            </w:tcBorders>
            <w:vAlign w:val="center"/>
          </w:tcPr>
          <w:p w14:paraId="0AA3B1B2">
            <w:pPr>
              <w:widowControl/>
              <w:jc w:val="center"/>
              <w:textAlignment w:val="center"/>
              <w:rPr>
                <w:color w:val="auto"/>
                <w:kern w:val="0"/>
                <w:szCs w:val="21"/>
              </w:rPr>
            </w:pPr>
            <w:r>
              <w:rPr>
                <w:color w:val="auto"/>
                <w:kern w:val="0"/>
                <w:szCs w:val="21"/>
                <w:lang w:bidi="ar"/>
              </w:rPr>
              <w:t>-5.06</w:t>
            </w:r>
          </w:p>
        </w:tc>
        <w:tc>
          <w:tcPr>
            <w:tcW w:w="1773" w:type="dxa"/>
            <w:tcBorders>
              <w:tl2br w:val="nil"/>
              <w:tr2bl w:val="nil"/>
            </w:tcBorders>
            <w:vAlign w:val="center"/>
          </w:tcPr>
          <w:p w14:paraId="44E4AA4B">
            <w:pPr>
              <w:widowControl/>
              <w:jc w:val="center"/>
              <w:textAlignment w:val="center"/>
              <w:rPr>
                <w:color w:val="auto"/>
                <w:kern w:val="0"/>
                <w:szCs w:val="21"/>
              </w:rPr>
            </w:pPr>
            <w:r>
              <w:rPr>
                <w:color w:val="auto"/>
                <w:kern w:val="0"/>
                <w:szCs w:val="21"/>
                <w:lang w:bidi="ar"/>
              </w:rPr>
              <w:t>-0.13</w:t>
            </w:r>
          </w:p>
        </w:tc>
      </w:tr>
      <w:tr w14:paraId="43CCD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49C5A4B">
            <w:pPr>
              <w:widowControl/>
              <w:jc w:val="center"/>
              <w:rPr>
                <w:color w:val="auto"/>
                <w:kern w:val="0"/>
                <w:szCs w:val="21"/>
              </w:rPr>
            </w:pPr>
            <w:r>
              <w:rPr>
                <w:color w:val="auto"/>
                <w:kern w:val="0"/>
                <w:szCs w:val="21"/>
              </w:rPr>
              <w:t>农业植被</w:t>
            </w:r>
          </w:p>
        </w:tc>
        <w:tc>
          <w:tcPr>
            <w:tcW w:w="1649" w:type="dxa"/>
            <w:tcBorders>
              <w:tl2br w:val="nil"/>
              <w:tr2bl w:val="nil"/>
            </w:tcBorders>
            <w:vAlign w:val="center"/>
          </w:tcPr>
          <w:p w14:paraId="3D40D599">
            <w:pPr>
              <w:widowControl/>
              <w:jc w:val="center"/>
              <w:textAlignment w:val="center"/>
              <w:rPr>
                <w:color w:val="auto"/>
                <w:kern w:val="0"/>
                <w:szCs w:val="21"/>
              </w:rPr>
            </w:pPr>
            <w:r>
              <w:rPr>
                <w:color w:val="auto"/>
                <w:kern w:val="0"/>
                <w:szCs w:val="21"/>
                <w:lang w:bidi="ar"/>
              </w:rPr>
              <w:t>-0.18</w:t>
            </w:r>
          </w:p>
        </w:tc>
        <w:tc>
          <w:tcPr>
            <w:tcW w:w="1862" w:type="dxa"/>
            <w:tcBorders>
              <w:tl2br w:val="nil"/>
              <w:tr2bl w:val="nil"/>
            </w:tcBorders>
            <w:vAlign w:val="center"/>
          </w:tcPr>
          <w:p w14:paraId="7B4F2D10">
            <w:pPr>
              <w:widowControl/>
              <w:jc w:val="center"/>
              <w:textAlignment w:val="center"/>
              <w:rPr>
                <w:color w:val="auto"/>
                <w:kern w:val="0"/>
                <w:szCs w:val="21"/>
              </w:rPr>
            </w:pPr>
            <w:r>
              <w:rPr>
                <w:color w:val="auto"/>
                <w:kern w:val="0"/>
                <w:szCs w:val="21"/>
                <w:lang w:bidi="ar"/>
              </w:rPr>
              <w:t>6</w:t>
            </w:r>
          </w:p>
        </w:tc>
        <w:tc>
          <w:tcPr>
            <w:tcW w:w="1460" w:type="dxa"/>
            <w:tcBorders>
              <w:tl2br w:val="nil"/>
              <w:tr2bl w:val="nil"/>
            </w:tcBorders>
            <w:vAlign w:val="center"/>
          </w:tcPr>
          <w:p w14:paraId="2780C0E4">
            <w:pPr>
              <w:widowControl/>
              <w:jc w:val="center"/>
              <w:textAlignment w:val="center"/>
              <w:rPr>
                <w:color w:val="auto"/>
                <w:kern w:val="0"/>
                <w:szCs w:val="21"/>
              </w:rPr>
            </w:pPr>
            <w:r>
              <w:rPr>
                <w:color w:val="auto"/>
                <w:kern w:val="0"/>
                <w:szCs w:val="21"/>
                <w:lang w:bidi="ar"/>
              </w:rPr>
              <w:t>-1.08</w:t>
            </w:r>
          </w:p>
        </w:tc>
        <w:tc>
          <w:tcPr>
            <w:tcW w:w="1773" w:type="dxa"/>
            <w:tcBorders>
              <w:tl2br w:val="nil"/>
              <w:tr2bl w:val="nil"/>
            </w:tcBorders>
            <w:vAlign w:val="center"/>
          </w:tcPr>
          <w:p w14:paraId="1174AAE5">
            <w:pPr>
              <w:widowControl/>
              <w:jc w:val="center"/>
              <w:textAlignment w:val="center"/>
              <w:rPr>
                <w:color w:val="auto"/>
                <w:kern w:val="0"/>
                <w:szCs w:val="21"/>
              </w:rPr>
            </w:pPr>
            <w:r>
              <w:rPr>
                <w:color w:val="auto"/>
                <w:kern w:val="0"/>
                <w:szCs w:val="21"/>
                <w:lang w:bidi="ar"/>
              </w:rPr>
              <w:t>-0.03</w:t>
            </w:r>
          </w:p>
        </w:tc>
      </w:tr>
      <w:tr w14:paraId="2CA4B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3ABEBC0">
            <w:pPr>
              <w:widowControl/>
              <w:jc w:val="center"/>
              <w:rPr>
                <w:color w:val="auto"/>
                <w:kern w:val="0"/>
                <w:szCs w:val="21"/>
              </w:rPr>
            </w:pPr>
            <w:r>
              <w:rPr>
                <w:color w:val="auto"/>
                <w:kern w:val="0"/>
                <w:szCs w:val="21"/>
              </w:rPr>
              <w:t>水域</w:t>
            </w:r>
          </w:p>
        </w:tc>
        <w:tc>
          <w:tcPr>
            <w:tcW w:w="1649" w:type="dxa"/>
            <w:tcBorders>
              <w:tl2br w:val="nil"/>
              <w:tr2bl w:val="nil"/>
            </w:tcBorders>
            <w:vAlign w:val="center"/>
          </w:tcPr>
          <w:p w14:paraId="157FE531">
            <w:pPr>
              <w:widowControl/>
              <w:jc w:val="center"/>
              <w:textAlignment w:val="center"/>
              <w:rPr>
                <w:color w:val="auto"/>
                <w:kern w:val="0"/>
                <w:szCs w:val="21"/>
              </w:rPr>
            </w:pPr>
            <w:r>
              <w:rPr>
                <w:color w:val="auto"/>
                <w:kern w:val="0"/>
                <w:szCs w:val="21"/>
                <w:lang w:bidi="ar"/>
              </w:rPr>
              <w:t>-0.85</w:t>
            </w:r>
          </w:p>
        </w:tc>
        <w:tc>
          <w:tcPr>
            <w:tcW w:w="1862" w:type="dxa"/>
            <w:tcBorders>
              <w:tl2br w:val="nil"/>
              <w:tr2bl w:val="nil"/>
            </w:tcBorders>
            <w:vAlign w:val="center"/>
          </w:tcPr>
          <w:p w14:paraId="6688445E">
            <w:pPr>
              <w:widowControl/>
              <w:jc w:val="center"/>
              <w:textAlignment w:val="center"/>
              <w:rPr>
                <w:color w:val="auto"/>
                <w:kern w:val="0"/>
                <w:szCs w:val="21"/>
              </w:rPr>
            </w:pPr>
            <w:r>
              <w:rPr>
                <w:color w:val="auto"/>
                <w:kern w:val="0"/>
                <w:szCs w:val="21"/>
                <w:lang w:bidi="ar"/>
              </w:rPr>
              <w:t>1.2</w:t>
            </w:r>
          </w:p>
        </w:tc>
        <w:tc>
          <w:tcPr>
            <w:tcW w:w="1460" w:type="dxa"/>
            <w:tcBorders>
              <w:tl2br w:val="nil"/>
              <w:tr2bl w:val="nil"/>
            </w:tcBorders>
            <w:vAlign w:val="center"/>
          </w:tcPr>
          <w:p w14:paraId="14B3B380">
            <w:pPr>
              <w:widowControl/>
              <w:jc w:val="center"/>
              <w:textAlignment w:val="center"/>
              <w:rPr>
                <w:color w:val="auto"/>
                <w:kern w:val="0"/>
                <w:szCs w:val="21"/>
              </w:rPr>
            </w:pPr>
            <w:r>
              <w:rPr>
                <w:color w:val="auto"/>
                <w:kern w:val="0"/>
                <w:szCs w:val="21"/>
                <w:lang w:bidi="ar"/>
              </w:rPr>
              <w:t>-1.02</w:t>
            </w:r>
          </w:p>
        </w:tc>
        <w:tc>
          <w:tcPr>
            <w:tcW w:w="1773" w:type="dxa"/>
            <w:tcBorders>
              <w:tl2br w:val="nil"/>
              <w:tr2bl w:val="nil"/>
            </w:tcBorders>
            <w:vAlign w:val="center"/>
          </w:tcPr>
          <w:p w14:paraId="4CF9F7D0">
            <w:pPr>
              <w:widowControl/>
              <w:jc w:val="center"/>
              <w:textAlignment w:val="center"/>
              <w:rPr>
                <w:color w:val="auto"/>
                <w:kern w:val="0"/>
                <w:szCs w:val="21"/>
              </w:rPr>
            </w:pPr>
            <w:r>
              <w:rPr>
                <w:color w:val="auto"/>
                <w:kern w:val="0"/>
                <w:szCs w:val="21"/>
                <w:lang w:bidi="ar"/>
              </w:rPr>
              <w:t>-0.03</w:t>
            </w:r>
          </w:p>
        </w:tc>
      </w:tr>
      <w:tr w14:paraId="5E752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608F184">
            <w:pPr>
              <w:widowControl/>
              <w:jc w:val="center"/>
              <w:rPr>
                <w:color w:val="auto"/>
                <w:kern w:val="0"/>
                <w:szCs w:val="21"/>
              </w:rPr>
            </w:pPr>
            <w:r>
              <w:rPr>
                <w:color w:val="auto"/>
                <w:kern w:val="0"/>
                <w:szCs w:val="21"/>
              </w:rPr>
              <w:t>合计</w:t>
            </w:r>
          </w:p>
        </w:tc>
        <w:tc>
          <w:tcPr>
            <w:tcW w:w="1649" w:type="dxa"/>
            <w:tcBorders>
              <w:tl2br w:val="nil"/>
              <w:tr2bl w:val="nil"/>
            </w:tcBorders>
            <w:vAlign w:val="center"/>
          </w:tcPr>
          <w:p w14:paraId="602620A1">
            <w:pPr>
              <w:widowControl/>
              <w:jc w:val="center"/>
              <w:textAlignment w:val="center"/>
              <w:rPr>
                <w:color w:val="auto"/>
                <w:kern w:val="0"/>
                <w:szCs w:val="21"/>
              </w:rPr>
            </w:pPr>
            <w:r>
              <w:rPr>
                <w:color w:val="auto"/>
                <w:kern w:val="0"/>
                <w:szCs w:val="21"/>
                <w:lang w:bidi="ar"/>
              </w:rPr>
              <w:t>-1.295</w:t>
            </w:r>
          </w:p>
        </w:tc>
        <w:tc>
          <w:tcPr>
            <w:tcW w:w="1862" w:type="dxa"/>
            <w:tcBorders>
              <w:tl2br w:val="nil"/>
              <w:tr2bl w:val="nil"/>
            </w:tcBorders>
            <w:vAlign w:val="center"/>
          </w:tcPr>
          <w:p w14:paraId="31BEABDD">
            <w:pPr>
              <w:widowControl/>
              <w:jc w:val="center"/>
              <w:rPr>
                <w:color w:val="auto"/>
                <w:kern w:val="0"/>
                <w:szCs w:val="21"/>
              </w:rPr>
            </w:pPr>
          </w:p>
        </w:tc>
        <w:tc>
          <w:tcPr>
            <w:tcW w:w="1460" w:type="dxa"/>
            <w:tcBorders>
              <w:tl2br w:val="nil"/>
              <w:tr2bl w:val="nil"/>
            </w:tcBorders>
            <w:vAlign w:val="center"/>
          </w:tcPr>
          <w:p w14:paraId="7AD3FBEC">
            <w:pPr>
              <w:widowControl/>
              <w:jc w:val="center"/>
              <w:textAlignment w:val="center"/>
              <w:rPr>
                <w:color w:val="auto"/>
                <w:kern w:val="0"/>
                <w:szCs w:val="21"/>
              </w:rPr>
            </w:pPr>
            <w:r>
              <w:rPr>
                <w:color w:val="auto"/>
                <w:kern w:val="0"/>
                <w:szCs w:val="21"/>
                <w:lang w:bidi="ar"/>
              </w:rPr>
              <w:t>-7.47</w:t>
            </w:r>
          </w:p>
        </w:tc>
        <w:tc>
          <w:tcPr>
            <w:tcW w:w="1773" w:type="dxa"/>
            <w:tcBorders>
              <w:tl2br w:val="nil"/>
              <w:tr2bl w:val="nil"/>
            </w:tcBorders>
            <w:vAlign w:val="center"/>
          </w:tcPr>
          <w:p w14:paraId="3174873E">
            <w:pPr>
              <w:widowControl/>
              <w:jc w:val="center"/>
              <w:textAlignment w:val="center"/>
              <w:rPr>
                <w:color w:val="auto"/>
                <w:kern w:val="0"/>
                <w:szCs w:val="21"/>
              </w:rPr>
            </w:pPr>
            <w:r>
              <w:rPr>
                <w:color w:val="auto"/>
                <w:kern w:val="0"/>
                <w:szCs w:val="21"/>
                <w:lang w:bidi="ar"/>
              </w:rPr>
              <w:t>-0.19</w:t>
            </w:r>
          </w:p>
        </w:tc>
      </w:tr>
    </w:tbl>
    <w:p w14:paraId="508FD57E">
      <w:pPr>
        <w:widowControl/>
        <w:spacing w:line="360" w:lineRule="auto"/>
        <w:ind w:firstLine="420" w:firstLineChars="200"/>
        <w:rPr>
          <w:color w:val="auto"/>
          <w:kern w:val="0"/>
          <w:sz w:val="24"/>
        </w:rPr>
      </w:pPr>
      <w:r>
        <w:rPr>
          <w:color w:val="auto"/>
          <w:kern w:val="0"/>
          <w:szCs w:val="21"/>
        </w:rPr>
        <w:t>注：未包括占用建设用地及其他用地面积，共计0.005hm</w:t>
      </w:r>
      <w:r>
        <w:rPr>
          <w:color w:val="auto"/>
          <w:kern w:val="0"/>
          <w:szCs w:val="21"/>
          <w:vertAlign w:val="superscript"/>
        </w:rPr>
        <w:t>2</w:t>
      </w:r>
      <w:r>
        <w:rPr>
          <w:color w:val="auto"/>
          <w:kern w:val="0"/>
          <w:szCs w:val="21"/>
        </w:rPr>
        <w:t>。</w:t>
      </w:r>
    </w:p>
    <w:p w14:paraId="38FE16C5">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4-4   工程占地影响植被分析</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8"/>
        <w:gridCol w:w="4106"/>
      </w:tblGrid>
      <w:tr w14:paraId="69A50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8" w:type="pct"/>
            <w:tcBorders>
              <w:tl2br w:val="nil"/>
              <w:tr2bl w:val="nil"/>
            </w:tcBorders>
            <w:vAlign w:val="center"/>
          </w:tcPr>
          <w:p w14:paraId="06BC4ECC">
            <w:pPr>
              <w:widowControl/>
              <w:jc w:val="center"/>
              <w:rPr>
                <w:b/>
                <w:bCs/>
                <w:color w:val="auto"/>
                <w:kern w:val="0"/>
                <w:szCs w:val="21"/>
              </w:rPr>
            </w:pPr>
            <w:r>
              <w:rPr>
                <w:b/>
                <w:bCs/>
                <w:color w:val="auto"/>
                <w:kern w:val="0"/>
                <w:szCs w:val="21"/>
              </w:rPr>
              <w:t>受影响植被类型</w:t>
            </w:r>
          </w:p>
        </w:tc>
        <w:tc>
          <w:tcPr>
            <w:tcW w:w="2411" w:type="pct"/>
            <w:tcBorders>
              <w:tl2br w:val="nil"/>
              <w:tr2bl w:val="nil"/>
            </w:tcBorders>
            <w:vAlign w:val="center"/>
          </w:tcPr>
          <w:p w14:paraId="0127A9AD">
            <w:pPr>
              <w:widowControl/>
              <w:jc w:val="center"/>
              <w:textAlignment w:val="center"/>
              <w:rPr>
                <w:b/>
                <w:bCs/>
                <w:color w:val="auto"/>
                <w:kern w:val="0"/>
                <w:szCs w:val="21"/>
              </w:rPr>
            </w:pPr>
            <w:r>
              <w:rPr>
                <w:b/>
                <w:bCs/>
                <w:color w:val="auto"/>
                <w:kern w:val="0"/>
                <w:szCs w:val="21"/>
              </w:rPr>
              <w:t>受影响植物种</w:t>
            </w:r>
          </w:p>
        </w:tc>
      </w:tr>
      <w:tr w14:paraId="1E2B6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88" w:type="pct"/>
            <w:tcBorders>
              <w:tl2br w:val="nil"/>
              <w:tr2bl w:val="nil"/>
            </w:tcBorders>
            <w:vAlign w:val="center"/>
          </w:tcPr>
          <w:p w14:paraId="7A6B3717">
            <w:pPr>
              <w:widowControl/>
              <w:jc w:val="center"/>
              <w:rPr>
                <w:color w:val="auto"/>
                <w:kern w:val="0"/>
                <w:szCs w:val="21"/>
              </w:rPr>
            </w:pPr>
            <w:r>
              <w:rPr>
                <w:color w:val="auto"/>
                <w:kern w:val="0"/>
                <w:szCs w:val="21"/>
              </w:rPr>
              <w:t>加杨、桑、构树、狗牙根、毛轴莎草、酸模叶蓼、萎蒿、芦苇、凤眼莲、空心莲子草</w:t>
            </w:r>
          </w:p>
        </w:tc>
        <w:tc>
          <w:tcPr>
            <w:tcW w:w="2411" w:type="pct"/>
            <w:tcBorders>
              <w:tl2br w:val="nil"/>
              <w:tr2bl w:val="nil"/>
            </w:tcBorders>
            <w:vAlign w:val="center"/>
          </w:tcPr>
          <w:p w14:paraId="7E2D671C">
            <w:pPr>
              <w:widowControl/>
              <w:jc w:val="center"/>
              <w:textAlignment w:val="center"/>
              <w:rPr>
                <w:color w:val="auto"/>
                <w:kern w:val="0"/>
                <w:szCs w:val="21"/>
              </w:rPr>
            </w:pPr>
            <w:r>
              <w:rPr>
                <w:color w:val="auto"/>
                <w:kern w:val="0"/>
                <w:szCs w:val="21"/>
              </w:rPr>
              <w:t>芦苇、蒌蒿、莲、菰、大狼杷草、三裂叶薯</w:t>
            </w:r>
          </w:p>
          <w:p w14:paraId="2ED9A3D2">
            <w:pPr>
              <w:widowControl/>
              <w:jc w:val="center"/>
              <w:rPr>
                <w:color w:val="auto"/>
                <w:kern w:val="0"/>
                <w:szCs w:val="21"/>
              </w:rPr>
            </w:pPr>
            <w:r>
              <w:rPr>
                <w:color w:val="auto"/>
                <w:kern w:val="0"/>
                <w:szCs w:val="21"/>
              </w:rPr>
              <w:t>酸模叶蓼、钻叶紫菀、狗牙根、凤眼莲</w:t>
            </w:r>
          </w:p>
          <w:p w14:paraId="6E6E727F">
            <w:pPr>
              <w:widowControl/>
              <w:jc w:val="center"/>
              <w:rPr>
                <w:color w:val="auto"/>
                <w:kern w:val="0"/>
                <w:szCs w:val="21"/>
              </w:rPr>
            </w:pPr>
            <w:r>
              <w:rPr>
                <w:color w:val="auto"/>
                <w:kern w:val="0"/>
                <w:szCs w:val="21"/>
              </w:rPr>
              <w:t>旱柳、构、桑、狗尾草、牛筋草、加杨、莠狗尾草、黄花蒿、翅果菊、葎草、毛轴莎草、稻、小蓬草、一年蓬</w:t>
            </w:r>
          </w:p>
        </w:tc>
      </w:tr>
    </w:tbl>
    <w:p w14:paraId="0369A9CF">
      <w:pPr>
        <w:widowControl/>
        <w:spacing w:line="360" w:lineRule="auto"/>
        <w:ind w:firstLine="480" w:firstLineChars="200"/>
        <w:rPr>
          <w:color w:val="auto"/>
          <w:kern w:val="0"/>
          <w:sz w:val="24"/>
        </w:rPr>
      </w:pPr>
      <w:r>
        <w:rPr>
          <w:color w:val="auto"/>
          <w:kern w:val="0"/>
          <w:sz w:val="24"/>
        </w:rPr>
        <w:t>根据表</w:t>
      </w:r>
      <w:r>
        <w:rPr>
          <w:rFonts w:hint="eastAsia"/>
          <w:color w:val="auto"/>
          <w:kern w:val="0"/>
          <w:sz w:val="24"/>
        </w:rPr>
        <w:t>4.</w:t>
      </w:r>
      <w:r>
        <w:rPr>
          <w:color w:val="auto"/>
          <w:kern w:val="0"/>
          <w:sz w:val="24"/>
        </w:rPr>
        <w:t>4-2、</w:t>
      </w:r>
      <w:r>
        <w:rPr>
          <w:rFonts w:hint="eastAsia"/>
          <w:color w:val="auto"/>
          <w:kern w:val="0"/>
          <w:sz w:val="24"/>
        </w:rPr>
        <w:t>4.</w:t>
      </w:r>
      <w:r>
        <w:rPr>
          <w:color w:val="auto"/>
          <w:kern w:val="0"/>
          <w:sz w:val="24"/>
        </w:rPr>
        <w:t>4-3，永久征地导致生物量总损失为60t，占评价区总生物量（3910.62t）的1.53%，主要为水域损失最多；临时征地导致生物量总损失7.47t，占评价区总生物量的0.19%，其中灌丛及灌草丛损失最多，为5.06%。</w:t>
      </w:r>
    </w:p>
    <w:p w14:paraId="07A41403">
      <w:pPr>
        <w:widowControl/>
        <w:spacing w:line="360" w:lineRule="auto"/>
        <w:ind w:firstLine="480" w:firstLineChars="200"/>
        <w:rPr>
          <w:color w:val="auto"/>
          <w:kern w:val="0"/>
          <w:sz w:val="24"/>
        </w:rPr>
      </w:pPr>
      <w:r>
        <w:rPr>
          <w:color w:val="auto"/>
          <w:kern w:val="0"/>
          <w:sz w:val="24"/>
        </w:rPr>
        <w:t>评价区内各植被类型损失的生物量见表</w:t>
      </w:r>
      <w:r>
        <w:rPr>
          <w:rFonts w:hint="eastAsia"/>
          <w:color w:val="auto"/>
          <w:kern w:val="0"/>
          <w:sz w:val="24"/>
        </w:rPr>
        <w:t>4.</w:t>
      </w:r>
      <w:r>
        <w:rPr>
          <w:color w:val="auto"/>
          <w:kern w:val="0"/>
          <w:sz w:val="24"/>
        </w:rPr>
        <w:t>7-1。永久征地将完全损毁原有的植被类型，植被生物量将发生变化，生物量总损失为60t，占评价区总生物量（3910.62t）的1.53%。总体生物量损失较小，通过后续的植被恢复工作，评价区生物量能够在一定程度上恢复。</w:t>
      </w:r>
    </w:p>
    <w:p w14:paraId="3CA07834">
      <w:pPr>
        <w:widowControl/>
        <w:spacing w:line="360" w:lineRule="auto"/>
        <w:ind w:firstLine="480" w:firstLineChars="200"/>
        <w:rPr>
          <w:color w:val="auto"/>
          <w:kern w:val="0"/>
          <w:sz w:val="24"/>
        </w:rPr>
      </w:pPr>
      <w:r>
        <w:rPr>
          <w:color w:val="auto"/>
          <w:kern w:val="0"/>
          <w:sz w:val="24"/>
        </w:rPr>
        <w:t>工程占地区占用植被类型主要为沼泽、草地、耕地，沼泽主要群系为芦苇沼泽，常见植物有芦苇、蒌蒿、莲、菰、大狼杷草、三裂叶薯等。灌草丛常见的群系有构灌草丛、桑灌草丛等，常见植物有旱柳、构、桑、狗尾草、牛筋草、大狼杷草、狗牙根、三裂叶薯、莠狗尾草、黄花蒿、钻叶紫菀、翅果菊、葎草等。农田中农作物主要为水稻、玉米等。人工林主要为加杨林。工程实施主要干扰和破坏的植被类型是湿地、草地和农田农作物，影响的植物多为区域常见种，因而对评价区内植被和植物多样性的影响有限。且施工结束后，随着临时占地进行复垦及植被恢复，区域地表植被覆盖度及生产力在较大程度上得以恢复。因此，工程实施总体上对评价区植被和植物多样性影响较小。</w:t>
      </w:r>
    </w:p>
    <w:p w14:paraId="733036CF">
      <w:pPr>
        <w:adjustRightInd w:val="0"/>
        <w:spacing w:line="360" w:lineRule="auto"/>
        <w:jc w:val="left"/>
        <w:outlineLvl w:val="3"/>
        <w:rPr>
          <w:b/>
          <w:bCs/>
          <w:color w:val="auto"/>
          <w:sz w:val="24"/>
        </w:rPr>
      </w:pPr>
      <w:r>
        <w:rPr>
          <w:rFonts w:hint="eastAsia"/>
          <w:b/>
          <w:bCs/>
          <w:color w:val="auto"/>
          <w:sz w:val="24"/>
        </w:rPr>
        <w:t>4.</w:t>
      </w:r>
      <w:r>
        <w:rPr>
          <w:b/>
          <w:bCs/>
          <w:color w:val="auto"/>
          <w:sz w:val="24"/>
        </w:rPr>
        <w:t>4.1.2施工活动对植物的影响</w:t>
      </w:r>
    </w:p>
    <w:p w14:paraId="1BB38DD3">
      <w:pPr>
        <w:widowControl/>
        <w:spacing w:line="360" w:lineRule="auto"/>
        <w:ind w:firstLine="480" w:firstLineChars="200"/>
        <w:rPr>
          <w:color w:val="auto"/>
          <w:kern w:val="0"/>
          <w:sz w:val="24"/>
        </w:rPr>
      </w:pPr>
      <w:r>
        <w:rPr>
          <w:color w:val="auto"/>
          <w:kern w:val="0"/>
          <w:sz w:val="24"/>
        </w:rPr>
        <w:t>施工期施工活动对植物及植被的影响因素主要有施工活动产生的弃渣、废水、废气、固废等。依据施工活动对植物的影响方式，可分为直接影响及间接影响，直接影响主要是指人员活动、车辆碾压等会使周边植物个体损失，植被生物量减少；间接影响主要是指施工过程中产生的废气、废水、弃渣、固废、扬尘等会使周边植物的生命活动受阻。</w:t>
      </w:r>
    </w:p>
    <w:p w14:paraId="52549D69">
      <w:pPr>
        <w:widowControl/>
        <w:spacing w:line="360" w:lineRule="auto"/>
        <w:ind w:firstLine="480" w:firstLineChars="200"/>
        <w:rPr>
          <w:color w:val="auto"/>
          <w:kern w:val="0"/>
          <w:sz w:val="24"/>
        </w:rPr>
      </w:pPr>
      <w:r>
        <w:rPr>
          <w:color w:val="auto"/>
          <w:kern w:val="0"/>
          <w:sz w:val="24"/>
        </w:rPr>
        <w:t>（1）施工期废气主要来源于场地平整、基础施工、结构施工过程中产生的扬尘，施工机械、运输车辆等燃油机械的尾气，其主要污染物为SO</w:t>
      </w:r>
      <w:r>
        <w:rPr>
          <w:color w:val="auto"/>
          <w:kern w:val="0"/>
          <w:sz w:val="24"/>
          <w:vertAlign w:val="subscript"/>
        </w:rPr>
        <w:t>2</w:t>
      </w:r>
      <w:r>
        <w:rPr>
          <w:color w:val="auto"/>
          <w:kern w:val="0"/>
          <w:sz w:val="24"/>
        </w:rPr>
        <w:t>、NO</w:t>
      </w:r>
      <w:r>
        <w:rPr>
          <w:color w:val="auto"/>
          <w:kern w:val="0"/>
          <w:sz w:val="24"/>
          <w:vertAlign w:val="subscript"/>
        </w:rPr>
        <w:t>2</w:t>
      </w:r>
      <w:r>
        <w:rPr>
          <w:color w:val="auto"/>
          <w:kern w:val="0"/>
          <w:sz w:val="24"/>
        </w:rPr>
        <w:t>、CO等。废气对植物的影响主要是在叶脉间或边缘出现不规则水渍状，导致叶片逐渐坏死，植物光合受阻，生长发育变缓。燃油机械的废气排放量相对较低，再加上施工期机械尾气属移动线源排放，因此施工期废气对植物及植被的影响较小。</w:t>
      </w:r>
    </w:p>
    <w:p w14:paraId="1327A31C">
      <w:pPr>
        <w:widowControl/>
        <w:spacing w:line="360" w:lineRule="auto"/>
        <w:ind w:firstLine="480" w:firstLineChars="200"/>
        <w:rPr>
          <w:color w:val="auto"/>
          <w:kern w:val="0"/>
          <w:sz w:val="24"/>
        </w:rPr>
      </w:pPr>
      <w:r>
        <w:rPr>
          <w:color w:val="auto"/>
          <w:kern w:val="0"/>
          <w:sz w:val="24"/>
        </w:rPr>
        <w:t>（2）施工期废水分为生产废水和生活污水，生产废水主要来源于</w:t>
      </w:r>
      <w:r>
        <w:rPr>
          <w:color w:val="auto"/>
          <w:kern w:val="0"/>
          <w:sz w:val="24"/>
          <w:lang w:bidi="ar"/>
        </w:rPr>
        <w:t>施工机械和设备冲洗废水以及施工机械的跑冒滴漏将会产生少量的含油废水、</w:t>
      </w:r>
      <w:r>
        <w:rPr>
          <w:color w:val="auto"/>
          <w:sz w:val="24"/>
        </w:rPr>
        <w:t>淤泥废水、基坑排水、</w:t>
      </w:r>
      <w:r>
        <w:rPr>
          <w:color w:val="auto"/>
          <w:kern w:val="0"/>
          <w:sz w:val="24"/>
          <w:lang w:bidi="ar"/>
        </w:rPr>
        <w:t>施工扰动引起的悬浮物污染源</w:t>
      </w:r>
      <w:r>
        <w:rPr>
          <w:color w:val="auto"/>
          <w:kern w:val="0"/>
          <w:sz w:val="24"/>
        </w:rPr>
        <w:t>等，生活污水主要是工程施工时施工人员的生活产生的污水等。废水对植物的影响主要是废水的随意排放会改变土壤理化性质，改变植物生长发育环境，进而影响其正常生命活动。但这种影响可通过在施工区及生产生活区布置污水处理系统、依托的居民旱厕等进行缓解。</w:t>
      </w:r>
    </w:p>
    <w:p w14:paraId="72A9141A">
      <w:pPr>
        <w:widowControl/>
        <w:spacing w:line="360" w:lineRule="auto"/>
        <w:ind w:firstLine="480" w:firstLineChars="200"/>
        <w:rPr>
          <w:color w:val="auto"/>
          <w:kern w:val="0"/>
          <w:sz w:val="24"/>
        </w:rPr>
      </w:pPr>
      <w:r>
        <w:rPr>
          <w:color w:val="auto"/>
          <w:kern w:val="0"/>
          <w:sz w:val="24"/>
        </w:rPr>
        <w:t>（3）土方主要来源于工程施工场地以及临时施工道路建设等，土方的随意堆放不仅会压覆区域内植物及植被，改变区域生境条件，还可能导致局部区域的水土流失。但这种影响可通过对弃渣等进行统一调配与处理等措施进行缓解。</w:t>
      </w:r>
    </w:p>
    <w:p w14:paraId="5B752CB8">
      <w:pPr>
        <w:widowControl/>
        <w:spacing w:line="360" w:lineRule="auto"/>
        <w:ind w:firstLine="480" w:firstLineChars="200"/>
        <w:rPr>
          <w:color w:val="auto"/>
          <w:kern w:val="0"/>
          <w:sz w:val="24"/>
        </w:rPr>
      </w:pPr>
      <w:r>
        <w:rPr>
          <w:color w:val="auto"/>
          <w:kern w:val="0"/>
          <w:sz w:val="24"/>
        </w:rPr>
        <w:t>（4）扬尘主要来源于开辟施工道路，土石方调配，建筑物施工，直至工程竣工后场地清理、恢复等诸多工程，其中以运输车辆引起的二次扬尘影响时间最长，对周围植物及植被影响最严重。扬尘粗颗粒随风飘落到附近地面或植物叶、茎、花表面，会使其生命活动受到一定影响。施工期采取洒水抑尘等措施，可有效减轻扬尘对周围植物及植被的影响。</w:t>
      </w:r>
    </w:p>
    <w:p w14:paraId="394171AD">
      <w:pPr>
        <w:adjustRightInd w:val="0"/>
        <w:spacing w:line="360" w:lineRule="auto"/>
        <w:jc w:val="left"/>
        <w:outlineLvl w:val="3"/>
        <w:rPr>
          <w:b/>
          <w:bCs/>
          <w:color w:val="auto"/>
          <w:sz w:val="24"/>
        </w:rPr>
      </w:pPr>
      <w:r>
        <w:rPr>
          <w:rFonts w:hint="eastAsia"/>
          <w:b/>
          <w:bCs/>
          <w:color w:val="auto"/>
          <w:sz w:val="24"/>
        </w:rPr>
        <w:t>4.</w:t>
      </w:r>
      <w:r>
        <w:rPr>
          <w:b/>
          <w:bCs/>
          <w:color w:val="auto"/>
          <w:sz w:val="24"/>
        </w:rPr>
        <w:t>4.1.3人为干扰的影响</w:t>
      </w:r>
    </w:p>
    <w:p w14:paraId="1EB2C3BB">
      <w:pPr>
        <w:widowControl/>
        <w:spacing w:line="360" w:lineRule="auto"/>
        <w:ind w:firstLine="480" w:firstLineChars="200"/>
        <w:rPr>
          <w:color w:val="auto"/>
          <w:kern w:val="0"/>
          <w:sz w:val="24"/>
        </w:rPr>
      </w:pPr>
      <w:r>
        <w:rPr>
          <w:color w:val="auto"/>
          <w:kern w:val="0"/>
          <w:sz w:val="24"/>
        </w:rPr>
        <w:t>本工程人为干扰对植物及植被的影响因素主要有人为砍伐、践踏、运输作业等。人为干扰对植物及植被的影响主要有：施工期工程区人员增多，施工人员砍伐会破坏区域内植物及其生境，会影响群落结构及种类组成；施工期施工人员践踏、施工机械碾压会对植物地上部分造成机械性伤害，从而影响植物的生长发育，同时践踏等造成的土壤结构变化会间接影响区域内植物的生长发育；施工期运输作业方便种子的传播可能导致评价区外来物种入侵，破坏原区域内植物及其生境。</w:t>
      </w:r>
    </w:p>
    <w:p w14:paraId="4B0B9428">
      <w:pPr>
        <w:widowControl/>
        <w:spacing w:line="360" w:lineRule="auto"/>
        <w:ind w:firstLine="480" w:firstLineChars="200"/>
        <w:rPr>
          <w:color w:val="auto"/>
          <w:kern w:val="0"/>
          <w:sz w:val="24"/>
        </w:rPr>
      </w:pPr>
      <w:r>
        <w:rPr>
          <w:color w:val="auto"/>
          <w:kern w:val="0"/>
          <w:sz w:val="24"/>
        </w:rPr>
        <w:t>由于本工程占地相对集中，施工期人为干扰等可通过加强宣传教育活动，加强施工监理，在施工前划定施工范围，规范施工人员活动等进行缓解，在相对措施得到落实后，人为干扰对植物及植被的影响较小。</w:t>
      </w:r>
    </w:p>
    <w:p w14:paraId="163F975A">
      <w:pPr>
        <w:adjustRightInd w:val="0"/>
        <w:spacing w:line="360" w:lineRule="auto"/>
        <w:jc w:val="left"/>
        <w:outlineLvl w:val="3"/>
        <w:rPr>
          <w:b/>
          <w:bCs/>
          <w:color w:val="auto"/>
          <w:sz w:val="24"/>
        </w:rPr>
      </w:pPr>
      <w:r>
        <w:rPr>
          <w:rFonts w:hint="eastAsia"/>
          <w:b/>
          <w:bCs/>
          <w:color w:val="auto"/>
          <w:sz w:val="24"/>
        </w:rPr>
        <w:t>4.</w:t>
      </w:r>
      <w:r>
        <w:rPr>
          <w:b/>
          <w:bCs/>
          <w:color w:val="auto"/>
          <w:sz w:val="24"/>
        </w:rPr>
        <w:t>4.1.4水土流失的影响</w:t>
      </w:r>
    </w:p>
    <w:p w14:paraId="209E22DA">
      <w:pPr>
        <w:widowControl/>
        <w:spacing w:line="360" w:lineRule="auto"/>
        <w:ind w:firstLine="480" w:firstLineChars="200"/>
        <w:rPr>
          <w:color w:val="auto"/>
          <w:kern w:val="0"/>
          <w:sz w:val="24"/>
        </w:rPr>
      </w:pPr>
      <w:r>
        <w:rPr>
          <w:color w:val="auto"/>
          <w:kern w:val="0"/>
          <w:sz w:val="24"/>
        </w:rPr>
        <w:t>施工期占地区开挖、施工场地平整、施工道路建设等扰动地表，造成大面积的土壤裸露，受雨水冲击时易造成水土流失，将对植物及其生境造成不利影响，同时，水土流失易导致土壤中的有机质也不断流失，土壤的结构破坏，土地复垦工作的难度增加。只要切实落实水土保持方案，评价区发生水土流失的几率较小，本工程施工期水土流失对区域植物及植被的影响较小。</w:t>
      </w:r>
    </w:p>
    <w:p w14:paraId="6DABBFC9">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4.2运行期对陆生植物和植被的影响</w:t>
      </w:r>
    </w:p>
    <w:p w14:paraId="70E983DE">
      <w:pPr>
        <w:widowControl/>
        <w:spacing w:line="360" w:lineRule="auto"/>
        <w:ind w:firstLine="480" w:firstLineChars="200"/>
        <w:rPr>
          <w:color w:val="auto"/>
          <w:kern w:val="0"/>
          <w:sz w:val="24"/>
        </w:rPr>
      </w:pPr>
      <w:r>
        <w:rPr>
          <w:color w:val="auto"/>
          <w:kern w:val="0"/>
          <w:sz w:val="24"/>
        </w:rPr>
        <w:t>工程在运行期对陆生植物和植被的影响主要为有利影响：①临时占用的植被得以恢复；②工程实施提高了水质及水体净化能力。</w:t>
      </w:r>
    </w:p>
    <w:p w14:paraId="4974D39C">
      <w:pPr>
        <w:widowControl/>
        <w:spacing w:line="360" w:lineRule="auto"/>
        <w:ind w:firstLine="480" w:firstLineChars="200"/>
        <w:rPr>
          <w:color w:val="auto"/>
          <w:kern w:val="0"/>
          <w:sz w:val="24"/>
        </w:rPr>
      </w:pPr>
      <w:r>
        <w:rPr>
          <w:color w:val="auto"/>
          <w:kern w:val="0"/>
          <w:sz w:val="24"/>
        </w:rPr>
        <w:t>①项目是对原有散户鱼塘进行升级改造，建设池塘工程化循环水养殖场，取代散户不规范养殖，拟建工程运行期不会新增占地、破坏植被，相反随着临时施工区等区域植被的恢复，以及护坡上植被的生长，工程对周边植被的影响逐渐降低。</w:t>
      </w:r>
    </w:p>
    <w:p w14:paraId="21E6DA2C">
      <w:pPr>
        <w:widowControl/>
        <w:spacing w:line="360" w:lineRule="auto"/>
        <w:ind w:firstLine="480" w:firstLineChars="200"/>
        <w:rPr>
          <w:color w:val="auto"/>
          <w:kern w:val="0"/>
          <w:sz w:val="24"/>
        </w:rPr>
      </w:pPr>
      <w:r>
        <w:rPr>
          <w:color w:val="auto"/>
          <w:kern w:val="0"/>
          <w:sz w:val="24"/>
        </w:rPr>
        <w:t>②工程的运行对改善河段水环境、生态环境、维护区域生态多样性、区域生态平衡具有积极意义。</w:t>
      </w:r>
    </w:p>
    <w:p w14:paraId="304C7CF0">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4.3对重点保护野生植物的影响</w:t>
      </w:r>
    </w:p>
    <w:p w14:paraId="0161CA73">
      <w:pPr>
        <w:widowControl/>
        <w:spacing w:line="360" w:lineRule="auto"/>
        <w:ind w:firstLine="480" w:firstLineChars="200"/>
        <w:rPr>
          <w:color w:val="auto"/>
          <w:kern w:val="0"/>
          <w:sz w:val="24"/>
        </w:rPr>
      </w:pPr>
      <w:r>
        <w:rPr>
          <w:color w:val="auto"/>
          <w:kern w:val="0"/>
          <w:sz w:val="24"/>
        </w:rPr>
        <w:t>根据现场调查，评价内无野生的国家保护植物。</w:t>
      </w:r>
    </w:p>
    <w:p w14:paraId="1FA0474A">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4.4对特有植物的影响</w:t>
      </w:r>
    </w:p>
    <w:p w14:paraId="62DBAD7C">
      <w:pPr>
        <w:widowControl/>
        <w:spacing w:line="360" w:lineRule="auto"/>
        <w:ind w:firstLine="480" w:firstLineChars="200"/>
        <w:rPr>
          <w:color w:val="auto"/>
          <w:kern w:val="0"/>
          <w:sz w:val="24"/>
        </w:rPr>
      </w:pPr>
      <w:r>
        <w:rPr>
          <w:color w:val="auto"/>
          <w:kern w:val="0"/>
          <w:sz w:val="24"/>
        </w:rPr>
        <w:t>参考《中国植物志》《湖南种子植物总览》等专业书籍中植物的分布区记载，本工程影响评价区内的植物多为广布种或栽培种，如加杨、构树、芦苇、狗牙根等，没有湖南特有种，更没有岳阳地方特有种。因此，本工程对这些广布种、栽培种的影响只会减少其植物个体数量和生物量，不会引起这些物种的消失或灭绝，对植物多样性影响较小。</w:t>
      </w:r>
    </w:p>
    <w:p w14:paraId="209B5DF4">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4.5外来入侵种的影响</w:t>
      </w:r>
    </w:p>
    <w:p w14:paraId="03702B04">
      <w:pPr>
        <w:widowControl/>
        <w:spacing w:line="360" w:lineRule="auto"/>
        <w:ind w:firstLine="480" w:firstLineChars="200"/>
        <w:rPr>
          <w:color w:val="auto"/>
          <w:kern w:val="0"/>
          <w:sz w:val="24"/>
        </w:rPr>
      </w:pPr>
      <w:r>
        <w:rPr>
          <w:color w:val="auto"/>
          <w:kern w:val="0"/>
          <w:sz w:val="24"/>
        </w:rPr>
        <w:t>通过现场调查，评价区内调查到外来入侵植物凤眼莲在评价区内的河道、池塘形成单优势群落堵塞河道阻碍排灌，还会消耗掉水中大量的氧气影响水生生物的生长，破坏本地水生生态系统。调查到外来入侵植物小蓬草、一年蓬在评价区内的撂荒地、道路两旁及防护林下，零散分布，危害程度较轻。但他们生长速度快，繁殖力强和适应性强的特性，可能会给评价区内的农田、果园等带来较大的危害，影响作物产量以及本土物种的安全。</w:t>
      </w:r>
    </w:p>
    <w:p w14:paraId="012EF5F9">
      <w:pPr>
        <w:pStyle w:val="77"/>
        <w:widowControl w:val="0"/>
        <w:tabs>
          <w:tab w:val="left" w:pos="567"/>
          <w:tab w:val="left" w:pos="851"/>
        </w:tabs>
        <w:adjustRightInd w:val="0"/>
        <w:spacing w:line="360" w:lineRule="auto"/>
        <w:outlineLvl w:val="1"/>
        <w:rPr>
          <w:rFonts w:ascii="Times New Roman" w:hAnsi="Times New Roman" w:eastAsia="宋体" w:cs="Times New Roman"/>
          <w:b/>
          <w:color w:val="auto"/>
          <w:sz w:val="28"/>
          <w:szCs w:val="28"/>
        </w:rPr>
      </w:pPr>
      <w:bookmarkStart w:id="164" w:name="_Toc14571"/>
      <w:bookmarkStart w:id="165" w:name="_Toc16751"/>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5对陆生动物的影响</w:t>
      </w:r>
      <w:bookmarkEnd w:id="164"/>
      <w:bookmarkEnd w:id="165"/>
    </w:p>
    <w:p w14:paraId="019F09C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5.1施工期对陆生动物的影响</w:t>
      </w:r>
    </w:p>
    <w:p w14:paraId="4D47EE17">
      <w:pPr>
        <w:widowControl/>
        <w:spacing w:line="360" w:lineRule="auto"/>
        <w:ind w:firstLine="480" w:firstLineChars="200"/>
        <w:rPr>
          <w:color w:val="auto"/>
          <w:kern w:val="0"/>
          <w:sz w:val="24"/>
        </w:rPr>
      </w:pPr>
      <w:r>
        <w:rPr>
          <w:color w:val="auto"/>
          <w:kern w:val="0"/>
          <w:sz w:val="24"/>
        </w:rPr>
        <w:t>工程在施工期对陆生野生动物的影响主要表现在以下几个方面：①施工占地对野生动物生境的占用；②施工造成的水污染、施工扬尘等对野生动物生境的影响；③施工噪声及人为活动对野生动物造成的干扰。</w:t>
      </w:r>
    </w:p>
    <w:p w14:paraId="5B85CDEB">
      <w:pPr>
        <w:adjustRightInd w:val="0"/>
        <w:spacing w:line="360" w:lineRule="auto"/>
        <w:jc w:val="left"/>
        <w:outlineLvl w:val="3"/>
        <w:rPr>
          <w:b/>
          <w:bCs/>
          <w:color w:val="auto"/>
          <w:sz w:val="24"/>
        </w:rPr>
      </w:pPr>
      <w:r>
        <w:rPr>
          <w:rFonts w:hint="eastAsia"/>
          <w:b/>
          <w:bCs/>
          <w:color w:val="auto"/>
          <w:sz w:val="24"/>
        </w:rPr>
        <w:t>4.</w:t>
      </w:r>
      <w:r>
        <w:rPr>
          <w:b/>
          <w:bCs/>
          <w:color w:val="auto"/>
          <w:sz w:val="24"/>
        </w:rPr>
        <w:t>5.1.1对两栖类的影响</w:t>
      </w:r>
    </w:p>
    <w:p w14:paraId="37398EA2">
      <w:pPr>
        <w:widowControl/>
        <w:spacing w:line="360" w:lineRule="auto"/>
        <w:ind w:firstLine="480" w:firstLineChars="200"/>
        <w:rPr>
          <w:color w:val="auto"/>
          <w:kern w:val="0"/>
          <w:sz w:val="24"/>
        </w:rPr>
      </w:pPr>
      <w:r>
        <w:rPr>
          <w:color w:val="auto"/>
          <w:kern w:val="0"/>
          <w:sz w:val="24"/>
        </w:rPr>
        <w:t>工程施工期对两栖类的影响主要是工程占地、水污染、施工活动及人为活动造成的。</w:t>
      </w:r>
    </w:p>
    <w:p w14:paraId="3621A3A9">
      <w:pPr>
        <w:widowControl/>
        <w:spacing w:line="360" w:lineRule="auto"/>
        <w:ind w:firstLine="480" w:firstLineChars="200"/>
        <w:rPr>
          <w:color w:val="auto"/>
          <w:kern w:val="0"/>
          <w:sz w:val="24"/>
        </w:rPr>
      </w:pPr>
      <w:r>
        <w:rPr>
          <w:color w:val="auto"/>
          <w:kern w:val="0"/>
          <w:sz w:val="24"/>
        </w:rPr>
        <w:t>工程施工期间，占地将直接造成两栖动物栖息地的损失，导致其生境范围有所缩小。本项目永久占地主要为水域占地，临时占地为施工场地、土料场等占用。根据统计结果，拟永久占地区主要为水域，临时占地区主要为耕地、林地、灌草地、建设用地及水域。根据现场调查，评价区两栖类主要是栖息于水域及附近灌草丛中的物种，以陆栖型和静水型两栖类为主。工程施工占用的水域及草地面积，会对两栖类生存空间形成挤压，受工程影响较大的主要有在静水或缓流中觅食的黑斑侧褶蛙、湖北侧褶蛙和虎纹蛙等，栖息在离水源较近的陆地上的中华蟾蜍、饰纹姬蛙、泽陆蛙等。</w:t>
      </w:r>
    </w:p>
    <w:p w14:paraId="439056D2">
      <w:pPr>
        <w:widowControl/>
        <w:spacing w:line="360" w:lineRule="auto"/>
        <w:ind w:firstLine="480" w:firstLineChars="200"/>
        <w:rPr>
          <w:color w:val="auto"/>
          <w:kern w:val="0"/>
          <w:sz w:val="24"/>
        </w:rPr>
      </w:pPr>
      <w:r>
        <w:rPr>
          <w:color w:val="auto"/>
          <w:kern w:val="0"/>
          <w:sz w:val="24"/>
        </w:rPr>
        <w:t>由于两栖动物具有一定的迁移能力，且单一工程涉及的范围较小，占地区外分布有大量的灌丛及草丛等适宜生境，为避开不利影响，它们一般会向附近适宜生境中迁移。</w:t>
      </w:r>
    </w:p>
    <w:p w14:paraId="135F9A9F">
      <w:pPr>
        <w:widowControl/>
        <w:spacing w:line="360" w:lineRule="auto"/>
        <w:ind w:firstLine="480" w:firstLineChars="200"/>
        <w:rPr>
          <w:color w:val="auto"/>
          <w:kern w:val="0"/>
          <w:sz w:val="24"/>
        </w:rPr>
      </w:pPr>
      <w:r>
        <w:rPr>
          <w:color w:val="auto"/>
          <w:kern w:val="0"/>
          <w:sz w:val="24"/>
        </w:rPr>
        <w:t>同时，随着水土保持措施及相关环保措施的实施，占地区的生态环境会得到一定的恢复，占地区会形成新的适宜生境。因此，工程建设对两栖动物的影响主要是导致其远离施工区，向施工区外围地带迁移，其在施工区及外围地带的分布及种群数量将发生变化，但不改变其区系组成，更不会造成物种消失，因此工程对其影响有限。</w:t>
      </w:r>
    </w:p>
    <w:p w14:paraId="55BB818E">
      <w:pPr>
        <w:widowControl/>
        <w:spacing w:line="360" w:lineRule="auto"/>
        <w:ind w:firstLine="480" w:firstLineChars="200"/>
        <w:rPr>
          <w:color w:val="auto"/>
          <w:kern w:val="0"/>
          <w:sz w:val="24"/>
        </w:rPr>
      </w:pPr>
      <w:r>
        <w:rPr>
          <w:color w:val="auto"/>
          <w:kern w:val="0"/>
          <w:sz w:val="24"/>
        </w:rPr>
        <w:t>两栖类动物对水环境的依赖性较强，施工期的废水排放、材料运输过程的污染以及可能发生的施工机械维修及工作时油污跑冒滴漏产生的含油污水等将带来局部的生境污染，将影响两栖动物的生存。所有的两栖动物繁殖期间都不能离开水，水的污染将降低两栖动物的繁殖成功率，最终降低两栖动物的种群密度。施工过程中废水、污水等的排放是暂时的，工程结束后水体的自净作用也能使水体恢复原有清洁度，使这种影响逐步消失，且施工期间在采取相应的污水处理等措施的前提下，水环境污染对两栖类动物的影响可进一步减小。</w:t>
      </w:r>
    </w:p>
    <w:p w14:paraId="1565FC7B">
      <w:pPr>
        <w:widowControl/>
        <w:spacing w:line="360" w:lineRule="auto"/>
        <w:ind w:firstLine="480" w:firstLineChars="200"/>
        <w:rPr>
          <w:color w:val="auto"/>
          <w:kern w:val="0"/>
          <w:sz w:val="24"/>
        </w:rPr>
      </w:pPr>
      <w:r>
        <w:rPr>
          <w:color w:val="auto"/>
          <w:kern w:val="0"/>
          <w:sz w:val="24"/>
        </w:rPr>
        <w:t>另外施工期间，施工人员增加，人类活动对两栖类的影响主要是人为捕杀，如沼水蛙、黑斑侧褶蛙等，施工期间需加强施工管理，进行野生动物保护宣传工作。</w:t>
      </w:r>
    </w:p>
    <w:p w14:paraId="0493B0A3">
      <w:pPr>
        <w:widowControl/>
        <w:spacing w:line="360" w:lineRule="auto"/>
        <w:ind w:firstLine="480" w:firstLineChars="200"/>
        <w:rPr>
          <w:color w:val="auto"/>
          <w:kern w:val="0"/>
          <w:sz w:val="24"/>
        </w:rPr>
      </w:pPr>
      <w:r>
        <w:rPr>
          <w:color w:val="auto"/>
          <w:kern w:val="0"/>
          <w:sz w:val="24"/>
        </w:rPr>
        <w:t>总体来说，两栖动物长期以来多是生活在临时性水域，对于人为活动干扰有一定的适应能力。在工程建设中，它们会进行相应的迁移、躲避，因此，工程建设对它们造成的影响总体有限。</w:t>
      </w:r>
    </w:p>
    <w:p w14:paraId="30EC084D">
      <w:pPr>
        <w:adjustRightInd w:val="0"/>
        <w:spacing w:line="360" w:lineRule="auto"/>
        <w:jc w:val="left"/>
        <w:outlineLvl w:val="3"/>
        <w:rPr>
          <w:b/>
          <w:bCs/>
          <w:color w:val="auto"/>
          <w:sz w:val="24"/>
        </w:rPr>
      </w:pPr>
      <w:r>
        <w:rPr>
          <w:rFonts w:hint="eastAsia"/>
          <w:b/>
          <w:bCs/>
          <w:color w:val="auto"/>
          <w:sz w:val="24"/>
        </w:rPr>
        <w:t>4.</w:t>
      </w:r>
      <w:r>
        <w:rPr>
          <w:b/>
          <w:bCs/>
          <w:color w:val="auto"/>
          <w:sz w:val="24"/>
        </w:rPr>
        <w:t>5.1.2对爬行类的影响</w:t>
      </w:r>
    </w:p>
    <w:p w14:paraId="6A073674">
      <w:pPr>
        <w:widowControl/>
        <w:spacing w:line="360" w:lineRule="auto"/>
        <w:ind w:firstLine="480" w:firstLineChars="200"/>
        <w:rPr>
          <w:color w:val="auto"/>
          <w:kern w:val="0"/>
          <w:sz w:val="24"/>
        </w:rPr>
      </w:pPr>
      <w:r>
        <w:rPr>
          <w:color w:val="auto"/>
          <w:kern w:val="0"/>
          <w:sz w:val="24"/>
        </w:rPr>
        <w:t>爬行类动物对水也有一定依赖性，但其体表被鳞的生理特点决定了其对水的依赖性不如两栖类明显，其生存方式及生活环境也较两栖类更为多样，如灌丛、林地、农田等。</w:t>
      </w:r>
    </w:p>
    <w:p w14:paraId="31C10118">
      <w:pPr>
        <w:widowControl/>
        <w:spacing w:line="360" w:lineRule="auto"/>
        <w:ind w:firstLine="480" w:firstLineChars="200"/>
        <w:rPr>
          <w:color w:val="auto"/>
          <w:kern w:val="0"/>
          <w:sz w:val="24"/>
        </w:rPr>
      </w:pPr>
      <w:r>
        <w:rPr>
          <w:color w:val="auto"/>
          <w:kern w:val="0"/>
          <w:sz w:val="24"/>
        </w:rPr>
        <w:t>工程施工对工程影响区域的爬行动物的影响主要有：施工占地占用其生境；施工产生的废水及生活污水可能会对其生境造成污染；生活垃圾对其觅食的影响；人类活动对其正常栖息、繁殖的干扰。</w:t>
      </w:r>
    </w:p>
    <w:p w14:paraId="5453C059">
      <w:pPr>
        <w:widowControl/>
        <w:spacing w:line="360" w:lineRule="auto"/>
        <w:ind w:firstLine="480" w:firstLineChars="200"/>
        <w:rPr>
          <w:color w:val="auto"/>
          <w:kern w:val="0"/>
          <w:sz w:val="24"/>
        </w:rPr>
      </w:pPr>
      <w:r>
        <w:rPr>
          <w:color w:val="auto"/>
          <w:kern w:val="0"/>
          <w:sz w:val="24"/>
        </w:rPr>
        <w:t>评价区中爬行类种类最多的是林栖傍水型，包括赤链蛇、虎斑颈槽蛇、赤链蛇、银环蛇、乌梢蛇等，施工过程中开挖会影响其生存和繁殖。由于工程影响区域附近相似生境较多，爬行类可以顺利迁移，且施工结束后临时占地区植被得以恢复，其可重新回到原来的栖息地生活。</w:t>
      </w:r>
    </w:p>
    <w:p w14:paraId="2C06ECE0">
      <w:pPr>
        <w:widowControl/>
        <w:spacing w:line="360" w:lineRule="auto"/>
        <w:ind w:firstLine="480" w:firstLineChars="200"/>
        <w:rPr>
          <w:color w:val="auto"/>
          <w:kern w:val="0"/>
          <w:sz w:val="24"/>
        </w:rPr>
      </w:pPr>
      <w:r>
        <w:rPr>
          <w:color w:val="auto"/>
          <w:kern w:val="0"/>
          <w:sz w:val="24"/>
        </w:rPr>
        <w:t>由于爬行类对水也有一定依赖性，近水工程施工过程中产生的施工废水、生活污水等也可能会对其生境产生一定影响，施工过程需加强施工</w:t>
      </w:r>
      <w:r>
        <w:rPr>
          <w:rFonts w:hint="eastAsia"/>
          <w:color w:val="auto"/>
          <w:kern w:val="0"/>
          <w:sz w:val="24"/>
        </w:rPr>
        <w:t>“</w:t>
      </w:r>
      <w:r>
        <w:rPr>
          <w:color w:val="auto"/>
          <w:kern w:val="0"/>
          <w:sz w:val="24"/>
        </w:rPr>
        <w:t>三废</w:t>
      </w:r>
      <w:r>
        <w:rPr>
          <w:rFonts w:hint="eastAsia"/>
          <w:color w:val="auto"/>
          <w:kern w:val="0"/>
          <w:sz w:val="24"/>
        </w:rPr>
        <w:t>”</w:t>
      </w:r>
      <w:r>
        <w:rPr>
          <w:color w:val="auto"/>
          <w:kern w:val="0"/>
          <w:sz w:val="24"/>
        </w:rPr>
        <w:t>处置，保护工程段水域和湿地生态系统，施工结束后，由于水体的自净能力使水环境逐渐恢复，不利影响将逐渐减缓。</w:t>
      </w:r>
    </w:p>
    <w:p w14:paraId="20BA1F59">
      <w:pPr>
        <w:widowControl/>
        <w:spacing w:line="360" w:lineRule="auto"/>
        <w:ind w:firstLine="480" w:firstLineChars="200"/>
        <w:rPr>
          <w:color w:val="auto"/>
          <w:kern w:val="0"/>
          <w:sz w:val="24"/>
        </w:rPr>
      </w:pPr>
      <w:r>
        <w:rPr>
          <w:color w:val="auto"/>
          <w:kern w:val="0"/>
          <w:sz w:val="24"/>
        </w:rPr>
        <w:t>对于一些经济价值较高的爬行动物种类可能会遭到人为捕杀，如中华鳖、乌梢蛇等，施工期间要加强施工人员的宣传教育，提高其保护意识，避免施工人员对其造成伤害。</w:t>
      </w:r>
    </w:p>
    <w:p w14:paraId="1F51683C">
      <w:pPr>
        <w:widowControl/>
        <w:spacing w:line="360" w:lineRule="auto"/>
        <w:ind w:firstLine="480" w:firstLineChars="200"/>
        <w:rPr>
          <w:color w:val="auto"/>
          <w:kern w:val="0"/>
          <w:sz w:val="24"/>
        </w:rPr>
      </w:pPr>
      <w:r>
        <w:rPr>
          <w:color w:val="auto"/>
          <w:kern w:val="0"/>
          <w:sz w:val="24"/>
        </w:rPr>
        <w:t>总体而言，评价区爬行动物种类分布广、适应能力较强，工程施工会使其转移到周围相似生境中，不会导致其物种消失，工程施工对其影响较小。</w:t>
      </w:r>
    </w:p>
    <w:p w14:paraId="1118838A">
      <w:pPr>
        <w:adjustRightInd w:val="0"/>
        <w:spacing w:line="360" w:lineRule="auto"/>
        <w:jc w:val="left"/>
        <w:outlineLvl w:val="3"/>
        <w:rPr>
          <w:b/>
          <w:bCs/>
          <w:color w:val="auto"/>
          <w:sz w:val="24"/>
        </w:rPr>
      </w:pPr>
      <w:r>
        <w:rPr>
          <w:rFonts w:hint="eastAsia"/>
          <w:b/>
          <w:bCs/>
          <w:color w:val="auto"/>
          <w:sz w:val="24"/>
        </w:rPr>
        <w:t>4.</w:t>
      </w:r>
      <w:r>
        <w:rPr>
          <w:b/>
          <w:bCs/>
          <w:color w:val="auto"/>
          <w:sz w:val="24"/>
        </w:rPr>
        <w:t>5.1.3对鸟类的影响</w:t>
      </w:r>
    </w:p>
    <w:p w14:paraId="747B1262">
      <w:pPr>
        <w:widowControl/>
        <w:spacing w:line="360" w:lineRule="auto"/>
        <w:ind w:firstLine="480" w:firstLineChars="200"/>
        <w:rPr>
          <w:color w:val="auto"/>
          <w:kern w:val="0"/>
          <w:sz w:val="24"/>
        </w:rPr>
      </w:pPr>
      <w:r>
        <w:rPr>
          <w:color w:val="auto"/>
          <w:kern w:val="0"/>
          <w:sz w:val="24"/>
        </w:rPr>
        <w:t>鸟类善于飞翔，行动灵敏，其迁移能力强，生活类型及生活环境也多种多样。工程施工期对鸟类的影响主要有：施工噪声、震动对其的驱赶，扬尘、生活垃圾、施工废水及生活污水对其生境的污染，人类活动的干扰，工程占地对生境占用等。</w:t>
      </w:r>
    </w:p>
    <w:p w14:paraId="307D1DDB">
      <w:pPr>
        <w:widowControl/>
        <w:spacing w:line="360" w:lineRule="auto"/>
        <w:ind w:firstLine="480" w:firstLineChars="200"/>
        <w:rPr>
          <w:color w:val="auto"/>
          <w:kern w:val="0"/>
          <w:sz w:val="24"/>
        </w:rPr>
      </w:pPr>
      <w:r>
        <w:rPr>
          <w:color w:val="auto"/>
          <w:kern w:val="0"/>
          <w:sz w:val="24"/>
        </w:rPr>
        <w:t>施工期间，工程占用草地、耕地和林地等将破坏喜栖于其中的鸟类生境，受影响的种类主要为常见的鸣禽和陆禽，生境的破坏将使这些鸟类活动和觅食的范围减小。但由于工程永久占地面积（50hm</w:t>
      </w:r>
      <w:r>
        <w:rPr>
          <w:color w:val="auto"/>
          <w:kern w:val="0"/>
          <w:sz w:val="24"/>
          <w:vertAlign w:val="superscript"/>
        </w:rPr>
        <w:t>2</w:t>
      </w:r>
      <w:r>
        <w:rPr>
          <w:color w:val="auto"/>
          <w:kern w:val="0"/>
          <w:sz w:val="24"/>
        </w:rPr>
        <w:t>）占评价区总面积（476.357hm</w:t>
      </w:r>
      <w:r>
        <w:rPr>
          <w:color w:val="auto"/>
          <w:kern w:val="0"/>
          <w:sz w:val="24"/>
          <w:vertAlign w:val="superscript"/>
        </w:rPr>
        <w:t>2</w:t>
      </w:r>
      <w:r>
        <w:rPr>
          <w:color w:val="auto"/>
          <w:kern w:val="0"/>
          <w:sz w:val="24"/>
        </w:rPr>
        <w:t>）的比例很小（0.10%），工程主要占地类型为水域、湿地及灌草地，林地占用面积相对较少，其中林地主要为河流沿岸的防护林地，评价区及周边适宜生境分布较多，施工期间这些鸟类可以很容易在附近区域找到替代生境，因此本工程建设不会导致其栖息地完全破坏，也不会造成它们种群数量明显减少或消失，且临时占地区在施工结束后植被逐渐恢复，故施工期评价区内鸟类不会受到明显影响。</w:t>
      </w:r>
    </w:p>
    <w:p w14:paraId="4AEF35E5">
      <w:pPr>
        <w:widowControl/>
        <w:spacing w:line="360" w:lineRule="auto"/>
        <w:ind w:firstLine="480" w:firstLineChars="200"/>
        <w:rPr>
          <w:color w:val="auto"/>
          <w:kern w:val="0"/>
          <w:sz w:val="24"/>
        </w:rPr>
      </w:pPr>
      <w:r>
        <w:rPr>
          <w:color w:val="auto"/>
          <w:kern w:val="0"/>
          <w:sz w:val="24"/>
        </w:rPr>
        <w:t>鸟类对噪声和震动反应较为敏感，施工噪声会对栖息在施工区域及其邻近区域的鸟类产生一定的趋避作用。施工期间噪声源主要为挖掘机、推土机和混凝土搅拌机等机械噪声，受噪声和震动影响，施工场地附近栖息的鸟类迁移到影响范围以外生活。但由于鸟类的活动范围很大，且具有较强的迁移能力，在遇到威胁或者不利环境的时候，它们能够迅速躲避并在评价区及周围找到适宜生境，并且工程区域附近多为农田等生境，本身具有一定干扰，在此生活的鸟类多为抗干扰能力强的常见种。因此，在做好科学合理的施工进度安排，采取适当的保护措施的前提下，噪声对鸟类的影响有限。</w:t>
      </w:r>
    </w:p>
    <w:p w14:paraId="55F37C24">
      <w:pPr>
        <w:widowControl/>
        <w:spacing w:line="360" w:lineRule="auto"/>
        <w:ind w:firstLine="480" w:firstLineChars="200"/>
        <w:rPr>
          <w:color w:val="auto"/>
          <w:kern w:val="0"/>
          <w:sz w:val="24"/>
        </w:rPr>
      </w:pPr>
      <w:r>
        <w:rPr>
          <w:color w:val="auto"/>
          <w:kern w:val="0"/>
          <w:sz w:val="24"/>
        </w:rPr>
        <w:t>施工期间施工人员进驻工程区域，使得工程区域人为活动增加，将对鸟类正常栖息觅食等活动造成一定的干扰，使其向远离工程区域的环境迁移。根据现场调查，工程区域周边多为农田、池塘、居民区等，人为活动较频繁，原有人为干扰较大，分布的鸟类多为抗干扰能力强、喜与人类伴居的常见种类，如麻雀、喜鹊、棕背伯劳、八哥、白鹭等，且评价区内除施工区外鸟类适宜生境较多，施工期间鸟类可迁移至附近相似生境生活，因此人为活动对鸟类的影响不大。</w:t>
      </w:r>
    </w:p>
    <w:p w14:paraId="78EE44C5">
      <w:pPr>
        <w:widowControl/>
        <w:spacing w:line="360" w:lineRule="auto"/>
        <w:ind w:firstLine="480" w:firstLineChars="200"/>
        <w:rPr>
          <w:color w:val="auto"/>
          <w:kern w:val="0"/>
          <w:sz w:val="24"/>
        </w:rPr>
      </w:pPr>
      <w:r>
        <w:rPr>
          <w:color w:val="auto"/>
          <w:kern w:val="0"/>
          <w:sz w:val="24"/>
        </w:rPr>
        <w:t>另外，鸟类中部分种类经济价值较高，如环颈雉、山斑鸠、珠颈斑鸠等，可能会遭到施工人员的捕杀，因此，在施工期间要做好对施工人员的野生动物保护的宣传教育。</w:t>
      </w:r>
    </w:p>
    <w:p w14:paraId="67D135A5">
      <w:pPr>
        <w:widowControl/>
        <w:spacing w:line="360" w:lineRule="auto"/>
        <w:ind w:firstLine="480" w:firstLineChars="200"/>
        <w:rPr>
          <w:color w:val="auto"/>
          <w:kern w:val="0"/>
          <w:sz w:val="24"/>
        </w:rPr>
      </w:pPr>
      <w:r>
        <w:rPr>
          <w:color w:val="auto"/>
          <w:kern w:val="0"/>
          <w:sz w:val="24"/>
        </w:rPr>
        <w:t>施工产生的污水、废水等会对水质产生一定污染，由此对鸟类中的湿地鸟类如游禽和涉禽的栖息环境产生影响，如小天鹅、豆雁、小䴙䴘、白鹭、中白鹭、大白鹭、黑水鸡、凤头麦鸡等，另外傍水型鸟类如普通翠鸟、白胸翡翠、白鹡鸰、斑鱼狗等对水也有一定依赖性，多在水边生活，水质的污染也会对其觅食等产生影响。当施工结束后，水体的自净作用能够使水体的清洁度基本恢复，当水体环境恢复到稳定水平后，对鸟类的这种影响即会逐渐消失。</w:t>
      </w:r>
    </w:p>
    <w:p w14:paraId="6003F359">
      <w:pPr>
        <w:widowControl/>
        <w:spacing w:line="360" w:lineRule="auto"/>
        <w:ind w:firstLine="480" w:firstLineChars="200"/>
        <w:rPr>
          <w:color w:val="auto"/>
          <w:kern w:val="0"/>
          <w:sz w:val="24"/>
        </w:rPr>
      </w:pPr>
      <w:r>
        <w:rPr>
          <w:color w:val="auto"/>
          <w:kern w:val="0"/>
          <w:sz w:val="24"/>
        </w:rPr>
        <w:t>砂石料加工系统和混凝土搅拌系统产生的粉尘，运输车辆在运输过程中产生的扬尘、汽车尾气，水泥等粉料运输产生的粉尘，土石方开挖产生的粉尘等会对工程影响区造成一定的污染，从而对鸟类生境造成一定影响，施工期间可采取相应洒水抑尘措施来减小这种影响。</w:t>
      </w:r>
    </w:p>
    <w:p w14:paraId="129B9991">
      <w:pPr>
        <w:widowControl/>
        <w:spacing w:line="360" w:lineRule="auto"/>
        <w:ind w:firstLine="480" w:firstLineChars="200"/>
        <w:rPr>
          <w:color w:val="auto"/>
          <w:kern w:val="0"/>
          <w:sz w:val="24"/>
        </w:rPr>
      </w:pPr>
      <w:r>
        <w:rPr>
          <w:color w:val="auto"/>
          <w:kern w:val="0"/>
          <w:sz w:val="24"/>
        </w:rPr>
        <w:t>总体而言，评价区鸟类种类多为适应性强的常见种，分布范围广，工程施工对其影响较小。</w:t>
      </w:r>
    </w:p>
    <w:p w14:paraId="765F094B">
      <w:pPr>
        <w:adjustRightInd w:val="0"/>
        <w:spacing w:line="360" w:lineRule="auto"/>
        <w:jc w:val="left"/>
        <w:outlineLvl w:val="3"/>
        <w:rPr>
          <w:b/>
          <w:bCs/>
          <w:color w:val="auto"/>
          <w:sz w:val="24"/>
        </w:rPr>
      </w:pPr>
      <w:r>
        <w:rPr>
          <w:rFonts w:hint="eastAsia"/>
          <w:b/>
          <w:bCs/>
          <w:color w:val="auto"/>
          <w:sz w:val="24"/>
        </w:rPr>
        <w:t>4.</w:t>
      </w:r>
      <w:r>
        <w:rPr>
          <w:b/>
          <w:bCs/>
          <w:color w:val="auto"/>
          <w:sz w:val="24"/>
        </w:rPr>
        <w:t>5.1.4对兽类的影响</w:t>
      </w:r>
    </w:p>
    <w:p w14:paraId="36F4763C">
      <w:pPr>
        <w:widowControl/>
        <w:spacing w:line="360" w:lineRule="auto"/>
        <w:ind w:firstLine="480" w:firstLineChars="200"/>
        <w:rPr>
          <w:color w:val="auto"/>
          <w:kern w:val="0"/>
          <w:sz w:val="24"/>
        </w:rPr>
      </w:pPr>
      <w:r>
        <w:rPr>
          <w:color w:val="auto"/>
          <w:kern w:val="0"/>
          <w:sz w:val="24"/>
        </w:rPr>
        <w:t>评价区内分布的兽类主要为半地下生活型的种类，施工对其的影响主要表现在工程占地、噪声、人为活动等方面。</w:t>
      </w:r>
    </w:p>
    <w:p w14:paraId="5B68BC87">
      <w:pPr>
        <w:widowControl/>
        <w:spacing w:line="360" w:lineRule="auto"/>
        <w:ind w:firstLine="480" w:firstLineChars="200"/>
        <w:rPr>
          <w:color w:val="auto"/>
          <w:kern w:val="0"/>
          <w:sz w:val="24"/>
        </w:rPr>
      </w:pPr>
      <w:r>
        <w:rPr>
          <w:color w:val="auto"/>
          <w:kern w:val="0"/>
          <w:sz w:val="24"/>
        </w:rPr>
        <w:t>工程施工期间土方开挖、挖塘等占地会占用部分兽类的栖息地，造成兽类的逃逸，使其向远离工程区周围扩散，导致工程区域兽类种群数量减少，如华南兔、东北刺猬、黄鼬等。由于本工程利用原有鱼塘进行升级改造，施工范围较小，且评价区内分布有大量农田、灌草地等相似生境，受工程占地影响的种类可较容易找到替代生境，待施工结束后，随着临时占地区植被恢复措施的落实，原本生活于临时占地区的兽类又可回到原来区域生活，因此工程临时占地对兽类动物的影响较小。</w:t>
      </w:r>
    </w:p>
    <w:p w14:paraId="5C1573FD">
      <w:pPr>
        <w:widowControl/>
        <w:spacing w:line="360" w:lineRule="auto"/>
        <w:ind w:firstLine="480" w:firstLineChars="200"/>
        <w:rPr>
          <w:color w:val="auto"/>
          <w:kern w:val="0"/>
          <w:sz w:val="24"/>
        </w:rPr>
      </w:pPr>
      <w:r>
        <w:rPr>
          <w:color w:val="auto"/>
          <w:kern w:val="0"/>
          <w:sz w:val="24"/>
        </w:rPr>
        <w:t>施工期间施工人员进驻工程区域，会吸引一些伴人类生活的鼠类到来，使得种群密度小幅度增加。因此施工期间，应加强施工区卫生防疫，避免自然疫源性疫病的可能发生。</w:t>
      </w:r>
    </w:p>
    <w:p w14:paraId="3E0F8ECC">
      <w:pPr>
        <w:widowControl/>
        <w:spacing w:line="360" w:lineRule="auto"/>
        <w:ind w:firstLine="480" w:firstLineChars="200"/>
        <w:rPr>
          <w:color w:val="auto"/>
          <w:kern w:val="0"/>
          <w:sz w:val="24"/>
        </w:rPr>
      </w:pPr>
      <w:r>
        <w:rPr>
          <w:color w:val="auto"/>
          <w:kern w:val="0"/>
          <w:sz w:val="24"/>
        </w:rPr>
        <w:t>工程施工影响区分布的兽类多为常见的小型种类，其活动范围大，受干扰能力强，只要加强施工管理，严格控制施工人员活动范围，将可有效避免施工对其造成的不利影响。</w:t>
      </w:r>
    </w:p>
    <w:p w14:paraId="75E5F26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5.2运行期对陆生动物的影响</w:t>
      </w:r>
    </w:p>
    <w:p w14:paraId="119293B9">
      <w:pPr>
        <w:widowControl/>
        <w:spacing w:line="360" w:lineRule="auto"/>
        <w:ind w:firstLine="480" w:firstLineChars="200"/>
        <w:rPr>
          <w:color w:val="auto"/>
          <w:kern w:val="0"/>
          <w:sz w:val="24"/>
        </w:rPr>
      </w:pPr>
      <w:r>
        <w:rPr>
          <w:color w:val="auto"/>
          <w:kern w:val="0"/>
          <w:sz w:val="24"/>
        </w:rPr>
        <w:t>工程在运行期对陆生野生动物的影响分不利影响和有利影响。</w:t>
      </w:r>
    </w:p>
    <w:p w14:paraId="3F39DC60">
      <w:pPr>
        <w:widowControl/>
        <w:spacing w:line="360" w:lineRule="auto"/>
        <w:ind w:firstLine="480" w:firstLineChars="200"/>
        <w:rPr>
          <w:color w:val="auto"/>
          <w:kern w:val="0"/>
          <w:sz w:val="24"/>
        </w:rPr>
      </w:pPr>
      <w:r>
        <w:rPr>
          <w:color w:val="auto"/>
          <w:kern w:val="0"/>
          <w:sz w:val="24"/>
        </w:rPr>
        <w:t>不利影响主要为工程的永久占地使得动物生境发生永久改变，如堤岸的固化、挖塘等使得部分滩涂、草地永久消失，从而使得生活于这类生境的野生动物的活动范围缩小，使其不得不向其他区域迁移以寻找替代生境生活。改变后的生境如固化后的堤岸等，一些傍水型鸟类如白鹡鸰、普通翠鸟、红尾水鸲等可以在其中继续生活，综合来看由于生境发生变化，在其中分布的野生动物，其分布格局也将发生变化。但由于工程建设造成的生境改变的面积不大，因此这种影响不大。</w:t>
      </w:r>
    </w:p>
    <w:p w14:paraId="29C8233F">
      <w:pPr>
        <w:widowControl/>
        <w:spacing w:line="360" w:lineRule="auto"/>
        <w:ind w:firstLine="480" w:firstLineChars="200"/>
        <w:rPr>
          <w:color w:val="auto"/>
          <w:kern w:val="0"/>
          <w:sz w:val="24"/>
        </w:rPr>
      </w:pPr>
      <w:r>
        <w:rPr>
          <w:color w:val="auto"/>
          <w:kern w:val="0"/>
          <w:sz w:val="24"/>
        </w:rPr>
        <w:t>另一方面，工程建成后，有利于稳定岸坡和滩地，维护现有河势，提高河段的行洪、防洪能力，对减少岸坡塌陷、淹没导致的生物量损失作用显著。岸坡稳定可减少洪涝灾害和水土流失，对动物生境的稳定起到良好的生态效应，对改善河段生态环境、维护区域生态多样性、区域生态平衡具有积极意义。另外，结合水土保持措施，将恢复临时占地区的植被，栖息于原生境内的两栖动物、爬行动物、鸟类和兽类等将逐渐迁移回来。</w:t>
      </w:r>
    </w:p>
    <w:p w14:paraId="7DFCEF97">
      <w:pPr>
        <w:widowControl/>
        <w:spacing w:line="360" w:lineRule="auto"/>
        <w:ind w:firstLine="480" w:firstLineChars="200"/>
        <w:rPr>
          <w:color w:val="auto"/>
          <w:kern w:val="0"/>
          <w:sz w:val="24"/>
        </w:rPr>
      </w:pPr>
      <w:r>
        <w:rPr>
          <w:color w:val="auto"/>
          <w:kern w:val="0"/>
          <w:sz w:val="24"/>
        </w:rPr>
        <w:t>此外，随着鱼塘外植物的生长发育以及正向演替，动物生境趋于稳定，分布的动物类群趋于稳定。且评价区大多数的陆生动物长期与人类活动相适应，环境变化对其影响不大。</w:t>
      </w:r>
    </w:p>
    <w:p w14:paraId="6B806D89">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5.3对重点保护野生动物的影响</w:t>
      </w:r>
    </w:p>
    <w:p w14:paraId="38F72060">
      <w:pPr>
        <w:adjustRightInd w:val="0"/>
        <w:spacing w:line="360" w:lineRule="auto"/>
        <w:jc w:val="left"/>
        <w:outlineLvl w:val="3"/>
        <w:rPr>
          <w:b/>
          <w:bCs/>
          <w:color w:val="auto"/>
          <w:sz w:val="24"/>
        </w:rPr>
      </w:pPr>
      <w:r>
        <w:rPr>
          <w:rFonts w:hint="eastAsia"/>
          <w:b/>
          <w:bCs/>
          <w:color w:val="auto"/>
          <w:sz w:val="24"/>
        </w:rPr>
        <w:t>4.</w:t>
      </w:r>
      <w:r>
        <w:rPr>
          <w:b/>
          <w:bCs/>
          <w:color w:val="auto"/>
          <w:sz w:val="24"/>
        </w:rPr>
        <w:t>5.3.1对国家级重点保护野生动物的影响</w:t>
      </w:r>
    </w:p>
    <w:p w14:paraId="7BA1C33C">
      <w:pPr>
        <w:widowControl/>
        <w:spacing w:line="360" w:lineRule="auto"/>
        <w:ind w:firstLine="480" w:firstLineChars="200"/>
        <w:rPr>
          <w:color w:val="auto"/>
          <w:kern w:val="0"/>
          <w:sz w:val="24"/>
        </w:rPr>
      </w:pPr>
      <w:r>
        <w:rPr>
          <w:color w:val="auto"/>
          <w:kern w:val="0"/>
          <w:sz w:val="24"/>
        </w:rPr>
        <w:t>评价区内有国家一级保护动物1种：即白鹤；有国家二级保护动物7种，包括灰鹤、小天鹅、鸿雁、白琵鹭、白额雁、小白额雁和画眉。</w:t>
      </w:r>
    </w:p>
    <w:p w14:paraId="07CBD620">
      <w:pPr>
        <w:widowControl/>
        <w:spacing w:line="360" w:lineRule="auto"/>
        <w:ind w:firstLine="480" w:firstLineChars="200"/>
        <w:rPr>
          <w:color w:val="auto"/>
          <w:kern w:val="0"/>
          <w:sz w:val="24"/>
        </w:rPr>
      </w:pPr>
      <w:r>
        <w:rPr>
          <w:color w:val="auto"/>
          <w:kern w:val="0"/>
          <w:sz w:val="24"/>
        </w:rPr>
        <w:t>评价区分布的国家一级保护动物主要活动于湖南东洞庭湖自然保护区的核心区内，工程的实施对其主要影响是施工噪声可能会干扰其正常的栖息。由于工程施工区距离其栖息地较远，且位于保护区段工程量较少，施工周期短，工程的实施对其较为有限。</w:t>
      </w:r>
    </w:p>
    <w:p w14:paraId="31E250E2">
      <w:pPr>
        <w:widowControl/>
        <w:spacing w:line="360" w:lineRule="auto"/>
        <w:ind w:firstLine="480" w:firstLineChars="200"/>
        <w:rPr>
          <w:color w:val="auto"/>
          <w:kern w:val="0"/>
          <w:sz w:val="24"/>
        </w:rPr>
      </w:pPr>
      <w:r>
        <w:rPr>
          <w:color w:val="auto"/>
          <w:kern w:val="0"/>
          <w:sz w:val="24"/>
        </w:rPr>
        <w:t>虎纹蛙等主要栖息于评价区的稻田、池塘、沼泽地等有水的地方，工程建设对其主要影响是施工占地会占地其部分生境，施工造成的水污染、施工扬尘等对其生境的影响以及施工噪声及人为活动对其造成的干扰。</w:t>
      </w:r>
    </w:p>
    <w:p w14:paraId="5245BDF9">
      <w:pPr>
        <w:widowControl/>
        <w:spacing w:line="360" w:lineRule="auto"/>
        <w:ind w:firstLine="480" w:firstLineChars="200"/>
        <w:rPr>
          <w:color w:val="auto"/>
          <w:kern w:val="0"/>
          <w:sz w:val="24"/>
        </w:rPr>
      </w:pPr>
      <w:r>
        <w:rPr>
          <w:color w:val="auto"/>
          <w:kern w:val="0"/>
          <w:sz w:val="24"/>
        </w:rPr>
        <w:t>国家级重点保护的鸟类中，以猛禽居多（隼形目和鹰形目的鸟类），有6种，其活动范围都很大，而且飞翔能力很强，种群数量又比较少，所以工程建设对它们的不利影响甚微。</w:t>
      </w:r>
    </w:p>
    <w:p w14:paraId="5895EB6C">
      <w:pPr>
        <w:widowControl/>
        <w:spacing w:line="360" w:lineRule="auto"/>
        <w:ind w:firstLine="480" w:firstLineChars="200"/>
        <w:rPr>
          <w:color w:val="auto"/>
          <w:kern w:val="0"/>
          <w:sz w:val="24"/>
        </w:rPr>
      </w:pPr>
      <w:r>
        <w:rPr>
          <w:color w:val="auto"/>
          <w:kern w:val="0"/>
          <w:sz w:val="24"/>
        </w:rPr>
        <w:t>国家级重点保护鸟类中湿地鸟类有4种，包括鸿雁、小天鹅、灰鹤和白琵鹭，它们主要栖息于东洞庭湖保护区的湖面及滩涂水域，工程对这些重点保护鸟类的影响主要是施工噪声会对其产生一定的趋避作用，由于它们有很强的迁移能力，保护区内水域滩涂生境众多，在遇到威胁或者不利环境的时候，它们能很好的转移至适宜生境。</w:t>
      </w:r>
    </w:p>
    <w:p w14:paraId="0A7572A4">
      <w:pPr>
        <w:adjustRightInd w:val="0"/>
        <w:spacing w:line="360" w:lineRule="auto"/>
        <w:jc w:val="left"/>
        <w:outlineLvl w:val="3"/>
        <w:rPr>
          <w:b/>
          <w:bCs/>
          <w:color w:val="auto"/>
          <w:sz w:val="24"/>
        </w:rPr>
      </w:pPr>
      <w:r>
        <w:rPr>
          <w:rFonts w:hint="eastAsia"/>
          <w:b/>
          <w:bCs/>
          <w:color w:val="auto"/>
          <w:sz w:val="24"/>
        </w:rPr>
        <w:t>4.</w:t>
      </w:r>
      <w:r>
        <w:rPr>
          <w:b/>
          <w:bCs/>
          <w:color w:val="auto"/>
          <w:sz w:val="24"/>
        </w:rPr>
        <w:t>5.3.2对湖南省重点保护野生动物的影响</w:t>
      </w:r>
    </w:p>
    <w:p w14:paraId="56BBC057">
      <w:pPr>
        <w:widowControl/>
        <w:spacing w:line="360" w:lineRule="auto"/>
        <w:ind w:firstLine="480" w:firstLineChars="200"/>
        <w:rPr>
          <w:color w:val="auto"/>
          <w:kern w:val="0"/>
          <w:sz w:val="24"/>
        </w:rPr>
      </w:pPr>
      <w:r>
        <w:rPr>
          <w:color w:val="auto"/>
          <w:kern w:val="0"/>
          <w:sz w:val="24"/>
        </w:rPr>
        <w:t>评价区内分布的有湖南省重点保护野生动物 91种：其中两栖类10种，爬行类13种，鸟类62种，兽类6种。包括中华蟾蜍、黑斑侧褶蛙、乌梢蛇、白鹭、环颈雉、豆雁、灰雁、赤麻鸭、绿头鸭、珠颈斑鸠、大杜鹃、东北刺猬、黄鼬和华南兔等。</w:t>
      </w:r>
    </w:p>
    <w:p w14:paraId="7BCE9D5F">
      <w:pPr>
        <w:widowControl/>
        <w:spacing w:line="360" w:lineRule="auto"/>
        <w:ind w:firstLine="480" w:firstLineChars="200"/>
        <w:rPr>
          <w:color w:val="auto"/>
          <w:kern w:val="0"/>
          <w:sz w:val="24"/>
        </w:rPr>
      </w:pPr>
      <w:r>
        <w:rPr>
          <w:color w:val="auto"/>
          <w:kern w:val="0"/>
          <w:sz w:val="24"/>
        </w:rPr>
        <w:t>其中黑斑侧褶蛙、小䴙䴘、白鹭、池鹭等主要分布于水塘、沿江滩地、水田等湿地生境，这些重点保护动物对水均具有一定依赖性，施工过程中产生的</w:t>
      </w:r>
      <w:r>
        <w:rPr>
          <w:rFonts w:hint="eastAsia"/>
          <w:color w:val="auto"/>
          <w:kern w:val="0"/>
          <w:sz w:val="24"/>
        </w:rPr>
        <w:t>“</w:t>
      </w:r>
      <w:r>
        <w:rPr>
          <w:color w:val="auto"/>
          <w:kern w:val="0"/>
          <w:sz w:val="24"/>
        </w:rPr>
        <w:t>三废</w:t>
      </w:r>
      <w:r>
        <w:rPr>
          <w:rFonts w:hint="eastAsia"/>
          <w:color w:val="auto"/>
          <w:kern w:val="0"/>
          <w:sz w:val="24"/>
        </w:rPr>
        <w:t>”</w:t>
      </w:r>
      <w:r>
        <w:rPr>
          <w:color w:val="auto"/>
          <w:kern w:val="0"/>
          <w:sz w:val="24"/>
        </w:rPr>
        <w:t>等会对评价区内湿地生境产生影响，对这些生活在湿地生境的重点保护动物的生存和繁殖造成影响，因此施工过程中应加强</w:t>
      </w:r>
      <w:r>
        <w:rPr>
          <w:rFonts w:hint="eastAsia"/>
          <w:color w:val="auto"/>
          <w:kern w:val="0"/>
          <w:sz w:val="24"/>
        </w:rPr>
        <w:t>“</w:t>
      </w:r>
      <w:r>
        <w:rPr>
          <w:color w:val="auto"/>
          <w:kern w:val="0"/>
          <w:sz w:val="24"/>
        </w:rPr>
        <w:t>三废</w:t>
      </w:r>
      <w:r>
        <w:rPr>
          <w:rFonts w:hint="eastAsia"/>
          <w:color w:val="auto"/>
          <w:kern w:val="0"/>
          <w:sz w:val="24"/>
        </w:rPr>
        <w:t>”</w:t>
      </w:r>
      <w:r>
        <w:rPr>
          <w:color w:val="auto"/>
          <w:kern w:val="0"/>
          <w:sz w:val="24"/>
        </w:rPr>
        <w:t>等的处理，另外施工扰动也会对其造成驱赶，但评价区分布有大面积适宜生境，施工期间可迁移至相似生境生活。乌梢蛇等主要分布与离水源不远的林缘耕地或者林缘，工程施工对其主要是占地及人为捕杀的影响，工程永久及临时占地会占用其生境，施工人员可能捕杀具有经济价值的种类，由于工程区域还有大量相似生境，施工期间可进行迁移，且在加强施工人员管理的前提下，工程对其影响较小。</w:t>
      </w:r>
    </w:p>
    <w:p w14:paraId="40784890">
      <w:pPr>
        <w:widowControl/>
        <w:spacing w:line="360" w:lineRule="auto"/>
        <w:ind w:firstLine="480" w:firstLineChars="200"/>
        <w:rPr>
          <w:color w:val="auto"/>
          <w:kern w:val="0"/>
          <w:sz w:val="24"/>
        </w:rPr>
      </w:pPr>
      <w:r>
        <w:rPr>
          <w:color w:val="auto"/>
          <w:kern w:val="0"/>
          <w:sz w:val="24"/>
        </w:rPr>
        <w:t>其他种类如珠颈斑鸠、家燕、黑卷尾、黄鼬等为评价区内常见种，抗干扰能力强，且工程永久及临时占地占评价区面积比例很小，工程采用分段施工方式，施工时间短，因此工程建设产生的干扰、施工占地等对其影响较小。</w:t>
      </w:r>
    </w:p>
    <w:p w14:paraId="61848A50">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5.4对越冬水鸟的影响</w:t>
      </w:r>
    </w:p>
    <w:p w14:paraId="34BAFC46">
      <w:pPr>
        <w:widowControl/>
        <w:spacing w:line="360" w:lineRule="auto"/>
        <w:ind w:firstLine="480" w:firstLineChars="200"/>
        <w:rPr>
          <w:color w:val="auto"/>
          <w:kern w:val="0"/>
          <w:sz w:val="24"/>
        </w:rPr>
      </w:pPr>
      <w:r>
        <w:rPr>
          <w:color w:val="auto"/>
          <w:kern w:val="0"/>
          <w:sz w:val="24"/>
        </w:rPr>
        <w:t>洞庭湖越冬水鸟具有物种种类多、种群数量大、珍稀濒危程度高的特点。因洞庭湖在迁徙水鸟保护方面的重要意义，为保护洞庭湖越冬水鸟及其栖息地，在洞庭湖区域内一共建立了4个不同级别的自然保护区：东洞庭湖国家级自然保护区、西洞庭湖国家级自然保护区、南洞庭湖省级自然保护区和横岭湖省级自然保护区。因其在全球候鸟保护方面，特别是东亚—澳大利西亚迁飞路线上越冬候鸟栖息地保护方面的重要意义，东洞庭湖国家级自然保护区、西洞庭湖国家级自然保护区、南洞庭湖省级自然保护区被指定为国际重要湿地。不同类群水鸟具有不同的栖息地需求和选择，雁类主要栖息于草洲区域，鸭类偏好开阔水域、浅水沼泽，鸻鹬类主要在泥滩区域活动。</w:t>
      </w:r>
    </w:p>
    <w:p w14:paraId="046CE1C6">
      <w:pPr>
        <w:widowControl/>
        <w:spacing w:line="360" w:lineRule="auto"/>
        <w:ind w:firstLine="480" w:firstLineChars="200"/>
        <w:rPr>
          <w:color w:val="auto"/>
          <w:kern w:val="0"/>
          <w:sz w:val="24"/>
        </w:rPr>
      </w:pPr>
      <w:r>
        <w:rPr>
          <w:color w:val="auto"/>
          <w:kern w:val="0"/>
          <w:sz w:val="24"/>
        </w:rPr>
        <w:t>本工程涉及湖南东洞庭湖国家级自然保护区、东洞庭湖湖泊国际重要湿地。工程占用情况如下表：</w:t>
      </w:r>
    </w:p>
    <w:p w14:paraId="601E2253">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5-1   工程与敏感区位置关系</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590"/>
        <w:gridCol w:w="2127"/>
        <w:gridCol w:w="1411"/>
        <w:gridCol w:w="2784"/>
      </w:tblGrid>
      <w:tr w14:paraId="23479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tcBorders>
              <w:tl2br w:val="nil"/>
              <w:tr2bl w:val="nil"/>
            </w:tcBorders>
            <w:vAlign w:val="center"/>
          </w:tcPr>
          <w:p w14:paraId="7F17A93C">
            <w:pPr>
              <w:widowControl/>
              <w:jc w:val="center"/>
              <w:rPr>
                <w:b/>
                <w:bCs/>
                <w:color w:val="auto"/>
                <w:kern w:val="0"/>
                <w:szCs w:val="21"/>
              </w:rPr>
            </w:pPr>
            <w:r>
              <w:rPr>
                <w:b/>
                <w:bCs/>
                <w:color w:val="auto"/>
                <w:kern w:val="0"/>
                <w:szCs w:val="21"/>
              </w:rPr>
              <w:t>工程</w:t>
            </w:r>
          </w:p>
        </w:tc>
        <w:tc>
          <w:tcPr>
            <w:tcW w:w="933" w:type="pct"/>
            <w:tcBorders>
              <w:tl2br w:val="nil"/>
              <w:tr2bl w:val="nil"/>
            </w:tcBorders>
            <w:vAlign w:val="center"/>
          </w:tcPr>
          <w:p w14:paraId="49C44FE4">
            <w:pPr>
              <w:widowControl/>
              <w:jc w:val="center"/>
              <w:rPr>
                <w:b/>
                <w:bCs/>
                <w:color w:val="auto"/>
                <w:kern w:val="0"/>
                <w:szCs w:val="21"/>
              </w:rPr>
            </w:pPr>
            <w:r>
              <w:rPr>
                <w:b/>
                <w:bCs/>
                <w:color w:val="auto"/>
                <w:kern w:val="0"/>
                <w:szCs w:val="21"/>
              </w:rPr>
              <w:t>敏感区</w:t>
            </w:r>
          </w:p>
        </w:tc>
        <w:tc>
          <w:tcPr>
            <w:tcW w:w="1248" w:type="pct"/>
            <w:tcBorders>
              <w:tl2br w:val="nil"/>
              <w:tr2bl w:val="nil"/>
            </w:tcBorders>
            <w:vAlign w:val="center"/>
          </w:tcPr>
          <w:p w14:paraId="0B39C9A7">
            <w:pPr>
              <w:widowControl/>
              <w:jc w:val="center"/>
              <w:rPr>
                <w:b/>
                <w:bCs/>
                <w:color w:val="auto"/>
                <w:kern w:val="0"/>
                <w:szCs w:val="21"/>
              </w:rPr>
            </w:pPr>
            <w:r>
              <w:rPr>
                <w:b/>
                <w:bCs/>
                <w:color w:val="auto"/>
                <w:kern w:val="0"/>
                <w:szCs w:val="21"/>
              </w:rPr>
              <w:t>占用情况</w:t>
            </w:r>
          </w:p>
        </w:tc>
        <w:tc>
          <w:tcPr>
            <w:tcW w:w="828" w:type="pct"/>
            <w:tcBorders>
              <w:tl2br w:val="nil"/>
              <w:tr2bl w:val="nil"/>
            </w:tcBorders>
            <w:vAlign w:val="center"/>
          </w:tcPr>
          <w:p w14:paraId="42F9CDC1">
            <w:pPr>
              <w:widowControl/>
              <w:jc w:val="center"/>
              <w:rPr>
                <w:b/>
                <w:bCs/>
                <w:color w:val="auto"/>
                <w:kern w:val="0"/>
                <w:szCs w:val="21"/>
              </w:rPr>
            </w:pPr>
            <w:r>
              <w:rPr>
                <w:b/>
                <w:bCs/>
                <w:color w:val="auto"/>
                <w:kern w:val="0"/>
                <w:szCs w:val="21"/>
              </w:rPr>
              <w:t>受影响类群</w:t>
            </w:r>
          </w:p>
        </w:tc>
        <w:tc>
          <w:tcPr>
            <w:tcW w:w="1634" w:type="pct"/>
            <w:tcBorders>
              <w:tl2br w:val="nil"/>
              <w:tr2bl w:val="nil"/>
            </w:tcBorders>
            <w:vAlign w:val="center"/>
          </w:tcPr>
          <w:p w14:paraId="045746E6">
            <w:pPr>
              <w:widowControl/>
              <w:jc w:val="center"/>
              <w:textAlignment w:val="center"/>
              <w:rPr>
                <w:b/>
                <w:bCs/>
                <w:color w:val="auto"/>
                <w:kern w:val="0"/>
                <w:szCs w:val="21"/>
              </w:rPr>
            </w:pPr>
            <w:r>
              <w:rPr>
                <w:b/>
                <w:bCs/>
                <w:color w:val="auto"/>
                <w:kern w:val="0"/>
                <w:szCs w:val="21"/>
              </w:rPr>
              <w:t>现场调查情况</w:t>
            </w:r>
          </w:p>
        </w:tc>
      </w:tr>
      <w:tr w14:paraId="44033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restart"/>
            <w:tcBorders>
              <w:tl2br w:val="nil"/>
              <w:tr2bl w:val="nil"/>
            </w:tcBorders>
            <w:vAlign w:val="center"/>
          </w:tcPr>
          <w:p w14:paraId="0D02F6DE">
            <w:pPr>
              <w:widowControl/>
              <w:jc w:val="center"/>
              <w:rPr>
                <w:color w:val="auto"/>
                <w:kern w:val="0"/>
                <w:szCs w:val="21"/>
              </w:rPr>
            </w:pPr>
            <w:r>
              <w:rPr>
                <w:color w:val="auto"/>
                <w:kern w:val="0"/>
                <w:szCs w:val="21"/>
              </w:rPr>
              <w:t>本项目</w:t>
            </w:r>
          </w:p>
        </w:tc>
        <w:tc>
          <w:tcPr>
            <w:tcW w:w="933" w:type="pct"/>
            <w:tcBorders>
              <w:tl2br w:val="nil"/>
              <w:tr2bl w:val="nil"/>
            </w:tcBorders>
            <w:vAlign w:val="center"/>
          </w:tcPr>
          <w:p w14:paraId="45C54BDC">
            <w:pPr>
              <w:widowControl/>
              <w:jc w:val="center"/>
              <w:rPr>
                <w:color w:val="auto"/>
                <w:kern w:val="0"/>
                <w:szCs w:val="21"/>
              </w:rPr>
            </w:pPr>
            <w:r>
              <w:rPr>
                <w:color w:val="auto"/>
                <w:kern w:val="0"/>
                <w:szCs w:val="21"/>
              </w:rPr>
              <w:t>湖南东洞庭湖国家级自然保护区</w:t>
            </w:r>
          </w:p>
        </w:tc>
        <w:tc>
          <w:tcPr>
            <w:tcW w:w="1248" w:type="pct"/>
            <w:tcBorders>
              <w:tl2br w:val="nil"/>
              <w:tr2bl w:val="nil"/>
            </w:tcBorders>
            <w:vAlign w:val="center"/>
          </w:tcPr>
          <w:p w14:paraId="3CFC0D04">
            <w:pPr>
              <w:widowControl/>
              <w:jc w:val="center"/>
              <w:rPr>
                <w:color w:val="auto"/>
                <w:kern w:val="0"/>
                <w:szCs w:val="21"/>
              </w:rPr>
            </w:pPr>
            <w:r>
              <w:rPr>
                <w:color w:val="auto"/>
                <w:kern w:val="0"/>
                <w:szCs w:val="21"/>
              </w:rPr>
              <w:t>位于东洞庭湖国家级自然保护区实验区范围内</w:t>
            </w:r>
          </w:p>
        </w:tc>
        <w:tc>
          <w:tcPr>
            <w:tcW w:w="828" w:type="pct"/>
            <w:tcBorders>
              <w:tl2br w:val="nil"/>
              <w:tr2bl w:val="nil"/>
            </w:tcBorders>
            <w:vAlign w:val="center"/>
          </w:tcPr>
          <w:p w14:paraId="2C8C20FB">
            <w:pPr>
              <w:widowControl/>
              <w:jc w:val="center"/>
              <w:rPr>
                <w:color w:val="auto"/>
                <w:kern w:val="0"/>
                <w:szCs w:val="21"/>
              </w:rPr>
            </w:pPr>
            <w:r>
              <w:rPr>
                <w:color w:val="auto"/>
                <w:kern w:val="0"/>
                <w:szCs w:val="21"/>
              </w:rPr>
              <w:t>洲滩植食性雁类和和鸻鹬类</w:t>
            </w:r>
          </w:p>
        </w:tc>
        <w:tc>
          <w:tcPr>
            <w:tcW w:w="1634" w:type="pct"/>
            <w:tcBorders>
              <w:tl2br w:val="nil"/>
              <w:tr2bl w:val="nil"/>
            </w:tcBorders>
            <w:vAlign w:val="center"/>
          </w:tcPr>
          <w:p w14:paraId="16D9FE73">
            <w:pPr>
              <w:widowControl/>
              <w:jc w:val="center"/>
              <w:rPr>
                <w:color w:val="auto"/>
                <w:kern w:val="0"/>
                <w:szCs w:val="21"/>
              </w:rPr>
            </w:pPr>
            <w:r>
              <w:rPr>
                <w:color w:val="auto"/>
                <w:kern w:val="0"/>
                <w:szCs w:val="21"/>
              </w:rPr>
              <w:t>占地区未见植食性雁类和鸻鹬类，偶见白鹭、凤头麦鸡活动</w:t>
            </w:r>
          </w:p>
        </w:tc>
      </w:tr>
      <w:tr w14:paraId="53DF1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vMerge w:val="continue"/>
            <w:tcBorders>
              <w:tl2br w:val="nil"/>
              <w:tr2bl w:val="nil"/>
            </w:tcBorders>
            <w:vAlign w:val="center"/>
          </w:tcPr>
          <w:p w14:paraId="4B526272">
            <w:pPr>
              <w:widowControl/>
              <w:jc w:val="center"/>
              <w:rPr>
                <w:color w:val="auto"/>
                <w:kern w:val="0"/>
                <w:szCs w:val="21"/>
              </w:rPr>
            </w:pPr>
          </w:p>
        </w:tc>
        <w:tc>
          <w:tcPr>
            <w:tcW w:w="933" w:type="pct"/>
            <w:tcBorders>
              <w:tl2br w:val="nil"/>
              <w:tr2bl w:val="nil"/>
            </w:tcBorders>
            <w:vAlign w:val="center"/>
          </w:tcPr>
          <w:p w14:paraId="32979C36">
            <w:pPr>
              <w:widowControl/>
              <w:jc w:val="center"/>
              <w:rPr>
                <w:color w:val="auto"/>
                <w:kern w:val="0"/>
                <w:szCs w:val="21"/>
              </w:rPr>
            </w:pPr>
            <w:r>
              <w:rPr>
                <w:color w:val="auto"/>
                <w:kern w:val="0"/>
                <w:szCs w:val="21"/>
              </w:rPr>
              <w:t>东洞庭湖湖泊国际重要湿地</w:t>
            </w:r>
          </w:p>
        </w:tc>
        <w:tc>
          <w:tcPr>
            <w:tcW w:w="1248" w:type="pct"/>
            <w:tcBorders>
              <w:tl2br w:val="nil"/>
              <w:tr2bl w:val="nil"/>
            </w:tcBorders>
            <w:vAlign w:val="center"/>
          </w:tcPr>
          <w:p w14:paraId="7D509390">
            <w:pPr>
              <w:widowControl/>
              <w:jc w:val="center"/>
              <w:rPr>
                <w:color w:val="auto"/>
                <w:kern w:val="0"/>
                <w:szCs w:val="21"/>
              </w:rPr>
            </w:pPr>
            <w:r>
              <w:rPr>
                <w:color w:val="auto"/>
                <w:kern w:val="0"/>
                <w:szCs w:val="21"/>
              </w:rPr>
              <w:t>项目位于东洞庭湖国际重要湿地内</w:t>
            </w:r>
          </w:p>
        </w:tc>
        <w:tc>
          <w:tcPr>
            <w:tcW w:w="828" w:type="pct"/>
            <w:tcBorders>
              <w:tl2br w:val="nil"/>
              <w:tr2bl w:val="nil"/>
            </w:tcBorders>
            <w:vAlign w:val="center"/>
          </w:tcPr>
          <w:p w14:paraId="1739F440">
            <w:pPr>
              <w:widowControl/>
              <w:jc w:val="center"/>
              <w:rPr>
                <w:color w:val="auto"/>
                <w:kern w:val="0"/>
                <w:szCs w:val="21"/>
              </w:rPr>
            </w:pPr>
            <w:r>
              <w:rPr>
                <w:color w:val="auto"/>
                <w:kern w:val="0"/>
                <w:szCs w:val="21"/>
              </w:rPr>
              <w:t>鸻鹬类</w:t>
            </w:r>
          </w:p>
        </w:tc>
        <w:tc>
          <w:tcPr>
            <w:tcW w:w="1634" w:type="pct"/>
            <w:tcBorders>
              <w:tl2br w:val="nil"/>
              <w:tr2bl w:val="nil"/>
            </w:tcBorders>
            <w:vAlign w:val="center"/>
          </w:tcPr>
          <w:p w14:paraId="255BF552">
            <w:pPr>
              <w:widowControl/>
              <w:jc w:val="center"/>
              <w:rPr>
                <w:color w:val="auto"/>
                <w:kern w:val="0"/>
                <w:szCs w:val="21"/>
              </w:rPr>
            </w:pPr>
            <w:r>
              <w:rPr>
                <w:color w:val="auto"/>
                <w:kern w:val="0"/>
                <w:szCs w:val="21"/>
              </w:rPr>
              <w:t>偶见1~2只白腰草鹬在水岸边活动</w:t>
            </w:r>
          </w:p>
        </w:tc>
      </w:tr>
    </w:tbl>
    <w:p w14:paraId="313CB54B">
      <w:pPr>
        <w:widowControl/>
        <w:spacing w:line="360" w:lineRule="auto"/>
        <w:ind w:firstLine="480" w:firstLineChars="200"/>
        <w:rPr>
          <w:color w:val="auto"/>
          <w:kern w:val="0"/>
          <w:sz w:val="24"/>
        </w:rPr>
      </w:pPr>
      <w:r>
        <w:rPr>
          <w:color w:val="auto"/>
          <w:kern w:val="0"/>
          <w:sz w:val="24"/>
        </w:rPr>
        <w:t>由上表可知，本工程施工对越冬水鸟的影响主要类群为鹭科的白鹭和鹬科的白腰草鹬等水鸟，工程占地区活动的越冬水鸟较少，对于洞庭湖主要越冬类群鸭科鸟类的主要影响为施工期施工活动产生的噪音和人为活动对其造成的惊吓，总体上而言，项目对洞庭湖越冬水鸟影响较小。</w:t>
      </w:r>
    </w:p>
    <w:p w14:paraId="0103C715">
      <w:pPr>
        <w:pStyle w:val="77"/>
        <w:widowControl w:val="0"/>
        <w:tabs>
          <w:tab w:val="left" w:pos="567"/>
          <w:tab w:val="left" w:pos="851"/>
        </w:tabs>
        <w:adjustRightInd w:val="0"/>
        <w:spacing w:line="360" w:lineRule="auto"/>
        <w:outlineLvl w:val="1"/>
        <w:rPr>
          <w:rFonts w:ascii="Times New Roman" w:hAnsi="Times New Roman" w:eastAsia="宋体" w:cs="Times New Roman"/>
          <w:b/>
          <w:color w:val="auto"/>
          <w:sz w:val="28"/>
          <w:szCs w:val="28"/>
        </w:rPr>
      </w:pPr>
      <w:bookmarkStart w:id="166" w:name="_Toc11918"/>
      <w:bookmarkStart w:id="167" w:name="_Toc12820"/>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6对水生生物的影响</w:t>
      </w:r>
      <w:bookmarkEnd w:id="166"/>
      <w:bookmarkEnd w:id="167"/>
    </w:p>
    <w:p w14:paraId="08F9130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6.1施工期对水生生物的影响</w:t>
      </w:r>
    </w:p>
    <w:p w14:paraId="565B8EF8">
      <w:pPr>
        <w:adjustRightInd w:val="0"/>
        <w:spacing w:line="360" w:lineRule="auto"/>
        <w:jc w:val="left"/>
        <w:outlineLvl w:val="3"/>
        <w:rPr>
          <w:b/>
          <w:bCs/>
          <w:color w:val="auto"/>
          <w:sz w:val="24"/>
        </w:rPr>
      </w:pPr>
      <w:r>
        <w:rPr>
          <w:rFonts w:hint="eastAsia"/>
          <w:b/>
          <w:bCs/>
          <w:color w:val="auto"/>
          <w:sz w:val="24"/>
        </w:rPr>
        <w:t>4.</w:t>
      </w:r>
      <w:r>
        <w:rPr>
          <w:b/>
          <w:bCs/>
          <w:color w:val="auto"/>
          <w:sz w:val="24"/>
        </w:rPr>
        <w:t>6.1.1对水生生物生境的影响</w:t>
      </w:r>
    </w:p>
    <w:p w14:paraId="11889182">
      <w:pPr>
        <w:spacing w:line="360" w:lineRule="auto"/>
        <w:ind w:firstLine="480" w:firstLineChars="200"/>
        <w:rPr>
          <w:color w:val="auto"/>
          <w:kern w:val="0"/>
          <w:sz w:val="24"/>
        </w:rPr>
      </w:pPr>
      <w:r>
        <w:rPr>
          <w:color w:val="auto"/>
          <w:kern w:val="0"/>
          <w:sz w:val="24"/>
        </w:rPr>
        <w:t>本项目为原址改建，没有新挖鱼塘，工程建设期间产生的噪声、悬浮物等会对附近水域造成扰动，对水生生物栖息环境造成一定干扰。</w:t>
      </w:r>
    </w:p>
    <w:p w14:paraId="7E31EB66">
      <w:pPr>
        <w:spacing w:line="360" w:lineRule="auto"/>
        <w:ind w:firstLine="480" w:firstLineChars="200"/>
        <w:rPr>
          <w:color w:val="auto"/>
          <w:kern w:val="0"/>
          <w:sz w:val="24"/>
        </w:rPr>
      </w:pPr>
      <w:r>
        <w:rPr>
          <w:color w:val="auto"/>
          <w:kern w:val="0"/>
          <w:sz w:val="24"/>
        </w:rPr>
        <w:t>工程实施工程中</w:t>
      </w:r>
      <w:r>
        <w:rPr>
          <w:rFonts w:hint="eastAsia"/>
          <w:color w:val="auto"/>
          <w:kern w:val="0"/>
          <w:sz w:val="24"/>
          <w:lang w:val="en-US" w:eastAsia="zh-CN"/>
        </w:rPr>
        <w:t>清淤</w:t>
      </w:r>
      <w:r>
        <w:rPr>
          <w:color w:val="auto"/>
          <w:kern w:val="0"/>
          <w:sz w:val="24"/>
        </w:rPr>
        <w:t>开挖、土料填筑堆积和运输、围堤拆除等施工活动产生废弃土石料，遇降雨引起水土流失，造成近岸水域悬浮物浓度增高。所以施工弃土应及时妥善处理。由于工程施工均在枯水期，降水水量较小，因此影响相对不大。</w:t>
      </w:r>
    </w:p>
    <w:p w14:paraId="5C20A6E9">
      <w:pPr>
        <w:adjustRightInd w:val="0"/>
        <w:spacing w:line="360" w:lineRule="auto"/>
        <w:jc w:val="left"/>
        <w:outlineLvl w:val="3"/>
        <w:rPr>
          <w:b/>
          <w:bCs/>
          <w:color w:val="auto"/>
          <w:sz w:val="24"/>
        </w:rPr>
      </w:pPr>
      <w:r>
        <w:rPr>
          <w:rFonts w:hint="eastAsia"/>
          <w:b/>
          <w:bCs/>
          <w:color w:val="auto"/>
          <w:sz w:val="24"/>
        </w:rPr>
        <w:t>4.</w:t>
      </w:r>
      <w:r>
        <w:rPr>
          <w:b/>
          <w:bCs/>
          <w:color w:val="auto"/>
          <w:sz w:val="24"/>
        </w:rPr>
        <w:t>6.1.2对水生生物的影响</w:t>
      </w:r>
    </w:p>
    <w:p w14:paraId="6BB016FA">
      <w:pPr>
        <w:spacing w:line="360" w:lineRule="auto"/>
        <w:ind w:firstLine="480" w:firstLineChars="200"/>
        <w:rPr>
          <w:color w:val="auto"/>
          <w:kern w:val="0"/>
          <w:sz w:val="24"/>
        </w:rPr>
      </w:pPr>
      <w:r>
        <w:rPr>
          <w:color w:val="auto"/>
          <w:kern w:val="0"/>
          <w:sz w:val="24"/>
        </w:rPr>
        <w:t>工程枯水期分段施工，施工期间，施工营地生活污水和施工废水总量较小，如不经过处理直接排入施工所在鱼塘，可能对局部水域浮游生物、底栖动物产生不利影响，处理后达标排放影响较小。</w:t>
      </w:r>
    </w:p>
    <w:p w14:paraId="6FBD6DD2">
      <w:pPr>
        <w:spacing w:line="360" w:lineRule="auto"/>
        <w:ind w:firstLine="480" w:firstLineChars="200"/>
        <w:rPr>
          <w:color w:val="auto"/>
          <w:kern w:val="0"/>
          <w:sz w:val="24"/>
        </w:rPr>
      </w:pPr>
      <w:r>
        <w:rPr>
          <w:color w:val="auto"/>
          <w:kern w:val="0"/>
          <w:sz w:val="24"/>
        </w:rPr>
        <w:t>施工时清淤会扰动水体，使水中悬浮物含量增加，透明度下降，将阻碍浮游植物和水生维管束植物的光合作用，从而降低水体初级生产力，使浮游植物生物量下降，浮游植物生物量的减少，会使以浮游植物为饵料的浮游动物在单位水体中拥有的生物量也相应地减少，还会进一步影响到其它生物的数量。</w:t>
      </w:r>
    </w:p>
    <w:p w14:paraId="512B03EE">
      <w:pPr>
        <w:spacing w:line="360" w:lineRule="auto"/>
        <w:ind w:firstLine="480" w:firstLineChars="200"/>
        <w:rPr>
          <w:color w:val="auto"/>
          <w:kern w:val="0"/>
          <w:sz w:val="24"/>
        </w:rPr>
      </w:pPr>
      <w:r>
        <w:rPr>
          <w:color w:val="auto"/>
          <w:kern w:val="0"/>
          <w:sz w:val="24"/>
        </w:rPr>
        <w:t>悬浮物还会粘附在水生生物体表，干扰其正常的生理功能，使其运动、摄食等活动受到影响；滤食性水生生物会吞食适当粒径的悬浮颗粒，造成内部消化系统紊乱。严重时会造成死亡，从而使局部水域内水生生物数量减少，水中悬浮物含量增加，会对水生生物的生存和繁殖产生抑制作用。但是这种施工引起的环境影响是局部的，且这种不良影响是暂时的，施工作用结束后，这种影响也将随之消失。</w:t>
      </w:r>
    </w:p>
    <w:p w14:paraId="7A429800">
      <w:pPr>
        <w:spacing w:line="360" w:lineRule="auto"/>
        <w:ind w:firstLine="480" w:firstLineChars="200"/>
        <w:rPr>
          <w:color w:val="auto"/>
          <w:kern w:val="0"/>
          <w:sz w:val="24"/>
        </w:rPr>
      </w:pPr>
      <w:r>
        <w:rPr>
          <w:color w:val="auto"/>
          <w:kern w:val="0"/>
          <w:sz w:val="24"/>
        </w:rPr>
        <w:t>水下施工过程中，会较大程度的破坏底栖动物和水生维管束植物的生存场所，导致底栖动物和水生维管束植物的种类和数量下降，除少数活动能力强的底栖生物逃往它处外，大部分底栖动物和水生维管束植物将被掩埋、覆盖。护坡将造成砼护坡区水生维管束植物消失，这些水生植物是部分产粘性鱼卵鱼类的产卵基质，水生植物的破坏对部分鱼类的繁殖有影响。</w:t>
      </w:r>
    </w:p>
    <w:p w14:paraId="67CE3055">
      <w:pPr>
        <w:spacing w:line="360" w:lineRule="auto"/>
        <w:ind w:firstLine="480" w:firstLineChars="200"/>
        <w:rPr>
          <w:color w:val="auto"/>
          <w:kern w:val="0"/>
          <w:sz w:val="24"/>
        </w:rPr>
      </w:pPr>
      <w:r>
        <w:rPr>
          <w:color w:val="auto"/>
          <w:kern w:val="0"/>
          <w:sz w:val="24"/>
        </w:rPr>
        <w:t>总体上而言，工程施工对浮游生物和底栖动物的影响主要来自于局部水塘水域的悬浮物浓度增加，以及围堰内基坑导致底栖动物数量与生物量减少。同时，水塘的流速与水量也会因为临时围堰修筑发生变化，随着流速的改变，水体与空气间的交换速率也将同步发生变化，浮游植物的种类组成和数量组成也会因此改变。但工程施工对浮游植物和水体透明度造成的影响是暂时的、局部的、可逆的，随着工程施工的结束，影响随即消除。而随着施工围堰拆除，河流形态和水文动力条件恢复，其对浮游植物的影响也会随之消失。</w:t>
      </w:r>
    </w:p>
    <w:p w14:paraId="6C21224A">
      <w:pPr>
        <w:adjustRightInd w:val="0"/>
        <w:spacing w:line="360" w:lineRule="auto"/>
        <w:jc w:val="left"/>
        <w:outlineLvl w:val="3"/>
        <w:rPr>
          <w:b/>
          <w:bCs/>
          <w:color w:val="auto"/>
          <w:sz w:val="24"/>
        </w:rPr>
      </w:pPr>
      <w:r>
        <w:rPr>
          <w:rFonts w:hint="eastAsia"/>
          <w:b/>
          <w:bCs/>
          <w:color w:val="auto"/>
          <w:sz w:val="24"/>
        </w:rPr>
        <w:t>4.</w:t>
      </w:r>
      <w:r>
        <w:rPr>
          <w:b/>
          <w:bCs/>
          <w:color w:val="auto"/>
          <w:sz w:val="24"/>
        </w:rPr>
        <w:t>6.1.3对鱼类资源的影响</w:t>
      </w:r>
    </w:p>
    <w:p w14:paraId="4E2D62EC">
      <w:pPr>
        <w:spacing w:line="360" w:lineRule="auto"/>
        <w:ind w:firstLine="480" w:firstLineChars="200"/>
        <w:rPr>
          <w:color w:val="auto"/>
          <w:kern w:val="0"/>
          <w:sz w:val="24"/>
        </w:rPr>
      </w:pPr>
      <w:r>
        <w:rPr>
          <w:color w:val="auto"/>
          <w:kern w:val="0"/>
          <w:sz w:val="24"/>
        </w:rPr>
        <w:t>工程清基土方、吊装、土方填筑和边坡加固等用到的机械产生的噪声和振动，将对鱼类在工程影响河段的分布及部分鱼类洄游产生一定的干扰。施工时将会对工程附近30~45m范围内的鱼类有一定的影响，在此区域的鱼将会迁移到其它水域，但是不会对鱼类造成暂时性阈移或永久性阈移。</w:t>
      </w:r>
    </w:p>
    <w:p w14:paraId="3E38E342">
      <w:pPr>
        <w:spacing w:line="360" w:lineRule="auto"/>
        <w:ind w:firstLine="480" w:firstLineChars="200"/>
        <w:rPr>
          <w:color w:val="auto"/>
          <w:kern w:val="0"/>
          <w:sz w:val="24"/>
        </w:rPr>
      </w:pPr>
      <w:r>
        <w:rPr>
          <w:color w:val="auto"/>
          <w:kern w:val="0"/>
          <w:sz w:val="24"/>
        </w:rPr>
        <w:t>鱼塘改造临水坡围堰导流外排水会产生悬浮物，悬浮物扩散将影响水体透明度和初级生产力，并使鱼类产生回避，影响鱼类洄游，成年鱼类的活动能力较强，在悬浮物影响范围内成鱼可以回避，施工作业对其的影响更多表现为</w:t>
      </w:r>
      <w:r>
        <w:rPr>
          <w:rFonts w:hint="eastAsia"/>
          <w:color w:val="auto"/>
          <w:kern w:val="0"/>
          <w:sz w:val="24"/>
        </w:rPr>
        <w:t>“</w:t>
      </w:r>
      <w:r>
        <w:rPr>
          <w:color w:val="auto"/>
          <w:kern w:val="0"/>
          <w:sz w:val="24"/>
        </w:rPr>
        <w:t>驱散效应</w:t>
      </w:r>
      <w:r>
        <w:rPr>
          <w:rFonts w:hint="eastAsia"/>
          <w:color w:val="auto"/>
          <w:kern w:val="0"/>
          <w:sz w:val="24"/>
        </w:rPr>
        <w:t>”</w:t>
      </w:r>
      <w:r>
        <w:rPr>
          <w:color w:val="auto"/>
          <w:kern w:val="0"/>
          <w:sz w:val="24"/>
        </w:rPr>
        <w:t>，但是会对鱼卵、仔稚鱼和幼鱼造成伤害，主要表现为影响胚胎发育、堵塞鱼类的腮部造成窒息死亡。</w:t>
      </w:r>
    </w:p>
    <w:p w14:paraId="2773278E">
      <w:pPr>
        <w:spacing w:line="360" w:lineRule="auto"/>
        <w:ind w:firstLine="480" w:firstLineChars="200"/>
        <w:rPr>
          <w:color w:val="auto"/>
          <w:kern w:val="0"/>
          <w:sz w:val="24"/>
        </w:rPr>
      </w:pPr>
      <w:r>
        <w:rPr>
          <w:color w:val="auto"/>
          <w:kern w:val="0"/>
          <w:sz w:val="24"/>
        </w:rPr>
        <w:t>施工工程中会影响水质及浮游生物、底栖动物以及水生维管束植物的数量，从而改变了部分鱼类局部生境，进而对鱼类繁殖、觅食和栖息造成影响，但这种影响是暂时的，会随着施工结束而逐渐消失，对评价范围内的鱼类影响总体较小，且较为有限。</w:t>
      </w:r>
    </w:p>
    <w:p w14:paraId="07C13E7E">
      <w:pPr>
        <w:spacing w:line="360" w:lineRule="auto"/>
        <w:ind w:firstLine="480" w:firstLineChars="200"/>
        <w:rPr>
          <w:color w:val="auto"/>
          <w:kern w:val="0"/>
          <w:sz w:val="24"/>
        </w:rPr>
      </w:pPr>
      <w:r>
        <w:rPr>
          <w:color w:val="auto"/>
          <w:kern w:val="0"/>
          <w:sz w:val="24"/>
        </w:rPr>
        <w:t>鱼塘改造加固施工均在枯水期鱼类越冬期进行、岸上施工，对主要鱼类繁殖的影响较小；鱼类冬季一般在深水区越冬，鱼塘改造临水坡施工在枯水期鱼类越冬期，不涉及对鱼类繁殖的影响，越冬期鱼类一般在深潭越冬，施工对鱼类越冬的影响较小。施工一般在枯水期，但选择在水位较高时段进行，若施工时段为3月下旬~4月，该时段项目所在区域鱼类已进入繁殖期，此时抛石施工将对鱼类繁殖行为和鱼卵附着基质产生一定影响，因此，鱼塘施工应在3月下旬之前结束，减小对鱼类繁殖的影响。</w:t>
      </w:r>
    </w:p>
    <w:p w14:paraId="1B871B54">
      <w:pPr>
        <w:adjustRightInd w:val="0"/>
        <w:spacing w:line="360" w:lineRule="auto"/>
        <w:jc w:val="left"/>
        <w:outlineLvl w:val="3"/>
        <w:rPr>
          <w:b/>
          <w:bCs/>
          <w:color w:val="auto"/>
          <w:sz w:val="24"/>
        </w:rPr>
      </w:pPr>
      <w:r>
        <w:rPr>
          <w:rFonts w:hint="eastAsia"/>
          <w:b/>
          <w:bCs/>
          <w:color w:val="auto"/>
          <w:sz w:val="24"/>
        </w:rPr>
        <w:t>4.</w:t>
      </w:r>
      <w:r>
        <w:rPr>
          <w:b/>
          <w:bCs/>
          <w:color w:val="auto"/>
          <w:sz w:val="24"/>
        </w:rPr>
        <w:t>6.1.4对重要物种的影响</w:t>
      </w:r>
    </w:p>
    <w:p w14:paraId="293017CB">
      <w:pPr>
        <w:spacing w:line="360" w:lineRule="auto"/>
        <w:ind w:firstLine="480" w:firstLineChars="200"/>
        <w:rPr>
          <w:color w:val="auto"/>
          <w:kern w:val="0"/>
          <w:sz w:val="24"/>
        </w:rPr>
      </w:pPr>
      <w:r>
        <w:rPr>
          <w:color w:val="auto"/>
          <w:kern w:val="0"/>
          <w:sz w:val="24"/>
        </w:rPr>
        <w:t>根据现场调查，在评价区现场的渔获物中未发现国家重点保护水生生物、湖南省级重点保护种类、国家级重点保护和中国生物多样性红色了所列极危、濒危和易危鱼类。</w:t>
      </w:r>
    </w:p>
    <w:p w14:paraId="350D9C04">
      <w:pPr>
        <w:adjustRightInd w:val="0"/>
        <w:spacing w:line="360" w:lineRule="auto"/>
        <w:jc w:val="left"/>
        <w:outlineLvl w:val="3"/>
        <w:rPr>
          <w:b/>
          <w:bCs/>
          <w:color w:val="auto"/>
          <w:sz w:val="24"/>
        </w:rPr>
      </w:pPr>
      <w:r>
        <w:rPr>
          <w:rFonts w:hint="eastAsia"/>
          <w:b/>
          <w:bCs/>
          <w:color w:val="auto"/>
          <w:sz w:val="24"/>
        </w:rPr>
        <w:t>4.</w:t>
      </w:r>
      <w:r>
        <w:rPr>
          <w:b/>
          <w:bCs/>
          <w:color w:val="auto"/>
          <w:sz w:val="24"/>
        </w:rPr>
        <w:t>6.1.5对鱼类</w:t>
      </w:r>
      <w:r>
        <w:rPr>
          <w:rFonts w:hint="eastAsia"/>
          <w:b/>
          <w:bCs/>
          <w:color w:val="auto"/>
          <w:sz w:val="24"/>
        </w:rPr>
        <w:t>“</w:t>
      </w:r>
      <w:r>
        <w:rPr>
          <w:b/>
          <w:bCs/>
          <w:color w:val="auto"/>
          <w:sz w:val="24"/>
        </w:rPr>
        <w:t>三场</w:t>
      </w:r>
      <w:r>
        <w:rPr>
          <w:rFonts w:hint="eastAsia"/>
          <w:b/>
          <w:bCs/>
          <w:color w:val="auto"/>
          <w:sz w:val="24"/>
        </w:rPr>
        <w:t>”</w:t>
      </w:r>
      <w:r>
        <w:rPr>
          <w:b/>
          <w:bCs/>
          <w:color w:val="auto"/>
          <w:sz w:val="24"/>
        </w:rPr>
        <w:t>的影响</w:t>
      </w:r>
    </w:p>
    <w:p w14:paraId="6627140D">
      <w:pPr>
        <w:spacing w:line="360" w:lineRule="auto"/>
        <w:ind w:firstLine="480" w:firstLineChars="200"/>
        <w:rPr>
          <w:color w:val="auto"/>
          <w:kern w:val="0"/>
          <w:sz w:val="24"/>
        </w:rPr>
      </w:pPr>
      <w:r>
        <w:rPr>
          <w:color w:val="auto"/>
          <w:kern w:val="0"/>
          <w:sz w:val="24"/>
        </w:rPr>
        <w:t>（1）对产卵场的影响</w:t>
      </w:r>
    </w:p>
    <w:p w14:paraId="04392552">
      <w:pPr>
        <w:spacing w:line="360" w:lineRule="auto"/>
        <w:ind w:firstLine="480" w:firstLineChars="200"/>
        <w:rPr>
          <w:color w:val="auto"/>
          <w:kern w:val="0"/>
          <w:sz w:val="24"/>
        </w:rPr>
      </w:pPr>
      <w:r>
        <w:rPr>
          <w:color w:val="auto"/>
          <w:kern w:val="0"/>
          <w:sz w:val="24"/>
        </w:rPr>
        <w:t>项目评价区不涉及鱼类产卵场，距离东洞庭湖主要经济鱼类粘性产卵场约10.2km、距离东洞庭湖主要经济鱼类浮性产卵场12.4km。工程施工点与产卵场隔湖相望或位于工程下游10km以上，工程施工不会破坏这些鱼类产卵场基质生境。工程一般在枯水期施工，避开了鱼类主要繁殖期，对鱼类繁殖行为造成影响的可能性较小。</w:t>
      </w:r>
    </w:p>
    <w:p w14:paraId="1F59722A">
      <w:pPr>
        <w:spacing w:line="360" w:lineRule="auto"/>
        <w:ind w:firstLine="480" w:firstLineChars="200"/>
        <w:rPr>
          <w:color w:val="auto"/>
          <w:kern w:val="0"/>
          <w:sz w:val="24"/>
        </w:rPr>
      </w:pPr>
      <w:r>
        <w:rPr>
          <w:color w:val="auto"/>
          <w:kern w:val="0"/>
          <w:sz w:val="24"/>
        </w:rPr>
        <w:t>（2）对鱼类索饵场的影响</w:t>
      </w:r>
    </w:p>
    <w:p w14:paraId="457D71A6">
      <w:pPr>
        <w:spacing w:line="360" w:lineRule="auto"/>
        <w:ind w:firstLine="480" w:firstLineChars="200"/>
        <w:rPr>
          <w:color w:val="auto"/>
          <w:kern w:val="0"/>
          <w:sz w:val="24"/>
        </w:rPr>
      </w:pPr>
      <w:r>
        <w:rPr>
          <w:color w:val="auto"/>
          <w:kern w:val="0"/>
          <w:sz w:val="24"/>
        </w:rPr>
        <w:t>项目评价内不涉及鱼类产卵场，鱼类索饵场分布在产卵场附近。评价区的施工期为枯水期，鱼类多集中于越冬场，施工不会直接破坏索饵场生境，产生的噪声和悬浮物经过长距离传播和扩散逐渐衰减，对鱼类索饵行为和索饵场影响有限。零星分布的索饵场可能会遭到破坏，但是生境不特殊，且有其它的索饵场，仍能满足子稚鱼的索饵需求，施工结束后，生境会缓慢恢复。</w:t>
      </w:r>
    </w:p>
    <w:p w14:paraId="787DD693">
      <w:pPr>
        <w:spacing w:line="360" w:lineRule="auto"/>
        <w:ind w:firstLine="480" w:firstLineChars="200"/>
        <w:rPr>
          <w:color w:val="auto"/>
          <w:kern w:val="0"/>
          <w:sz w:val="24"/>
        </w:rPr>
      </w:pPr>
      <w:r>
        <w:rPr>
          <w:color w:val="auto"/>
          <w:kern w:val="0"/>
          <w:sz w:val="24"/>
        </w:rPr>
        <w:t>（3）对鱼类越冬场的影响</w:t>
      </w:r>
    </w:p>
    <w:p w14:paraId="0E9DCD7A">
      <w:pPr>
        <w:spacing w:line="360" w:lineRule="auto"/>
        <w:ind w:firstLine="480" w:firstLineChars="200"/>
        <w:rPr>
          <w:color w:val="auto"/>
          <w:kern w:val="0"/>
          <w:sz w:val="24"/>
        </w:rPr>
      </w:pPr>
      <w:r>
        <w:rPr>
          <w:color w:val="auto"/>
          <w:kern w:val="0"/>
          <w:sz w:val="24"/>
        </w:rPr>
        <w:t>工程不直接涉及鱼类越冬场，对鱼类越冬的影响不大。</w:t>
      </w:r>
    </w:p>
    <w:p w14:paraId="56E06F6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6.2运营期对水生生物的影响</w:t>
      </w:r>
    </w:p>
    <w:p w14:paraId="7B1E9117">
      <w:pPr>
        <w:spacing w:line="360" w:lineRule="auto"/>
        <w:ind w:firstLine="480" w:firstLineChars="200"/>
        <w:rPr>
          <w:color w:val="auto"/>
          <w:kern w:val="0"/>
          <w:sz w:val="24"/>
        </w:rPr>
      </w:pPr>
      <w:r>
        <w:rPr>
          <w:color w:val="auto"/>
          <w:kern w:val="0"/>
          <w:sz w:val="24"/>
        </w:rPr>
        <w:t>本项目没有新建的建筑物，涉及的建筑物工程均为原址改建或加固，不会对江湖连通性造成新的阻隔。本项目评价区周边除洞庭湖外较大的湖泊有采桑湖，采桑湖与周边水系相连，其中本工程位于采桑湖与洞庭湖之间，本工程仅对现状鱼塘进行改建，现有建构筑物进行加固，工程实施后，其运行不改变现状水塘用途，不改变水流去向，不增加径流量，也不增加污染物排放，工程运行水生态影响整体较小。水体流动性增强，水生生境的连通功能将增加，对鱼类的迁移和种质资源的交流将产生有利影响。</w:t>
      </w:r>
    </w:p>
    <w:p w14:paraId="5EB114EB">
      <w:pPr>
        <w:pStyle w:val="77"/>
        <w:widowControl w:val="0"/>
        <w:tabs>
          <w:tab w:val="left" w:pos="567"/>
          <w:tab w:val="left" w:pos="851"/>
        </w:tabs>
        <w:adjustRightInd w:val="0"/>
        <w:spacing w:line="360" w:lineRule="auto"/>
        <w:outlineLvl w:val="1"/>
        <w:rPr>
          <w:rFonts w:ascii="Times New Roman" w:hAnsi="Times New Roman" w:eastAsia="宋体" w:cs="Times New Roman"/>
          <w:b/>
          <w:color w:val="auto"/>
          <w:sz w:val="28"/>
          <w:szCs w:val="28"/>
        </w:rPr>
      </w:pPr>
      <w:bookmarkStart w:id="168" w:name="_Toc25561"/>
      <w:bookmarkStart w:id="169" w:name="_Toc5518"/>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7评价区生态完整性变化</w:t>
      </w:r>
      <w:bookmarkEnd w:id="168"/>
      <w:bookmarkEnd w:id="169"/>
    </w:p>
    <w:p w14:paraId="4A7C550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7.1工程影响区生物量的变化</w:t>
      </w:r>
    </w:p>
    <w:p w14:paraId="1ED80A8D">
      <w:pPr>
        <w:spacing w:line="360" w:lineRule="auto"/>
        <w:ind w:firstLine="480" w:firstLineChars="200"/>
        <w:rPr>
          <w:color w:val="auto"/>
          <w:kern w:val="0"/>
          <w:sz w:val="24"/>
        </w:rPr>
      </w:pPr>
      <w:r>
        <w:rPr>
          <w:color w:val="auto"/>
          <w:kern w:val="0"/>
          <w:sz w:val="24"/>
        </w:rPr>
        <w:t>评价区内各植被类型损失的生物量见表</w:t>
      </w:r>
      <w:r>
        <w:rPr>
          <w:rFonts w:hint="eastAsia"/>
          <w:color w:val="auto"/>
          <w:kern w:val="0"/>
          <w:sz w:val="24"/>
        </w:rPr>
        <w:t>4.</w:t>
      </w:r>
      <w:r>
        <w:rPr>
          <w:color w:val="auto"/>
          <w:kern w:val="0"/>
          <w:sz w:val="24"/>
        </w:rPr>
        <w:t>7-1。永久征地将完全损毁原有的植被类型，植被生物量将发生变化，生物量总损失为60t，占评价区总生物量（3910.62t）的1.53%，损失较小。植被类型损失的生物量主要为水域，随工程施工的结束，工程永久征地区的植被由人工基底性质的建设用地所取代，造成植被生物量的降低；而临时征地区的植被生物量在一定程度上可以自然恢复，同时在采取一定的人工抚育措施如通过栽植乔木、铺草皮/撒播草籽等恢复方式，实施后能够得以恢复。</w:t>
      </w:r>
    </w:p>
    <w:p w14:paraId="61197E7D">
      <w:pPr>
        <w:pStyle w:val="89"/>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rPr>
        <w:t>4.</w:t>
      </w:r>
      <w:r>
        <w:rPr>
          <w:b/>
          <w:bCs/>
          <w:color w:val="auto"/>
          <w:sz w:val="21"/>
          <w:szCs w:val="21"/>
        </w:rPr>
        <w:t>7-1   永久占地损失生物量一览表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649"/>
        <w:gridCol w:w="1862"/>
        <w:gridCol w:w="1460"/>
        <w:gridCol w:w="1773"/>
      </w:tblGrid>
      <w:tr w14:paraId="272E1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A167540">
            <w:pPr>
              <w:widowControl/>
              <w:jc w:val="center"/>
              <w:rPr>
                <w:b/>
                <w:bCs/>
                <w:color w:val="auto"/>
                <w:kern w:val="0"/>
                <w:szCs w:val="21"/>
              </w:rPr>
            </w:pPr>
            <w:r>
              <w:rPr>
                <w:b/>
                <w:bCs/>
                <w:color w:val="auto"/>
                <w:kern w:val="0"/>
                <w:szCs w:val="21"/>
              </w:rPr>
              <w:t>植被类型</w:t>
            </w:r>
          </w:p>
        </w:tc>
        <w:tc>
          <w:tcPr>
            <w:tcW w:w="968" w:type="pct"/>
            <w:tcBorders>
              <w:tl2br w:val="nil"/>
              <w:tr2bl w:val="nil"/>
            </w:tcBorders>
            <w:vAlign w:val="center"/>
          </w:tcPr>
          <w:p w14:paraId="3A9CEB0C">
            <w:pPr>
              <w:widowControl/>
              <w:jc w:val="center"/>
              <w:textAlignment w:val="center"/>
              <w:rPr>
                <w:b/>
                <w:bCs/>
                <w:color w:val="auto"/>
                <w:kern w:val="0"/>
                <w:szCs w:val="21"/>
              </w:rPr>
            </w:pPr>
            <w:r>
              <w:rPr>
                <w:b/>
                <w:bCs/>
                <w:color w:val="auto"/>
                <w:kern w:val="0"/>
                <w:szCs w:val="21"/>
              </w:rPr>
              <w:t>面积变化（hm</w:t>
            </w:r>
            <w:r>
              <w:rPr>
                <w:b/>
                <w:bCs/>
                <w:color w:val="auto"/>
                <w:kern w:val="0"/>
                <w:szCs w:val="21"/>
                <w:vertAlign w:val="superscript"/>
              </w:rPr>
              <w:t>2</w:t>
            </w:r>
            <w:r>
              <w:rPr>
                <w:b/>
                <w:bCs/>
                <w:color w:val="auto"/>
                <w:kern w:val="0"/>
                <w:szCs w:val="21"/>
              </w:rPr>
              <w:t>）</w:t>
            </w:r>
          </w:p>
        </w:tc>
        <w:tc>
          <w:tcPr>
            <w:tcW w:w="1093" w:type="pct"/>
            <w:tcBorders>
              <w:tl2br w:val="nil"/>
              <w:tr2bl w:val="nil"/>
            </w:tcBorders>
            <w:vAlign w:val="center"/>
          </w:tcPr>
          <w:p w14:paraId="30F1FA2F">
            <w:pPr>
              <w:widowControl/>
              <w:jc w:val="center"/>
              <w:textAlignment w:val="center"/>
              <w:rPr>
                <w:b/>
                <w:bCs/>
                <w:color w:val="auto"/>
                <w:kern w:val="0"/>
                <w:szCs w:val="21"/>
              </w:rPr>
            </w:pPr>
            <w:r>
              <w:rPr>
                <w:b/>
                <w:bCs/>
                <w:color w:val="auto"/>
                <w:kern w:val="0"/>
                <w:szCs w:val="21"/>
              </w:rPr>
              <w:t>平均生物量（t/hm</w:t>
            </w:r>
            <w:r>
              <w:rPr>
                <w:b/>
                <w:bCs/>
                <w:color w:val="auto"/>
                <w:kern w:val="0"/>
                <w:szCs w:val="21"/>
                <w:vertAlign w:val="superscript"/>
              </w:rPr>
              <w:t>2</w:t>
            </w:r>
            <w:r>
              <w:rPr>
                <w:b/>
                <w:bCs/>
                <w:color w:val="auto"/>
                <w:kern w:val="0"/>
                <w:szCs w:val="21"/>
              </w:rPr>
              <w:t>）</w:t>
            </w:r>
          </w:p>
        </w:tc>
        <w:tc>
          <w:tcPr>
            <w:tcW w:w="857" w:type="pct"/>
            <w:tcBorders>
              <w:tl2br w:val="nil"/>
              <w:tr2bl w:val="nil"/>
            </w:tcBorders>
            <w:vAlign w:val="center"/>
          </w:tcPr>
          <w:p w14:paraId="4E17BA36">
            <w:pPr>
              <w:widowControl/>
              <w:jc w:val="center"/>
              <w:textAlignment w:val="center"/>
              <w:rPr>
                <w:b/>
                <w:bCs/>
                <w:color w:val="auto"/>
                <w:kern w:val="0"/>
                <w:szCs w:val="21"/>
              </w:rPr>
            </w:pPr>
            <w:r>
              <w:rPr>
                <w:b/>
                <w:bCs/>
                <w:color w:val="auto"/>
                <w:kern w:val="0"/>
                <w:szCs w:val="21"/>
              </w:rPr>
              <w:t>生物量变化值（t）</w:t>
            </w:r>
          </w:p>
        </w:tc>
        <w:tc>
          <w:tcPr>
            <w:tcW w:w="1041" w:type="pct"/>
            <w:tcBorders>
              <w:tl2br w:val="nil"/>
              <w:tr2bl w:val="nil"/>
            </w:tcBorders>
            <w:vAlign w:val="center"/>
          </w:tcPr>
          <w:p w14:paraId="7F4F7AFC">
            <w:pPr>
              <w:widowControl/>
              <w:jc w:val="center"/>
              <w:textAlignment w:val="center"/>
              <w:rPr>
                <w:b/>
                <w:bCs/>
                <w:color w:val="auto"/>
                <w:kern w:val="0"/>
                <w:szCs w:val="21"/>
              </w:rPr>
            </w:pPr>
            <w:r>
              <w:rPr>
                <w:b/>
                <w:bCs/>
                <w:color w:val="auto"/>
                <w:kern w:val="0"/>
                <w:szCs w:val="21"/>
              </w:rPr>
              <w:t>占总生物量比列（%）</w:t>
            </w:r>
          </w:p>
        </w:tc>
      </w:tr>
      <w:tr w14:paraId="7301F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F86672B">
            <w:pPr>
              <w:widowControl/>
              <w:jc w:val="center"/>
              <w:rPr>
                <w:color w:val="auto"/>
                <w:kern w:val="0"/>
                <w:szCs w:val="21"/>
              </w:rPr>
            </w:pPr>
            <w:r>
              <w:rPr>
                <w:color w:val="auto"/>
                <w:kern w:val="0"/>
                <w:szCs w:val="21"/>
              </w:rPr>
              <w:t>针叶林</w:t>
            </w:r>
          </w:p>
        </w:tc>
        <w:tc>
          <w:tcPr>
            <w:tcW w:w="968" w:type="pct"/>
            <w:tcBorders>
              <w:tl2br w:val="nil"/>
              <w:tr2bl w:val="nil"/>
            </w:tcBorders>
            <w:vAlign w:val="center"/>
          </w:tcPr>
          <w:p w14:paraId="5230ADD8">
            <w:pPr>
              <w:widowControl/>
              <w:jc w:val="center"/>
              <w:textAlignment w:val="center"/>
              <w:rPr>
                <w:color w:val="auto"/>
                <w:kern w:val="0"/>
                <w:szCs w:val="21"/>
              </w:rPr>
            </w:pPr>
            <w:r>
              <w:rPr>
                <w:color w:val="auto"/>
                <w:kern w:val="0"/>
                <w:szCs w:val="21"/>
              </w:rPr>
              <w:t>-</w:t>
            </w:r>
          </w:p>
        </w:tc>
        <w:tc>
          <w:tcPr>
            <w:tcW w:w="1093" w:type="pct"/>
            <w:tcBorders>
              <w:tl2br w:val="nil"/>
              <w:tr2bl w:val="nil"/>
            </w:tcBorders>
            <w:vAlign w:val="center"/>
          </w:tcPr>
          <w:p w14:paraId="308A0D6A">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3B315C19">
            <w:pPr>
              <w:widowControl/>
              <w:jc w:val="center"/>
              <w:textAlignment w:val="center"/>
              <w:rPr>
                <w:color w:val="auto"/>
                <w:kern w:val="0"/>
                <w:szCs w:val="21"/>
              </w:rPr>
            </w:pPr>
            <w:r>
              <w:rPr>
                <w:color w:val="auto"/>
                <w:kern w:val="0"/>
                <w:szCs w:val="21"/>
              </w:rPr>
              <w:t>-</w:t>
            </w:r>
          </w:p>
        </w:tc>
        <w:tc>
          <w:tcPr>
            <w:tcW w:w="1041" w:type="pct"/>
            <w:tcBorders>
              <w:tl2br w:val="nil"/>
              <w:tr2bl w:val="nil"/>
            </w:tcBorders>
            <w:vAlign w:val="center"/>
          </w:tcPr>
          <w:p w14:paraId="6FA6F496">
            <w:pPr>
              <w:widowControl/>
              <w:jc w:val="center"/>
              <w:textAlignment w:val="center"/>
              <w:rPr>
                <w:color w:val="auto"/>
                <w:kern w:val="0"/>
                <w:szCs w:val="21"/>
              </w:rPr>
            </w:pPr>
            <w:r>
              <w:rPr>
                <w:color w:val="auto"/>
                <w:kern w:val="0"/>
                <w:szCs w:val="21"/>
              </w:rPr>
              <w:t>-</w:t>
            </w:r>
          </w:p>
        </w:tc>
      </w:tr>
      <w:tr w14:paraId="6A6FF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2EB77A02">
            <w:pPr>
              <w:widowControl/>
              <w:jc w:val="center"/>
              <w:rPr>
                <w:color w:val="auto"/>
                <w:kern w:val="0"/>
                <w:szCs w:val="21"/>
              </w:rPr>
            </w:pPr>
            <w:r>
              <w:rPr>
                <w:color w:val="auto"/>
                <w:kern w:val="0"/>
                <w:szCs w:val="21"/>
              </w:rPr>
              <w:t>阔叶林</w:t>
            </w:r>
          </w:p>
        </w:tc>
        <w:tc>
          <w:tcPr>
            <w:tcW w:w="968" w:type="pct"/>
            <w:tcBorders>
              <w:tl2br w:val="nil"/>
              <w:tr2bl w:val="nil"/>
            </w:tcBorders>
            <w:vAlign w:val="center"/>
          </w:tcPr>
          <w:p w14:paraId="4FD06815">
            <w:pPr>
              <w:widowControl/>
              <w:jc w:val="center"/>
              <w:textAlignment w:val="center"/>
              <w:rPr>
                <w:color w:val="auto"/>
                <w:kern w:val="0"/>
                <w:szCs w:val="21"/>
              </w:rPr>
            </w:pPr>
            <w:r>
              <w:rPr>
                <w:color w:val="auto"/>
                <w:kern w:val="0"/>
                <w:szCs w:val="21"/>
              </w:rPr>
              <w:t>-</w:t>
            </w:r>
          </w:p>
        </w:tc>
        <w:tc>
          <w:tcPr>
            <w:tcW w:w="1093" w:type="pct"/>
            <w:tcBorders>
              <w:tl2br w:val="nil"/>
              <w:tr2bl w:val="nil"/>
            </w:tcBorders>
            <w:vAlign w:val="center"/>
          </w:tcPr>
          <w:p w14:paraId="0935C0CE">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6E3243C6">
            <w:pPr>
              <w:widowControl/>
              <w:jc w:val="center"/>
              <w:textAlignment w:val="center"/>
              <w:rPr>
                <w:color w:val="auto"/>
                <w:kern w:val="0"/>
                <w:szCs w:val="21"/>
              </w:rPr>
            </w:pPr>
            <w:r>
              <w:rPr>
                <w:color w:val="auto"/>
                <w:kern w:val="0"/>
                <w:szCs w:val="21"/>
              </w:rPr>
              <w:t>-</w:t>
            </w:r>
          </w:p>
        </w:tc>
        <w:tc>
          <w:tcPr>
            <w:tcW w:w="1041" w:type="pct"/>
            <w:tcBorders>
              <w:tl2br w:val="nil"/>
              <w:tr2bl w:val="nil"/>
            </w:tcBorders>
            <w:vAlign w:val="center"/>
          </w:tcPr>
          <w:p w14:paraId="195EF1D4">
            <w:pPr>
              <w:widowControl/>
              <w:jc w:val="center"/>
              <w:textAlignment w:val="center"/>
              <w:rPr>
                <w:color w:val="auto"/>
                <w:kern w:val="0"/>
                <w:szCs w:val="21"/>
              </w:rPr>
            </w:pPr>
            <w:r>
              <w:rPr>
                <w:color w:val="auto"/>
                <w:kern w:val="0"/>
                <w:szCs w:val="21"/>
              </w:rPr>
              <w:t>-</w:t>
            </w:r>
          </w:p>
        </w:tc>
      </w:tr>
      <w:tr w14:paraId="088DE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65928FD3">
            <w:pPr>
              <w:widowControl/>
              <w:jc w:val="center"/>
              <w:rPr>
                <w:color w:val="auto"/>
                <w:kern w:val="0"/>
                <w:szCs w:val="21"/>
              </w:rPr>
            </w:pPr>
            <w:r>
              <w:rPr>
                <w:color w:val="auto"/>
                <w:kern w:val="0"/>
                <w:szCs w:val="21"/>
              </w:rPr>
              <w:t>灌丛及灌草丛</w:t>
            </w:r>
          </w:p>
        </w:tc>
        <w:tc>
          <w:tcPr>
            <w:tcW w:w="968" w:type="pct"/>
            <w:tcBorders>
              <w:tl2br w:val="nil"/>
              <w:tr2bl w:val="nil"/>
            </w:tcBorders>
            <w:vAlign w:val="center"/>
          </w:tcPr>
          <w:p w14:paraId="42A47C6D">
            <w:pPr>
              <w:widowControl/>
              <w:jc w:val="center"/>
              <w:textAlignment w:val="center"/>
              <w:rPr>
                <w:color w:val="auto"/>
                <w:kern w:val="0"/>
                <w:szCs w:val="21"/>
              </w:rPr>
            </w:pPr>
            <w:r>
              <w:rPr>
                <w:color w:val="auto"/>
                <w:kern w:val="0"/>
                <w:szCs w:val="21"/>
              </w:rPr>
              <w:t>-</w:t>
            </w:r>
          </w:p>
        </w:tc>
        <w:tc>
          <w:tcPr>
            <w:tcW w:w="1093" w:type="pct"/>
            <w:tcBorders>
              <w:tl2br w:val="nil"/>
              <w:tr2bl w:val="nil"/>
            </w:tcBorders>
            <w:vAlign w:val="center"/>
          </w:tcPr>
          <w:p w14:paraId="3B463538">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0F747419">
            <w:pPr>
              <w:widowControl/>
              <w:jc w:val="center"/>
              <w:textAlignment w:val="center"/>
              <w:rPr>
                <w:color w:val="auto"/>
                <w:kern w:val="0"/>
                <w:szCs w:val="21"/>
              </w:rPr>
            </w:pPr>
            <w:r>
              <w:rPr>
                <w:color w:val="auto"/>
                <w:kern w:val="0"/>
                <w:szCs w:val="21"/>
              </w:rPr>
              <w:t>-</w:t>
            </w:r>
          </w:p>
        </w:tc>
        <w:tc>
          <w:tcPr>
            <w:tcW w:w="1041" w:type="pct"/>
            <w:tcBorders>
              <w:tl2br w:val="nil"/>
              <w:tr2bl w:val="nil"/>
            </w:tcBorders>
            <w:vAlign w:val="center"/>
          </w:tcPr>
          <w:p w14:paraId="019692E4">
            <w:pPr>
              <w:widowControl/>
              <w:jc w:val="center"/>
              <w:textAlignment w:val="center"/>
              <w:rPr>
                <w:color w:val="auto"/>
                <w:kern w:val="0"/>
                <w:szCs w:val="21"/>
              </w:rPr>
            </w:pPr>
            <w:r>
              <w:rPr>
                <w:color w:val="auto"/>
                <w:kern w:val="0"/>
                <w:szCs w:val="21"/>
              </w:rPr>
              <w:t>-</w:t>
            </w:r>
          </w:p>
        </w:tc>
      </w:tr>
      <w:tr w14:paraId="7F57D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466F1183">
            <w:pPr>
              <w:widowControl/>
              <w:jc w:val="center"/>
              <w:rPr>
                <w:color w:val="auto"/>
                <w:kern w:val="0"/>
                <w:szCs w:val="21"/>
              </w:rPr>
            </w:pPr>
            <w:r>
              <w:rPr>
                <w:color w:val="auto"/>
                <w:kern w:val="0"/>
                <w:szCs w:val="21"/>
              </w:rPr>
              <w:t>农业植被</w:t>
            </w:r>
          </w:p>
        </w:tc>
        <w:tc>
          <w:tcPr>
            <w:tcW w:w="968" w:type="pct"/>
            <w:tcBorders>
              <w:tl2br w:val="nil"/>
              <w:tr2bl w:val="nil"/>
            </w:tcBorders>
            <w:vAlign w:val="center"/>
          </w:tcPr>
          <w:p w14:paraId="2DFF95F6">
            <w:pPr>
              <w:widowControl/>
              <w:jc w:val="center"/>
              <w:textAlignment w:val="center"/>
              <w:rPr>
                <w:color w:val="auto"/>
                <w:kern w:val="0"/>
                <w:szCs w:val="21"/>
              </w:rPr>
            </w:pPr>
            <w:r>
              <w:rPr>
                <w:color w:val="auto"/>
                <w:kern w:val="0"/>
                <w:szCs w:val="21"/>
              </w:rPr>
              <w:t>-</w:t>
            </w:r>
          </w:p>
        </w:tc>
        <w:tc>
          <w:tcPr>
            <w:tcW w:w="1093" w:type="pct"/>
            <w:tcBorders>
              <w:tl2br w:val="nil"/>
              <w:tr2bl w:val="nil"/>
            </w:tcBorders>
            <w:vAlign w:val="center"/>
          </w:tcPr>
          <w:p w14:paraId="4128C58D">
            <w:pPr>
              <w:widowControl/>
              <w:jc w:val="center"/>
              <w:textAlignment w:val="center"/>
              <w:rPr>
                <w:color w:val="auto"/>
                <w:kern w:val="0"/>
                <w:szCs w:val="21"/>
              </w:rPr>
            </w:pPr>
            <w:r>
              <w:rPr>
                <w:color w:val="auto"/>
                <w:kern w:val="0"/>
                <w:szCs w:val="21"/>
              </w:rPr>
              <w:t>-</w:t>
            </w:r>
          </w:p>
        </w:tc>
        <w:tc>
          <w:tcPr>
            <w:tcW w:w="857" w:type="pct"/>
            <w:tcBorders>
              <w:tl2br w:val="nil"/>
              <w:tr2bl w:val="nil"/>
            </w:tcBorders>
            <w:vAlign w:val="center"/>
          </w:tcPr>
          <w:p w14:paraId="542F7B21">
            <w:pPr>
              <w:widowControl/>
              <w:jc w:val="center"/>
              <w:textAlignment w:val="center"/>
              <w:rPr>
                <w:color w:val="auto"/>
                <w:kern w:val="0"/>
                <w:szCs w:val="21"/>
              </w:rPr>
            </w:pPr>
            <w:r>
              <w:rPr>
                <w:color w:val="auto"/>
                <w:kern w:val="0"/>
                <w:szCs w:val="21"/>
              </w:rPr>
              <w:t>-</w:t>
            </w:r>
          </w:p>
        </w:tc>
        <w:tc>
          <w:tcPr>
            <w:tcW w:w="1041" w:type="pct"/>
            <w:tcBorders>
              <w:tl2br w:val="nil"/>
              <w:tr2bl w:val="nil"/>
            </w:tcBorders>
            <w:vAlign w:val="center"/>
          </w:tcPr>
          <w:p w14:paraId="3C9370B6">
            <w:pPr>
              <w:widowControl/>
              <w:jc w:val="center"/>
              <w:textAlignment w:val="center"/>
              <w:rPr>
                <w:color w:val="auto"/>
                <w:kern w:val="0"/>
                <w:szCs w:val="21"/>
              </w:rPr>
            </w:pPr>
            <w:r>
              <w:rPr>
                <w:color w:val="auto"/>
                <w:kern w:val="0"/>
                <w:szCs w:val="21"/>
              </w:rPr>
              <w:t>-</w:t>
            </w:r>
          </w:p>
        </w:tc>
      </w:tr>
      <w:tr w14:paraId="2AEE2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6858AA16">
            <w:pPr>
              <w:widowControl/>
              <w:jc w:val="center"/>
              <w:rPr>
                <w:color w:val="auto"/>
                <w:kern w:val="0"/>
                <w:szCs w:val="21"/>
              </w:rPr>
            </w:pPr>
            <w:r>
              <w:rPr>
                <w:color w:val="auto"/>
                <w:kern w:val="0"/>
                <w:szCs w:val="21"/>
              </w:rPr>
              <w:t>水域</w:t>
            </w:r>
          </w:p>
        </w:tc>
        <w:tc>
          <w:tcPr>
            <w:tcW w:w="968" w:type="pct"/>
            <w:tcBorders>
              <w:tl2br w:val="nil"/>
              <w:tr2bl w:val="nil"/>
            </w:tcBorders>
            <w:vAlign w:val="center"/>
          </w:tcPr>
          <w:p w14:paraId="2C81F685">
            <w:pPr>
              <w:widowControl/>
              <w:jc w:val="center"/>
              <w:textAlignment w:val="center"/>
              <w:rPr>
                <w:color w:val="auto"/>
                <w:kern w:val="0"/>
                <w:szCs w:val="21"/>
              </w:rPr>
            </w:pPr>
            <w:r>
              <w:rPr>
                <w:color w:val="auto"/>
                <w:kern w:val="0"/>
                <w:szCs w:val="21"/>
              </w:rPr>
              <w:t>-50</w:t>
            </w:r>
          </w:p>
        </w:tc>
        <w:tc>
          <w:tcPr>
            <w:tcW w:w="1093" w:type="pct"/>
            <w:tcBorders>
              <w:tl2br w:val="nil"/>
              <w:tr2bl w:val="nil"/>
            </w:tcBorders>
            <w:vAlign w:val="center"/>
          </w:tcPr>
          <w:p w14:paraId="10DB0EB5">
            <w:pPr>
              <w:widowControl/>
              <w:jc w:val="center"/>
              <w:textAlignment w:val="center"/>
              <w:rPr>
                <w:color w:val="auto"/>
                <w:kern w:val="0"/>
                <w:szCs w:val="21"/>
              </w:rPr>
            </w:pPr>
            <w:r>
              <w:rPr>
                <w:color w:val="auto"/>
                <w:kern w:val="0"/>
                <w:szCs w:val="21"/>
              </w:rPr>
              <w:t>1.2</w:t>
            </w:r>
          </w:p>
        </w:tc>
        <w:tc>
          <w:tcPr>
            <w:tcW w:w="857" w:type="pct"/>
            <w:tcBorders>
              <w:tl2br w:val="nil"/>
              <w:tr2bl w:val="nil"/>
            </w:tcBorders>
            <w:vAlign w:val="center"/>
          </w:tcPr>
          <w:p w14:paraId="3ECFE6AF">
            <w:pPr>
              <w:widowControl/>
              <w:jc w:val="center"/>
              <w:textAlignment w:val="center"/>
              <w:rPr>
                <w:color w:val="auto"/>
                <w:kern w:val="0"/>
                <w:szCs w:val="21"/>
              </w:rPr>
            </w:pPr>
            <w:r>
              <w:rPr>
                <w:color w:val="auto"/>
                <w:kern w:val="0"/>
                <w:szCs w:val="21"/>
              </w:rPr>
              <w:t>-60</w:t>
            </w:r>
          </w:p>
        </w:tc>
        <w:tc>
          <w:tcPr>
            <w:tcW w:w="1041" w:type="pct"/>
            <w:tcBorders>
              <w:tl2br w:val="nil"/>
              <w:tr2bl w:val="nil"/>
            </w:tcBorders>
            <w:vAlign w:val="center"/>
          </w:tcPr>
          <w:p w14:paraId="48D19281">
            <w:pPr>
              <w:widowControl/>
              <w:jc w:val="center"/>
              <w:textAlignment w:val="center"/>
              <w:rPr>
                <w:color w:val="auto"/>
                <w:kern w:val="0"/>
                <w:szCs w:val="21"/>
              </w:rPr>
            </w:pPr>
            <w:r>
              <w:rPr>
                <w:color w:val="auto"/>
                <w:kern w:val="0"/>
                <w:szCs w:val="21"/>
              </w:rPr>
              <w:t>-1.53</w:t>
            </w:r>
          </w:p>
        </w:tc>
      </w:tr>
      <w:tr w14:paraId="59C2B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l2br w:val="nil"/>
              <w:tr2bl w:val="nil"/>
            </w:tcBorders>
            <w:vAlign w:val="center"/>
          </w:tcPr>
          <w:p w14:paraId="0DF13ADD">
            <w:pPr>
              <w:widowControl/>
              <w:jc w:val="center"/>
              <w:rPr>
                <w:color w:val="auto"/>
                <w:kern w:val="0"/>
                <w:szCs w:val="21"/>
              </w:rPr>
            </w:pPr>
            <w:r>
              <w:rPr>
                <w:color w:val="auto"/>
                <w:kern w:val="0"/>
                <w:szCs w:val="21"/>
              </w:rPr>
              <w:t>合计</w:t>
            </w:r>
          </w:p>
        </w:tc>
        <w:tc>
          <w:tcPr>
            <w:tcW w:w="968" w:type="pct"/>
            <w:tcBorders>
              <w:tl2br w:val="nil"/>
              <w:tr2bl w:val="nil"/>
            </w:tcBorders>
            <w:vAlign w:val="center"/>
          </w:tcPr>
          <w:p w14:paraId="7A6BDA51">
            <w:pPr>
              <w:widowControl/>
              <w:jc w:val="center"/>
              <w:textAlignment w:val="center"/>
              <w:rPr>
                <w:color w:val="auto"/>
                <w:kern w:val="0"/>
                <w:szCs w:val="21"/>
              </w:rPr>
            </w:pPr>
            <w:r>
              <w:rPr>
                <w:color w:val="auto"/>
                <w:kern w:val="0"/>
                <w:szCs w:val="21"/>
              </w:rPr>
              <w:t>-50</w:t>
            </w:r>
          </w:p>
        </w:tc>
        <w:tc>
          <w:tcPr>
            <w:tcW w:w="1093" w:type="pct"/>
            <w:tcBorders>
              <w:tl2br w:val="nil"/>
              <w:tr2bl w:val="nil"/>
            </w:tcBorders>
            <w:vAlign w:val="center"/>
          </w:tcPr>
          <w:p w14:paraId="16A351CF">
            <w:pPr>
              <w:widowControl/>
              <w:jc w:val="center"/>
              <w:textAlignment w:val="center"/>
              <w:rPr>
                <w:color w:val="auto"/>
                <w:kern w:val="0"/>
                <w:szCs w:val="21"/>
              </w:rPr>
            </w:pPr>
            <w:r>
              <w:rPr>
                <w:color w:val="auto"/>
                <w:kern w:val="0"/>
                <w:szCs w:val="21"/>
              </w:rPr>
              <w:t>1.2</w:t>
            </w:r>
          </w:p>
        </w:tc>
        <w:tc>
          <w:tcPr>
            <w:tcW w:w="857" w:type="pct"/>
            <w:tcBorders>
              <w:tl2br w:val="nil"/>
              <w:tr2bl w:val="nil"/>
            </w:tcBorders>
            <w:vAlign w:val="center"/>
          </w:tcPr>
          <w:p w14:paraId="128639C2">
            <w:pPr>
              <w:widowControl/>
              <w:jc w:val="center"/>
              <w:textAlignment w:val="center"/>
              <w:rPr>
                <w:color w:val="auto"/>
                <w:kern w:val="0"/>
                <w:szCs w:val="21"/>
              </w:rPr>
            </w:pPr>
            <w:r>
              <w:rPr>
                <w:color w:val="auto"/>
                <w:kern w:val="0"/>
                <w:szCs w:val="21"/>
              </w:rPr>
              <w:t>-60</w:t>
            </w:r>
          </w:p>
        </w:tc>
        <w:tc>
          <w:tcPr>
            <w:tcW w:w="1041" w:type="pct"/>
            <w:tcBorders>
              <w:tl2br w:val="nil"/>
              <w:tr2bl w:val="nil"/>
            </w:tcBorders>
            <w:vAlign w:val="center"/>
          </w:tcPr>
          <w:p w14:paraId="42628CDC">
            <w:pPr>
              <w:widowControl/>
              <w:jc w:val="center"/>
              <w:textAlignment w:val="center"/>
              <w:rPr>
                <w:color w:val="auto"/>
                <w:kern w:val="0"/>
                <w:szCs w:val="21"/>
              </w:rPr>
            </w:pPr>
            <w:r>
              <w:rPr>
                <w:color w:val="auto"/>
                <w:kern w:val="0"/>
                <w:szCs w:val="21"/>
              </w:rPr>
              <w:t>-1.53</w:t>
            </w:r>
          </w:p>
        </w:tc>
      </w:tr>
    </w:tbl>
    <w:p w14:paraId="1DB61653">
      <w:pPr>
        <w:spacing w:line="360" w:lineRule="auto"/>
        <w:ind w:firstLine="420" w:firstLineChars="200"/>
        <w:rPr>
          <w:color w:val="auto"/>
          <w:kern w:val="0"/>
          <w:sz w:val="24"/>
        </w:rPr>
      </w:pPr>
      <w:r>
        <w:rPr>
          <w:color w:val="auto"/>
          <w:kern w:val="0"/>
          <w:szCs w:val="21"/>
        </w:rPr>
        <w:t>注：未包括占用建设用地及其他用地面积。</w:t>
      </w:r>
    </w:p>
    <w:p w14:paraId="6D8322D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7.2景观生态体系质量综合评价</w:t>
      </w:r>
    </w:p>
    <w:p w14:paraId="5ADBED17">
      <w:pPr>
        <w:adjustRightInd w:val="0"/>
        <w:spacing w:line="360" w:lineRule="auto"/>
        <w:jc w:val="left"/>
        <w:outlineLvl w:val="3"/>
        <w:rPr>
          <w:b/>
          <w:bCs/>
          <w:color w:val="auto"/>
          <w:sz w:val="24"/>
        </w:rPr>
      </w:pPr>
      <w:r>
        <w:rPr>
          <w:rFonts w:hint="eastAsia"/>
          <w:b/>
          <w:bCs/>
          <w:color w:val="auto"/>
          <w:sz w:val="24"/>
        </w:rPr>
        <w:t>4.</w:t>
      </w:r>
      <w:r>
        <w:rPr>
          <w:b/>
          <w:bCs/>
          <w:color w:val="auto"/>
          <w:sz w:val="24"/>
        </w:rPr>
        <w:t>7.2.1恢复稳定性分析</w:t>
      </w:r>
    </w:p>
    <w:p w14:paraId="42236FAF">
      <w:pPr>
        <w:spacing w:line="360" w:lineRule="auto"/>
        <w:ind w:firstLine="480" w:firstLineChars="200"/>
        <w:rPr>
          <w:color w:val="auto"/>
          <w:kern w:val="0"/>
          <w:sz w:val="24"/>
        </w:rPr>
      </w:pPr>
      <w:r>
        <w:rPr>
          <w:color w:val="auto"/>
          <w:kern w:val="0"/>
          <w:sz w:val="24"/>
        </w:rPr>
        <w:t>工程建成后，各种土地类型发生变化，村落拼块类型的面积减少，林地、灌草地、湿地增加，施工结束后各种植被类型的面积和比例与现状基本相当，模地依然是耕地，生态系统依然保持稳定。工程建设造成评价范围生态系统生物量减少，工程建成后水域减少将使评价范围的生物量减少60t，仅减少1.53%，减小幅度未超过评价区生态系统的的生态承载力。因此，工程引起的干扰是可以承受的，生态系统的稳定性的改变很小。</w:t>
      </w:r>
    </w:p>
    <w:p w14:paraId="64806EBA">
      <w:pPr>
        <w:spacing w:line="360" w:lineRule="auto"/>
        <w:ind w:firstLine="480" w:firstLineChars="200"/>
        <w:rPr>
          <w:color w:val="auto"/>
          <w:kern w:val="0"/>
          <w:sz w:val="24"/>
        </w:rPr>
      </w:pPr>
      <w:r>
        <w:rPr>
          <w:color w:val="auto"/>
          <w:kern w:val="0"/>
          <w:sz w:val="24"/>
        </w:rPr>
        <w:t>工程建设所造成的区域土地利用格局的变化，将对区域自然体系的空间结构影响很小，通过工程涉及区域自然生态体系的自我调节，工程运行一段时期后，工程影响区自然体系的性质和功能将得到恢复。</w:t>
      </w:r>
    </w:p>
    <w:p w14:paraId="2E24D3D3">
      <w:pPr>
        <w:adjustRightInd w:val="0"/>
        <w:spacing w:line="360" w:lineRule="auto"/>
        <w:jc w:val="left"/>
        <w:outlineLvl w:val="3"/>
        <w:rPr>
          <w:b/>
          <w:bCs/>
          <w:color w:val="auto"/>
          <w:sz w:val="24"/>
        </w:rPr>
      </w:pPr>
      <w:r>
        <w:rPr>
          <w:rFonts w:hint="eastAsia"/>
          <w:b/>
          <w:bCs/>
          <w:color w:val="auto"/>
          <w:sz w:val="24"/>
        </w:rPr>
        <w:t>4.</w:t>
      </w:r>
      <w:r>
        <w:rPr>
          <w:b/>
          <w:bCs/>
          <w:color w:val="auto"/>
          <w:sz w:val="24"/>
        </w:rPr>
        <w:t>7.2.2阻抗稳定性分析</w:t>
      </w:r>
    </w:p>
    <w:p w14:paraId="55DF21F7">
      <w:pPr>
        <w:spacing w:line="360" w:lineRule="auto"/>
        <w:ind w:firstLine="480" w:firstLineChars="200"/>
        <w:rPr>
          <w:color w:val="auto"/>
          <w:kern w:val="0"/>
          <w:sz w:val="24"/>
        </w:rPr>
      </w:pPr>
      <w:r>
        <w:rPr>
          <w:color w:val="auto"/>
          <w:kern w:val="0"/>
          <w:sz w:val="24"/>
        </w:rPr>
        <w:t>自然系统的阻抗稳定性是由系统中生物组分异质性的高低决定的。异质性是指一个区域里</w:t>
      </w:r>
      <w:r>
        <w:rPr>
          <w:rFonts w:hint="eastAsia"/>
          <w:color w:val="auto"/>
          <w:kern w:val="0"/>
          <w:sz w:val="24"/>
        </w:rPr>
        <w:t>（</w:t>
      </w:r>
      <w:r>
        <w:rPr>
          <w:color w:val="auto"/>
          <w:kern w:val="0"/>
          <w:sz w:val="24"/>
        </w:rPr>
        <w:t>景观或生态系统</w:t>
      </w:r>
      <w:r>
        <w:rPr>
          <w:rFonts w:hint="eastAsia"/>
          <w:color w:val="auto"/>
          <w:kern w:val="0"/>
          <w:sz w:val="24"/>
        </w:rPr>
        <w:t>）</w:t>
      </w:r>
      <w:r>
        <w:rPr>
          <w:color w:val="auto"/>
          <w:kern w:val="0"/>
          <w:sz w:val="24"/>
        </w:rPr>
        <w:t>对一个种或更高级的生物组织的存在起决定作用的资源</w:t>
      </w:r>
      <w:r>
        <w:rPr>
          <w:rFonts w:hint="eastAsia"/>
          <w:color w:val="auto"/>
          <w:kern w:val="0"/>
          <w:sz w:val="24"/>
        </w:rPr>
        <w:t>（</w:t>
      </w:r>
      <w:r>
        <w:rPr>
          <w:color w:val="auto"/>
          <w:kern w:val="0"/>
          <w:sz w:val="24"/>
        </w:rPr>
        <w:t>或某种性质</w:t>
      </w:r>
      <w:r>
        <w:rPr>
          <w:rFonts w:hint="eastAsia"/>
          <w:color w:val="auto"/>
          <w:kern w:val="0"/>
          <w:sz w:val="24"/>
        </w:rPr>
        <w:t>）</w:t>
      </w:r>
      <w:r>
        <w:rPr>
          <w:color w:val="auto"/>
          <w:kern w:val="0"/>
          <w:sz w:val="24"/>
        </w:rPr>
        <w:t>在空间或时间上的变异程度</w:t>
      </w:r>
      <w:r>
        <w:rPr>
          <w:rFonts w:hint="eastAsia"/>
          <w:color w:val="auto"/>
          <w:kern w:val="0"/>
          <w:sz w:val="24"/>
        </w:rPr>
        <w:t>（</w:t>
      </w:r>
      <w:r>
        <w:rPr>
          <w:color w:val="auto"/>
          <w:kern w:val="0"/>
          <w:sz w:val="24"/>
        </w:rPr>
        <w:t>或强度</w:t>
      </w:r>
      <w:r>
        <w:rPr>
          <w:rFonts w:hint="eastAsia"/>
          <w:color w:val="auto"/>
          <w:kern w:val="0"/>
          <w:sz w:val="24"/>
        </w:rPr>
        <w:t>）</w:t>
      </w:r>
      <w:r>
        <w:rPr>
          <w:color w:val="auto"/>
          <w:kern w:val="0"/>
          <w:sz w:val="24"/>
        </w:rPr>
        <w:t>。由于异质性的组分具有不同的生态位，给动物物种和植物物种的栖息、移动以及抵御内外干扰提供了复杂和微妙的相应利用关系。</w:t>
      </w:r>
    </w:p>
    <w:p w14:paraId="6C26D22D">
      <w:pPr>
        <w:spacing w:line="360" w:lineRule="auto"/>
        <w:ind w:firstLine="480" w:firstLineChars="200"/>
        <w:rPr>
          <w:color w:val="auto"/>
          <w:kern w:val="0"/>
          <w:sz w:val="24"/>
        </w:rPr>
      </w:pPr>
      <w:r>
        <w:rPr>
          <w:color w:val="auto"/>
          <w:kern w:val="0"/>
          <w:sz w:val="24"/>
        </w:rPr>
        <w:t>另一方面，异质化程度高的自然系统，当某一斑块形成干扰源时，相邻的异质性组分就成为了干扰的阻断，从而达到增强生态体系抗御内外干扰的作用，有利于体系生态稳定性的提高。</w:t>
      </w:r>
    </w:p>
    <w:p w14:paraId="2859F332">
      <w:pPr>
        <w:spacing w:line="360" w:lineRule="auto"/>
        <w:ind w:firstLine="480" w:firstLineChars="200"/>
        <w:rPr>
          <w:color w:val="auto"/>
          <w:kern w:val="0"/>
          <w:sz w:val="24"/>
        </w:rPr>
      </w:pPr>
      <w:r>
        <w:rPr>
          <w:color w:val="auto"/>
          <w:kern w:val="0"/>
          <w:sz w:val="24"/>
        </w:rPr>
        <w:t>评价区内主要为水域和湿地，工程建成和运行后，评价区内土地利用格局发生变化，水域面积相应减少，林地、草地、湿地面积增加。对区域自然体系生态完整性的影响由工程施工及其活动引起，工程实施后，林地、草地、湿地增加，其他地类则相应减少。在工程实施后，评价区内的绿地面积增加，区域自然生态体系生产能力和稳定状况发生改变，对本区域生态完整性具有一定有利影响，但整个评价区内绿地面积增加的比例很小，对评价区整个生态系统内的生物组分有利较小，因此系统内的阻抗稳定性变化有限。</w:t>
      </w:r>
    </w:p>
    <w:p w14:paraId="1DD39FE8">
      <w:pPr>
        <w:adjustRightInd w:val="0"/>
        <w:spacing w:line="360" w:lineRule="auto"/>
        <w:jc w:val="left"/>
        <w:outlineLvl w:val="3"/>
        <w:rPr>
          <w:b/>
          <w:bCs/>
          <w:color w:val="auto"/>
          <w:sz w:val="24"/>
        </w:rPr>
      </w:pPr>
      <w:r>
        <w:rPr>
          <w:rFonts w:hint="eastAsia"/>
          <w:b/>
          <w:bCs/>
          <w:color w:val="auto"/>
          <w:sz w:val="24"/>
        </w:rPr>
        <w:t>4.</w:t>
      </w:r>
      <w:r>
        <w:rPr>
          <w:b/>
          <w:bCs/>
          <w:color w:val="auto"/>
          <w:sz w:val="24"/>
        </w:rPr>
        <w:t>7.2.3景观生态体系质量综合评价</w:t>
      </w:r>
    </w:p>
    <w:p w14:paraId="5AAA397B">
      <w:pPr>
        <w:spacing w:line="360" w:lineRule="auto"/>
        <w:ind w:firstLine="482" w:firstLineChars="200"/>
        <w:rPr>
          <w:b/>
          <w:bCs/>
          <w:color w:val="auto"/>
          <w:kern w:val="0"/>
          <w:sz w:val="24"/>
        </w:rPr>
      </w:pPr>
      <w:r>
        <w:rPr>
          <w:b/>
          <w:bCs/>
          <w:color w:val="auto"/>
          <w:kern w:val="0"/>
          <w:sz w:val="24"/>
        </w:rPr>
        <w:t>1、对景观/生态系统类型及其特有程度等影响</w:t>
      </w:r>
    </w:p>
    <w:p w14:paraId="4F6C1859">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影响评价区景观/生态系统主要以森林景观、草地景观、耕地景观、水域湿地景观、村镇景观等为主，类型较为简单，植物均为当地常见物种，主要为阔叶林、针叶林等人工植被及常见灌草，植被景观在自然保护区内分布较为普遍，非特有生态景观。因此，项目建设对保护区景观/生态系统类型及其特有程度影响为中低度影响。</w:t>
      </w:r>
    </w:p>
    <w:p w14:paraId="00EEE10F">
      <w:pPr>
        <w:spacing w:line="360" w:lineRule="auto"/>
        <w:ind w:firstLine="482" w:firstLineChars="200"/>
        <w:rPr>
          <w:b/>
          <w:bCs/>
          <w:color w:val="auto"/>
          <w:kern w:val="0"/>
          <w:sz w:val="24"/>
        </w:rPr>
      </w:pPr>
      <w:r>
        <w:rPr>
          <w:b/>
          <w:bCs/>
          <w:color w:val="auto"/>
          <w:kern w:val="0"/>
          <w:sz w:val="24"/>
        </w:rPr>
        <w:t>2、对景观类型/面积变化的影响</w:t>
      </w:r>
    </w:p>
    <w:p w14:paraId="673C9DF1">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主要对原有散户鱼塘进行升级改造，建设池塘工程化循环水养殖场，取代散户不规范养殖，养殖尾水采用吸污泵+尾水塔+人工湿地处理后满足《渔业水质标准》（GB11607-89）表一一级标准限值要求后回用，其目的为治理改善区域水生态环境，持续发挥水生态环境保护修复作用。评价区内景观类型以水域湿地景观和耕地景观为主，面积分别为213.265公顷、121.852公顷，占评价区总面积的44.77%、25.58%。项目工程区主要为养殖鱼塘，景观多样性指数相对较低，工程实施期间，临时开挖地表、清理杂灌杂草杂物、建设护坡等工程会使得周边景观面积减少。根据工程建设实施，临时开挖地表恢复原状、岸坡修复及净水植物补植、边坡清理、沉水植物种植和沟渠岸线植物改造等工程的实施，将大幅提高片区自然景观的丰富度和质量，对区域内的自然景观的提升是起着积极促进作用的。</w:t>
      </w:r>
    </w:p>
    <w:p w14:paraId="1B8407D0">
      <w:pPr>
        <w:spacing w:line="360" w:lineRule="auto"/>
        <w:ind w:firstLine="482" w:firstLineChars="200"/>
        <w:rPr>
          <w:b/>
          <w:bCs/>
          <w:color w:val="auto"/>
          <w:kern w:val="0"/>
          <w:sz w:val="24"/>
        </w:rPr>
      </w:pPr>
      <w:r>
        <w:rPr>
          <w:b/>
          <w:bCs/>
          <w:color w:val="auto"/>
          <w:kern w:val="0"/>
          <w:sz w:val="24"/>
        </w:rPr>
        <w:t>3、对景观类型/斑块数量的影响</w:t>
      </w:r>
    </w:p>
    <w:p w14:paraId="332C6CA9">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景观结构的基本组成要素包括斑块、廊道和基质，它们的时空配置形成的镶嵌格局即为景观结构。项目施工期由于施工机械进场、材料临时堆积将改变影响评价区局部景观斑块的数量、形状以及对镶嵌结构造成一定的影响，但项目本身对原有散户鱼塘进行升级改造，建设池塘工程化循环水养殖场，取代散户不规范养殖，通过工程的建设，区域内景观类型/斑块数量将明显提升，且生态功能更优，整体而言，本项目的实施对景观类型/斑块数量的影响是积极正面的。</w:t>
      </w:r>
    </w:p>
    <w:p w14:paraId="4A516EC7">
      <w:pPr>
        <w:spacing w:line="360" w:lineRule="auto"/>
        <w:ind w:firstLine="482" w:firstLineChars="200"/>
        <w:rPr>
          <w:b/>
          <w:bCs/>
          <w:color w:val="auto"/>
          <w:kern w:val="0"/>
          <w:sz w:val="24"/>
        </w:rPr>
      </w:pPr>
      <w:r>
        <w:rPr>
          <w:b/>
          <w:bCs/>
          <w:color w:val="auto"/>
          <w:kern w:val="0"/>
          <w:sz w:val="24"/>
        </w:rPr>
        <w:t>4、对景观美学价值的影响</w:t>
      </w:r>
    </w:p>
    <w:p w14:paraId="3113AAE6">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工程位于自然保护区的实验区，在工程施工期间，因需开展植被清理、材料堆放、地表开挖等工作，一定程度上会对区域内的自然性和美学造成负面影响，如施工期间会对部分施工区进行暂时工程围蔽、施工过程中造成水体浑浊、植被清理后地表裸露、生态护岸植被尚未恢复期间景观效果不明显等。但随着工程的实施完成并投入使用后，这些影响将随之消除，施工区域将恢复植被覆盖，流域水质明显改善，湿地及周边景观的观赏性较之前更优，对美学、经济和文化价值具有明显的促进作用。</w:t>
      </w:r>
    </w:p>
    <w:p w14:paraId="5A9014E4">
      <w:pPr>
        <w:spacing w:line="360" w:lineRule="auto"/>
        <w:ind w:firstLine="482" w:firstLineChars="200"/>
        <w:rPr>
          <w:b/>
          <w:bCs/>
          <w:color w:val="auto"/>
          <w:kern w:val="0"/>
          <w:sz w:val="24"/>
        </w:rPr>
      </w:pPr>
      <w:r>
        <w:rPr>
          <w:b/>
          <w:bCs/>
          <w:color w:val="auto"/>
          <w:kern w:val="0"/>
          <w:sz w:val="24"/>
        </w:rPr>
        <w:t>5、对土壤侵蚀及地质灾害的影响</w:t>
      </w:r>
    </w:p>
    <w:p w14:paraId="647E58C6">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在施工过程中，具体影响有：施工开挖后堆土裸露遇到雨水天气容易造成水土流失，流入周边水土容易造成水体浑浊；岸坡加固建设中需对现有边坡植被进行清理作业，表层的土松散裸露，在植被恢复之前抗蚀能力减弱。还需对周边现有杂树杂灌杂草进行清理，表层土松散裸露，在植被恢复之前抗蚀能力减弱，在雨水、水流冲刷以及风蚀作用下易产生水土流失。综合评价，项目建设总工期预计12个月，且工程有制定水土保持方案，临时堆土会及时进行清运和遮盖，在落实水土保持措施、做好详细前期地质勘探的情况下，能有效消减水土流失及地质灾害负面影响、同时，项目建设区域地势较平坦，坡度较小，导致发生土壤侵蚀和地质灾害的可能性较小。工程施工完成后，植被逐步恢复，抗冲刷力更强，相较建设前更不易造成水土流失和地质灾害。</w:t>
      </w:r>
    </w:p>
    <w:p w14:paraId="5E209DFD">
      <w:pPr>
        <w:spacing w:line="360" w:lineRule="auto"/>
        <w:ind w:firstLine="482" w:firstLineChars="200"/>
        <w:rPr>
          <w:b/>
          <w:bCs/>
          <w:color w:val="auto"/>
          <w:kern w:val="0"/>
          <w:sz w:val="24"/>
        </w:rPr>
      </w:pPr>
      <w:r>
        <w:rPr>
          <w:b/>
          <w:bCs/>
          <w:color w:val="auto"/>
          <w:kern w:val="0"/>
          <w:sz w:val="24"/>
        </w:rPr>
        <w:t>6、对自然植被覆盖度的影响</w:t>
      </w:r>
    </w:p>
    <w:p w14:paraId="2459C8A1">
      <w:pPr>
        <w:pStyle w:val="61"/>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建设施工期将对地表原有自然植被进行清理，短期内会造成自然植被覆盖度的降低。经现地调查，工程清表作业区域的自然植被主要以加杨、桑、构树、狗牙根、毛轴莎草、酸模叶蓼、萎蒿、芦苇、凤眼莲、空心莲子草等为主，在保护区内及周边区域均较为常见，且影响自然植被覆盖的施工区域仅限于工程地表开挖区域。项目实施将会合理配置、种植适宜植物、清理外来物种凤眼莲、空心莲子草等外来物种，流域水质的改善将更有利于自然植物生长和植被恢复，物种更为丰富，自然植被覆盖度对比之前将更高，其影响是正面且可持续的。</w:t>
      </w:r>
    </w:p>
    <w:p w14:paraId="23729A89">
      <w:pPr>
        <w:pStyle w:val="82"/>
        <w:widowControl w:val="0"/>
        <w:spacing w:line="360" w:lineRule="auto"/>
        <w:outlineLvl w:val="1"/>
        <w:rPr>
          <w:rFonts w:ascii="Times New Roman" w:hAnsi="Times New Roman" w:eastAsia="宋体" w:cs="Times New Roman"/>
          <w:b/>
          <w:color w:val="auto"/>
          <w:sz w:val="30"/>
          <w:szCs w:val="30"/>
        </w:rPr>
      </w:pPr>
      <w:bookmarkStart w:id="170" w:name="_Toc23408"/>
      <w:bookmarkStart w:id="171" w:name="_Toc21486"/>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8对生态敏感区的影响分析</w:t>
      </w:r>
      <w:bookmarkEnd w:id="170"/>
      <w:bookmarkEnd w:id="171"/>
    </w:p>
    <w:p w14:paraId="7E9F4FA2">
      <w:pPr>
        <w:spacing w:line="360" w:lineRule="auto"/>
        <w:ind w:firstLine="480" w:firstLineChars="200"/>
        <w:rPr>
          <w:color w:val="auto"/>
          <w:kern w:val="28"/>
          <w:sz w:val="24"/>
        </w:rPr>
      </w:pPr>
      <w:r>
        <w:rPr>
          <w:color w:val="auto"/>
          <w:kern w:val="28"/>
          <w:sz w:val="24"/>
        </w:rPr>
        <w:t>据核实，项目共涉及2个敏感区，分别为湖南东洞庭湖国家级自然保护区、东洞庭湖国际重要湿地。</w:t>
      </w:r>
    </w:p>
    <w:p w14:paraId="40BF003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8.1对自然保护区的影响分析</w:t>
      </w:r>
    </w:p>
    <w:p w14:paraId="7A77723A">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东洞庭湖自然保护区保护对象主要为黑鹳、白鹤等珍稀濒危野生动物以及越冬候鸟栖息地，保护区的鸟类在每年的冬季数量较多，多数是到南方越冬途经这里的冬候鸟，鸟类集中分布在保护区的核心区活动觅食肥育，随着湖水的不断萎退，鸟类也随之向湖心地带迁移，在其它区域虽也有零星鸟类分布，项目距离鸟类集中分布的核心区400m以上，鸟类在项目附近等人类活动频繁地带出现的现象较少。</w:t>
      </w:r>
    </w:p>
    <w:p w14:paraId="536602C5">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据核实，项目均位于保护区实验区，实验区内永久用地50hm</w:t>
      </w:r>
      <w:r>
        <w:rPr>
          <w:rFonts w:ascii="Times New Roman" w:hAnsi="Times New Roman" w:eastAsia="宋体" w:cs="Times New Roman"/>
          <w:color w:val="auto"/>
          <w:kern w:val="28"/>
          <w:sz w:val="24"/>
          <w:vertAlign w:val="superscript"/>
        </w:rPr>
        <w:t>2</w:t>
      </w:r>
      <w:r>
        <w:rPr>
          <w:rFonts w:ascii="Times New Roman" w:hAnsi="Times New Roman" w:eastAsia="宋体" w:cs="Times New Roman"/>
          <w:color w:val="auto"/>
          <w:kern w:val="28"/>
          <w:sz w:val="24"/>
        </w:rPr>
        <w:t>、临时用地1.30hm</w:t>
      </w:r>
      <w:r>
        <w:rPr>
          <w:rFonts w:ascii="Times New Roman" w:hAnsi="Times New Roman" w:eastAsia="宋体" w:cs="Times New Roman"/>
          <w:color w:val="auto"/>
          <w:kern w:val="28"/>
          <w:sz w:val="24"/>
          <w:vertAlign w:val="superscript"/>
        </w:rPr>
        <w:t>2</w:t>
      </w:r>
      <w:r>
        <w:rPr>
          <w:rFonts w:ascii="Times New Roman" w:hAnsi="Times New Roman" w:eastAsia="宋体" w:cs="Times New Roman"/>
          <w:color w:val="auto"/>
          <w:kern w:val="28"/>
          <w:sz w:val="24"/>
        </w:rPr>
        <w:t>。</w:t>
      </w:r>
    </w:p>
    <w:p w14:paraId="0B852865">
      <w:pPr>
        <w:adjustRightInd w:val="0"/>
        <w:spacing w:line="360" w:lineRule="auto"/>
        <w:jc w:val="left"/>
        <w:outlineLvl w:val="3"/>
        <w:rPr>
          <w:b/>
          <w:bCs/>
          <w:color w:val="auto"/>
          <w:sz w:val="24"/>
        </w:rPr>
      </w:pPr>
      <w:r>
        <w:rPr>
          <w:rFonts w:hint="eastAsia"/>
          <w:b/>
          <w:bCs/>
          <w:color w:val="auto"/>
          <w:sz w:val="24"/>
        </w:rPr>
        <w:t>4.</w:t>
      </w:r>
      <w:r>
        <w:rPr>
          <w:b/>
          <w:bCs/>
          <w:color w:val="auto"/>
          <w:sz w:val="24"/>
        </w:rPr>
        <w:t>8.1.1对生物多样性的影响</w:t>
      </w:r>
    </w:p>
    <w:p w14:paraId="0E6B6297">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工程建设将占用采桑湖渔场一荷三虾养殖基地，破坏现有鱼塘内动植物生存环境，导致工程区内生物多样性丰富度降低。据调查，工程区植被主要以狗尾草、牛筋草、大狼杷草、狗牙根、三裂叶薯、莠狗尾草、黄花蒿、钻叶紫菀、翅果菊、葎草等草本植物为主；动物多为雀形目鸟类及喜与人类混居的种类，其生境广泛，适应性强。工程建设不涉及新征占用地，区域内生物多样性均为常见物种，在东洞庭湖自然保护区分布广泛，因此工程施工对生物多样性影响较小。</w:t>
      </w:r>
    </w:p>
    <w:p w14:paraId="48B201AA">
      <w:pPr>
        <w:adjustRightInd w:val="0"/>
        <w:spacing w:line="360" w:lineRule="auto"/>
        <w:jc w:val="left"/>
        <w:outlineLvl w:val="3"/>
        <w:rPr>
          <w:b/>
          <w:bCs/>
          <w:color w:val="auto"/>
          <w:sz w:val="24"/>
        </w:rPr>
      </w:pPr>
      <w:r>
        <w:rPr>
          <w:rFonts w:hint="eastAsia"/>
          <w:b/>
          <w:bCs/>
          <w:color w:val="auto"/>
          <w:sz w:val="24"/>
        </w:rPr>
        <w:t>4.</w:t>
      </w:r>
      <w:r>
        <w:rPr>
          <w:b/>
          <w:bCs/>
          <w:color w:val="auto"/>
          <w:sz w:val="24"/>
        </w:rPr>
        <w:t>8.1.2对主要保护对象的影响</w:t>
      </w:r>
    </w:p>
    <w:p w14:paraId="6FF6A32F">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据实地调查，评价区以水域和人工杨树林及洲滩为主，工程区段不是保护区重要保护对象分布区，不是珍稀、保护野生动物的停歇、繁殖、觅食栖息地。施工不会使保护区内的主要保护对象种群数量发生大的变化，对动物的分布格局和物种丰富度影响较小。</w:t>
      </w:r>
    </w:p>
    <w:p w14:paraId="63DF2667">
      <w:pPr>
        <w:adjustRightInd w:val="0"/>
        <w:spacing w:line="360" w:lineRule="auto"/>
        <w:jc w:val="left"/>
        <w:outlineLvl w:val="3"/>
        <w:rPr>
          <w:b/>
          <w:bCs/>
          <w:color w:val="auto"/>
          <w:sz w:val="24"/>
        </w:rPr>
      </w:pPr>
      <w:r>
        <w:rPr>
          <w:rFonts w:hint="eastAsia"/>
          <w:b/>
          <w:bCs/>
          <w:color w:val="auto"/>
          <w:sz w:val="24"/>
        </w:rPr>
        <w:t>4.</w:t>
      </w:r>
      <w:r>
        <w:rPr>
          <w:b/>
          <w:bCs/>
          <w:color w:val="auto"/>
          <w:sz w:val="24"/>
        </w:rPr>
        <w:t>8.1.3对保护区结构及功能的影响</w:t>
      </w:r>
    </w:p>
    <w:p w14:paraId="02D11FA7">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本工程建设对保护区结构及功能的影响是由工程占地引起的，工程在原有鱼塘上进行升级改造，不额外占用保护区面积，因此工程对保护区结构及功能影响较小。</w:t>
      </w:r>
    </w:p>
    <w:p w14:paraId="2BB8022A">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本工程是</w:t>
      </w:r>
      <w:r>
        <w:rPr>
          <w:rFonts w:ascii="Times New Roman" w:hAnsi="Times New Roman" w:eastAsia="宋体" w:cs="Times New Roman"/>
          <w:bCs/>
          <w:color w:val="auto"/>
          <w:sz w:val="24"/>
        </w:rPr>
        <w:t>内陆养殖（0412）</w:t>
      </w:r>
      <w:r>
        <w:rPr>
          <w:rFonts w:ascii="Times New Roman" w:hAnsi="Times New Roman" w:eastAsia="宋体" w:cs="Times New Roman"/>
          <w:color w:val="auto"/>
          <w:kern w:val="28"/>
          <w:sz w:val="24"/>
        </w:rPr>
        <w:t>，施工期的车辆运输、人员等对主要保护目标的栖息、觅食、停歇等行为有一定的影响，但影响较小；运行期养殖废水进吸污泵+尾水塔+人工湿地处理后满足《渔业水质标准》（GB11607-89）表一一级标准限值要求后回用；恶臭经喷洒除臭剂、周围植被吸收；设备噪声经隔声、减振、绿化带消减等；固废资源化处置。对主要保护目标的栖息、觅食、停歇等行为有一定的影响，但影响较小；工程实施后建设部分人工湿地，对现有鱼塘水质增加自净能力，总体而言工程施工和营运对湖南东洞庭湖国家级自然保护区重要保护目标影响较小。</w:t>
      </w:r>
    </w:p>
    <w:p w14:paraId="4D37DD7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4.</w:t>
      </w:r>
      <w:r>
        <w:rPr>
          <w:rFonts w:ascii="Times New Roman" w:hAnsi="Times New Roman" w:eastAsia="宋体" w:cs="Times New Roman"/>
          <w:b/>
          <w:color w:val="auto"/>
          <w:sz w:val="28"/>
          <w:szCs w:val="28"/>
        </w:rPr>
        <w:t>8.3对重要湿地的影响分析</w:t>
      </w:r>
    </w:p>
    <w:p w14:paraId="73376D99">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项目涉及东洞庭湖国际重要湿地。</w:t>
      </w:r>
    </w:p>
    <w:p w14:paraId="30748B35">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根据施工进度安排，本工程施工安排在枯水期内完成，施工对保护对象的影响主要是机械噪声干扰，以及施工人员的非法捕猎现象。工程施工主要在枯水期的秋季、冬季，正是迁徙性候鸟类活动最频繁的季节，施工过程中的机械噪声、人为活动对鸟类的活动会产生一定的干扰。另外因施工临时占地使鸟类活动的固有场所受到限制，食物来源受到影响。由于鸟类形成了识别习惯，有可能直接进入临时施工场所活动，被捕杀或惊吓的机率大大增加。结合施工布置，施工活动对保护对象的影响为反铲和推土机产生的噪声，会对在鱼塘附近活动栖息的零星鸟类造成惊扰。原有道路的交通影响和人类活动影响，鸟类较少到这里活动，评价区农耕地、洲滩与防护林，成为鸟类的栖息地。因此，工程施工时在洲滩附近活动的鸟类若受到影响，会被动迁移至同类生境，工程施工对其影响有限。但原有公路车辆噪声对鸟类的影响已经存在，工程建设只是在短时间内加重了这种影响，随着施工结束，增加的影响会随之消失。</w:t>
      </w:r>
    </w:p>
    <w:p w14:paraId="020D3737">
      <w:pPr>
        <w:pStyle w:val="82"/>
        <w:widowControl w:val="0"/>
        <w:spacing w:line="360" w:lineRule="auto"/>
        <w:outlineLvl w:val="1"/>
        <w:rPr>
          <w:rFonts w:ascii="Times New Roman" w:hAnsi="Times New Roman" w:eastAsia="宋体" w:cs="Times New Roman"/>
          <w:b/>
          <w:color w:val="auto"/>
          <w:sz w:val="30"/>
          <w:szCs w:val="30"/>
        </w:rPr>
      </w:pPr>
      <w:bookmarkStart w:id="172" w:name="_Toc511"/>
      <w:bookmarkStart w:id="173" w:name="_Toc24907"/>
      <w:r>
        <w:rPr>
          <w:rFonts w:hint="eastAsia" w:ascii="Times New Roman" w:hAnsi="Times New Roman" w:eastAsia="宋体" w:cs="Times New Roman"/>
          <w:b/>
          <w:color w:val="auto"/>
          <w:sz w:val="30"/>
          <w:szCs w:val="30"/>
        </w:rPr>
        <w:t>4.</w:t>
      </w:r>
      <w:r>
        <w:rPr>
          <w:rFonts w:ascii="Times New Roman" w:hAnsi="Times New Roman" w:eastAsia="宋体" w:cs="Times New Roman"/>
          <w:b/>
          <w:color w:val="auto"/>
          <w:sz w:val="30"/>
          <w:szCs w:val="30"/>
        </w:rPr>
        <w:t>9对生态保护红线的影响</w:t>
      </w:r>
      <w:bookmarkEnd w:id="172"/>
      <w:bookmarkEnd w:id="173"/>
    </w:p>
    <w:p w14:paraId="500BECFB">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工程涉及湖南省生态保护红线主要为洞庭湖区生物多样性维护、洪水调蓄生态保护红线，该红线区主导生态功能为洪水调蓄、生物多样性保护。</w:t>
      </w:r>
    </w:p>
    <w:p w14:paraId="748F3545">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保护重点是：以湿地生物多样性保护为核心，加强区内湿地自然保护区的恢复与管理；平垸行洪、退田还湖，扩大湖泊面积，提高调蓄洪水的能力。工程建设对生态红线的影响主要有以下几点：</w:t>
      </w:r>
    </w:p>
    <w:p w14:paraId="34FB91FA">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（1）施工占地：工程占地将导致区域内生态环境遭到破坏，对区域内动植物资源产生驱赶及破坏，会造成区域内生物多样性下降。</w:t>
      </w:r>
    </w:p>
    <w:p w14:paraId="321BEBAD">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2）施工活动：施工期临时道路、路面硬化等施工活动，将造成土壤裸露，使得区域内湿地动物栖息地、觅食地减少；施工活动产生的弃渣、扬尘、废气、生活垃圾等带来的污染，会直接或间接影响附近植物生境及动物的栖息环境。鱼塘清淤、开挖施工会造成区域内水生维管束植物消失，会造成水生植被的减少，同时这些水生植物是部分产粘性鱼卵鱼类的产卵基质，水生植物的破坏对部分鱼类的繁殖有影响。</w:t>
      </w:r>
    </w:p>
    <w:p w14:paraId="742D2D1A">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工程建设之后将提高水体质量、增加鱼塘的蓄洪能力，对生态红线有一定保护作用，因此施工建设对生态保护红线影响较小。</w:t>
      </w:r>
    </w:p>
    <w:p w14:paraId="042835CF">
      <w:pPr>
        <w:pStyle w:val="77"/>
        <w:widowControl w:val="0"/>
        <w:tabs>
          <w:tab w:val="left" w:pos="567"/>
          <w:tab w:val="left" w:pos="851"/>
        </w:tabs>
        <w:adjustRightInd w:val="0"/>
        <w:spacing w:line="360" w:lineRule="auto"/>
        <w:ind w:firstLine="480" w:firstLineChars="200"/>
        <w:jc w:val="both"/>
        <w:rPr>
          <w:rFonts w:ascii="Times New Roman" w:hAnsi="Times New Roman" w:eastAsia="宋体" w:cs="Times New Roman"/>
          <w:color w:val="auto"/>
          <w:kern w:val="28"/>
          <w:sz w:val="24"/>
        </w:rPr>
      </w:pPr>
      <w:r>
        <w:rPr>
          <w:rFonts w:ascii="Times New Roman" w:hAnsi="Times New Roman" w:eastAsia="宋体" w:cs="Times New Roman"/>
          <w:color w:val="auto"/>
          <w:kern w:val="28"/>
          <w:sz w:val="24"/>
        </w:rPr>
        <w:t>（3）人为干扰：施工过程中，如管理不善，人为活动及机械作业等可能会对红线内生境造成破坏。但人为干扰的影响可通过加强宣传教育活动，加强施工监理工作等措施进行缓解，在相关措施得到落实后，人为干扰对生态红线的影响较小。</w:t>
      </w:r>
    </w:p>
    <w:p w14:paraId="15A50751">
      <w:pPr>
        <w:rPr>
          <w:rFonts w:eastAsiaTheme="minorEastAsia"/>
          <w:color w:val="auto"/>
        </w:rPr>
      </w:pPr>
      <w:r>
        <w:rPr>
          <w:rFonts w:eastAsiaTheme="minorEastAsia"/>
          <w:color w:val="auto"/>
        </w:rPr>
        <w:br w:type="page"/>
      </w:r>
    </w:p>
    <w:p w14:paraId="77165BFB">
      <w:pPr>
        <w:pStyle w:val="81"/>
        <w:widowControl w:val="0"/>
        <w:spacing w:beforeLines="0" w:afterLines="0"/>
        <w:ind w:left="0"/>
        <w:rPr>
          <w:rFonts w:ascii="Times New Roman" w:hAnsi="Times New Roman" w:cs="Times New Roman"/>
          <w:color w:val="auto"/>
        </w:rPr>
      </w:pPr>
      <w:bookmarkStart w:id="174" w:name="_Toc4068"/>
      <w:r>
        <w:rPr>
          <w:rFonts w:hint="eastAsia" w:ascii="Times New Roman" w:hAnsi="Times New Roman" w:cs="Times New Roman"/>
          <w:color w:val="auto"/>
        </w:rPr>
        <w:t>5</w:t>
      </w:r>
      <w:r>
        <w:rPr>
          <w:rFonts w:ascii="Times New Roman" w:hAnsi="Times New Roman" w:cs="Times New Roman"/>
          <w:color w:val="auto"/>
        </w:rPr>
        <w:t>生态保护与恢复措施</w:t>
      </w:r>
      <w:bookmarkEnd w:id="155"/>
      <w:bookmarkEnd w:id="156"/>
      <w:bookmarkEnd w:id="157"/>
      <w:bookmarkEnd w:id="174"/>
    </w:p>
    <w:p w14:paraId="2FD396CF">
      <w:pPr>
        <w:pStyle w:val="82"/>
        <w:widowControl w:val="0"/>
        <w:spacing w:line="360" w:lineRule="auto"/>
        <w:outlineLvl w:val="1"/>
        <w:rPr>
          <w:rFonts w:ascii="Times New Roman" w:hAnsi="Times New Roman" w:eastAsia="宋体" w:cs="Times New Roman"/>
          <w:b/>
          <w:color w:val="auto"/>
          <w:sz w:val="30"/>
          <w:szCs w:val="30"/>
        </w:rPr>
      </w:pPr>
      <w:bookmarkStart w:id="175" w:name="_Toc12171"/>
      <w:bookmarkStart w:id="176" w:name="_Toc40364421"/>
      <w:bookmarkStart w:id="177" w:name="_Toc4477"/>
      <w:bookmarkStart w:id="178" w:name="_Toc472494276"/>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1生态系统的保护措施</w:t>
      </w:r>
      <w:bookmarkEnd w:id="175"/>
      <w:bookmarkEnd w:id="176"/>
      <w:bookmarkEnd w:id="177"/>
      <w:bookmarkEnd w:id="178"/>
    </w:p>
    <w:p w14:paraId="634D48F5">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1.1森林生态系统的保护措施</w:t>
      </w:r>
    </w:p>
    <w:p w14:paraId="26F4BCF7">
      <w:pPr>
        <w:spacing w:line="360" w:lineRule="auto"/>
        <w:ind w:firstLine="480" w:firstLineChars="200"/>
        <w:jc w:val="left"/>
        <w:rPr>
          <w:color w:val="auto"/>
          <w:kern w:val="0"/>
          <w:sz w:val="24"/>
        </w:rPr>
      </w:pPr>
      <w:r>
        <w:rPr>
          <w:color w:val="auto"/>
          <w:kern w:val="0"/>
          <w:sz w:val="24"/>
        </w:rPr>
        <w:t>工程对森林生态系统的影响主要为工程永久和临时占地、施工产生的扬尘、施工人员活动等对植被的破坏，从而间接影响在森林生态系统中活动的动物种类。因此针对这些影响，建议采取以下措施对森林生态系统进行保护：</w:t>
      </w:r>
    </w:p>
    <w:p w14:paraId="16022108">
      <w:pPr>
        <w:numPr>
          <w:ilvl w:val="0"/>
          <w:numId w:val="15"/>
        </w:numPr>
        <w:spacing w:line="360" w:lineRule="auto"/>
        <w:ind w:firstLine="480" w:firstLineChars="200"/>
        <w:jc w:val="left"/>
        <w:rPr>
          <w:color w:val="auto"/>
          <w:kern w:val="0"/>
          <w:sz w:val="24"/>
        </w:rPr>
      </w:pPr>
      <w:r>
        <w:rPr>
          <w:color w:val="auto"/>
          <w:kern w:val="0"/>
          <w:sz w:val="24"/>
        </w:rPr>
        <w:t>优化工程布置，施工占地区尽量避免占用评价区自然体系森林生态系统区域，临时施工占地要采取</w:t>
      </w:r>
      <w:r>
        <w:rPr>
          <w:rFonts w:hint="eastAsia"/>
          <w:color w:val="auto"/>
          <w:kern w:val="0"/>
          <w:sz w:val="24"/>
        </w:rPr>
        <w:t>“</w:t>
      </w:r>
      <w:r>
        <w:rPr>
          <w:color w:val="auto"/>
          <w:kern w:val="0"/>
          <w:sz w:val="24"/>
        </w:rPr>
        <w:t>永临结合</w:t>
      </w:r>
      <w:r>
        <w:rPr>
          <w:rFonts w:hint="eastAsia"/>
          <w:color w:val="auto"/>
          <w:kern w:val="0"/>
          <w:sz w:val="24"/>
        </w:rPr>
        <w:t>”</w:t>
      </w:r>
      <w:r>
        <w:rPr>
          <w:color w:val="auto"/>
          <w:kern w:val="0"/>
          <w:sz w:val="24"/>
        </w:rPr>
        <w:t>的方式，尽量缩小范围，减少对林地的占用。</w:t>
      </w:r>
    </w:p>
    <w:p w14:paraId="6AB9E674">
      <w:pPr>
        <w:numPr>
          <w:ilvl w:val="0"/>
          <w:numId w:val="15"/>
        </w:numPr>
        <w:spacing w:line="360" w:lineRule="auto"/>
        <w:ind w:firstLine="480" w:firstLineChars="200"/>
        <w:jc w:val="left"/>
        <w:rPr>
          <w:color w:val="auto"/>
          <w:kern w:val="0"/>
          <w:sz w:val="24"/>
        </w:rPr>
      </w:pPr>
      <w:r>
        <w:rPr>
          <w:color w:val="auto"/>
          <w:kern w:val="0"/>
          <w:sz w:val="24"/>
        </w:rPr>
        <w:t>施工前划定施工活动范围，严禁越界施工，避免对占地区外森林生态系统产生不利影响。</w:t>
      </w:r>
    </w:p>
    <w:p w14:paraId="78CAD2F8">
      <w:pPr>
        <w:spacing w:line="360" w:lineRule="auto"/>
        <w:ind w:firstLine="480" w:firstLineChars="200"/>
        <w:jc w:val="left"/>
        <w:rPr>
          <w:color w:val="auto"/>
          <w:kern w:val="0"/>
          <w:sz w:val="24"/>
        </w:rPr>
      </w:pPr>
      <w:r>
        <w:rPr>
          <w:color w:val="auto"/>
          <w:kern w:val="0"/>
          <w:sz w:val="24"/>
        </w:rPr>
        <w:t>（3）预防森林火灾，施工期应加强森林防护，如在施工区、临时施工生产生活区及周围林地附近竖立防火警示牌，划出可生火范围、巡回检查、做好消防队伍及设施的建设工作等，以预防和杜绝森林火灾发生。</w:t>
      </w:r>
    </w:p>
    <w:p w14:paraId="180C6457">
      <w:pPr>
        <w:spacing w:line="360" w:lineRule="auto"/>
        <w:ind w:firstLine="480" w:firstLineChars="200"/>
        <w:jc w:val="left"/>
        <w:rPr>
          <w:color w:val="auto"/>
          <w:kern w:val="0"/>
          <w:sz w:val="24"/>
        </w:rPr>
      </w:pPr>
      <w:r>
        <w:rPr>
          <w:color w:val="auto"/>
          <w:kern w:val="0"/>
          <w:sz w:val="24"/>
        </w:rPr>
        <w:t>（4）适时开展生态恢复工作，施工结束后应及时修复损毁的林地，对破坏的植被进行恢复，修复中应注重遵循自然规律，尊重自然选择，尽可能采用乡土植物，修复生态系统，加快恢复沿线林缘景观。</w:t>
      </w:r>
    </w:p>
    <w:p w14:paraId="2E7214FB">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1.2草地生态系统的保护措施</w:t>
      </w:r>
    </w:p>
    <w:p w14:paraId="699B9D93">
      <w:pPr>
        <w:spacing w:line="360" w:lineRule="auto"/>
        <w:ind w:firstLine="480" w:firstLineChars="200"/>
        <w:jc w:val="left"/>
        <w:rPr>
          <w:color w:val="auto"/>
          <w:kern w:val="0"/>
          <w:sz w:val="24"/>
        </w:rPr>
      </w:pPr>
      <w:r>
        <w:rPr>
          <w:color w:val="auto"/>
          <w:kern w:val="0"/>
          <w:sz w:val="24"/>
        </w:rPr>
        <w:t>工程对草地生态系统的影响主要为工程占地导致草本生物损失，因此应：</w:t>
      </w:r>
    </w:p>
    <w:p w14:paraId="11F8F9AE">
      <w:pPr>
        <w:spacing w:line="360" w:lineRule="auto"/>
        <w:ind w:firstLine="480" w:firstLineChars="200"/>
        <w:jc w:val="left"/>
        <w:rPr>
          <w:color w:val="auto"/>
          <w:kern w:val="0"/>
          <w:sz w:val="24"/>
        </w:rPr>
      </w:pPr>
      <w:r>
        <w:rPr>
          <w:color w:val="auto"/>
          <w:kern w:val="0"/>
          <w:sz w:val="24"/>
        </w:rPr>
        <w:t>（1）严格划定施工范围，草地生态系统严禁越界施工。</w:t>
      </w:r>
    </w:p>
    <w:p w14:paraId="178F438F">
      <w:pPr>
        <w:spacing w:line="360" w:lineRule="auto"/>
        <w:ind w:firstLine="480" w:firstLineChars="200"/>
        <w:jc w:val="left"/>
        <w:rPr>
          <w:color w:val="auto"/>
          <w:kern w:val="0"/>
          <w:sz w:val="24"/>
        </w:rPr>
      </w:pPr>
      <w:r>
        <w:rPr>
          <w:color w:val="auto"/>
          <w:kern w:val="0"/>
          <w:sz w:val="24"/>
        </w:rPr>
        <w:t>（2）适时开展生态恢复及水土保持工作，施工结束后应及时对占地区进行植被恢复，避免水土流失等对其影响。</w:t>
      </w:r>
    </w:p>
    <w:p w14:paraId="6E1F7307">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1.3湿地生态系统的保护措施</w:t>
      </w:r>
    </w:p>
    <w:p w14:paraId="478CC895">
      <w:pPr>
        <w:spacing w:line="360" w:lineRule="auto"/>
        <w:ind w:firstLine="480" w:firstLineChars="200"/>
        <w:jc w:val="left"/>
        <w:rPr>
          <w:color w:val="auto"/>
          <w:kern w:val="0"/>
          <w:sz w:val="24"/>
        </w:rPr>
      </w:pPr>
      <w:r>
        <w:rPr>
          <w:color w:val="auto"/>
          <w:kern w:val="0"/>
          <w:sz w:val="24"/>
        </w:rPr>
        <w:t>工程对湿地生态系统的影响主要为施工对河滩地、池塘动植物的影响、湿地水质产生污染的影响。因此针对这些影响，建议采取以下措施对湿地生态系统进行保护：</w:t>
      </w:r>
    </w:p>
    <w:p w14:paraId="7EF7CB79">
      <w:pPr>
        <w:spacing w:line="360" w:lineRule="auto"/>
        <w:ind w:firstLine="480" w:firstLineChars="200"/>
        <w:jc w:val="left"/>
        <w:rPr>
          <w:color w:val="auto"/>
          <w:kern w:val="0"/>
          <w:sz w:val="24"/>
        </w:rPr>
      </w:pPr>
      <w:r>
        <w:rPr>
          <w:color w:val="auto"/>
          <w:kern w:val="0"/>
          <w:sz w:val="24"/>
        </w:rPr>
        <w:t>（1）在临近水域的位置设置生态保护警示牌，警示牌上标明工程施工区范围，禁止越界施工，禁止捕杀湿地动物的行为，尽量减少对水域沿岸造成的植被损失和对湿地动物的伤害。</w:t>
      </w:r>
    </w:p>
    <w:p w14:paraId="0345EEE0">
      <w:pPr>
        <w:spacing w:line="360" w:lineRule="auto"/>
        <w:ind w:firstLine="480" w:firstLineChars="200"/>
        <w:jc w:val="left"/>
        <w:rPr>
          <w:color w:val="auto"/>
          <w:kern w:val="0"/>
          <w:sz w:val="24"/>
        </w:rPr>
      </w:pPr>
      <w:r>
        <w:rPr>
          <w:color w:val="auto"/>
          <w:kern w:val="0"/>
          <w:sz w:val="24"/>
        </w:rPr>
        <w:t>（2）加强施工生产生活区等的防护，避免施工材料随意堆放，施工废水和施工人员生活污水直接排入水体中。</w:t>
      </w:r>
    </w:p>
    <w:p w14:paraId="2CE9BC0D">
      <w:pPr>
        <w:spacing w:line="360" w:lineRule="auto"/>
        <w:ind w:firstLine="480" w:firstLineChars="200"/>
        <w:jc w:val="left"/>
        <w:rPr>
          <w:color w:val="auto"/>
          <w:kern w:val="0"/>
          <w:sz w:val="24"/>
        </w:rPr>
      </w:pPr>
      <w:r>
        <w:rPr>
          <w:color w:val="auto"/>
          <w:kern w:val="0"/>
          <w:sz w:val="24"/>
        </w:rPr>
        <w:t>（3）机械和车辆冲洗应尽量要求施工机械和车辆到附近专门清洗点或修理点进行清洗和修理，减少产生的废水对评价区内湿地的影响。</w:t>
      </w:r>
    </w:p>
    <w:p w14:paraId="1DE00CCD">
      <w:pPr>
        <w:spacing w:line="360" w:lineRule="auto"/>
        <w:ind w:firstLine="480" w:firstLineChars="200"/>
        <w:jc w:val="left"/>
        <w:rPr>
          <w:color w:val="auto"/>
          <w:kern w:val="0"/>
          <w:sz w:val="24"/>
        </w:rPr>
      </w:pPr>
      <w:r>
        <w:rPr>
          <w:color w:val="auto"/>
          <w:kern w:val="0"/>
          <w:sz w:val="24"/>
        </w:rPr>
        <w:t>（4）做好施工废水、固废、建筑垃圾的收集工作，对建筑材料等应铺盖防尘网做好防水、防风等工作，对施工区定期洒水抑尘。</w:t>
      </w:r>
    </w:p>
    <w:p w14:paraId="3757E94B">
      <w:pPr>
        <w:spacing w:line="360" w:lineRule="auto"/>
        <w:ind w:firstLine="480" w:firstLineChars="200"/>
        <w:jc w:val="left"/>
        <w:rPr>
          <w:color w:val="auto"/>
          <w:kern w:val="0"/>
          <w:sz w:val="24"/>
        </w:rPr>
      </w:pPr>
      <w:r>
        <w:rPr>
          <w:color w:val="auto"/>
          <w:kern w:val="0"/>
          <w:sz w:val="24"/>
        </w:rPr>
        <w:t>（5）做好水土流失的防护，避免对湿地的破坏，减少因水土流失而对水体产生的污染。</w:t>
      </w:r>
    </w:p>
    <w:p w14:paraId="429DAD6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1.4农田生态系统的保护措施</w:t>
      </w:r>
    </w:p>
    <w:p w14:paraId="36120303">
      <w:pPr>
        <w:spacing w:line="360" w:lineRule="auto"/>
        <w:ind w:firstLine="480" w:firstLineChars="200"/>
        <w:jc w:val="left"/>
        <w:rPr>
          <w:color w:val="auto"/>
          <w:kern w:val="0"/>
          <w:sz w:val="24"/>
        </w:rPr>
      </w:pPr>
      <w:r>
        <w:rPr>
          <w:color w:val="auto"/>
          <w:kern w:val="0"/>
          <w:sz w:val="24"/>
        </w:rPr>
        <w:t>工程对农业生态系统的影响主要为工程占地导致农作物损失，从而减少农作物产量。</w:t>
      </w:r>
    </w:p>
    <w:p w14:paraId="6C0A6593">
      <w:pPr>
        <w:spacing w:line="360" w:lineRule="auto"/>
        <w:ind w:firstLine="480" w:firstLineChars="200"/>
        <w:jc w:val="left"/>
        <w:rPr>
          <w:color w:val="auto"/>
          <w:kern w:val="0"/>
          <w:sz w:val="24"/>
        </w:rPr>
      </w:pPr>
      <w:r>
        <w:rPr>
          <w:color w:val="auto"/>
          <w:kern w:val="0"/>
          <w:sz w:val="24"/>
        </w:rPr>
        <w:t>因此针对这些影响，建议采取以下措施对农业生态系统进行保护：</w:t>
      </w:r>
    </w:p>
    <w:p w14:paraId="65E7B049">
      <w:pPr>
        <w:spacing w:line="360" w:lineRule="auto"/>
        <w:ind w:firstLine="480" w:firstLineChars="200"/>
        <w:jc w:val="left"/>
        <w:rPr>
          <w:color w:val="auto"/>
          <w:kern w:val="0"/>
          <w:sz w:val="24"/>
        </w:rPr>
      </w:pPr>
      <w:r>
        <w:rPr>
          <w:color w:val="auto"/>
          <w:kern w:val="0"/>
          <w:sz w:val="24"/>
        </w:rPr>
        <w:t>（1）优化工程布置，尽量减少工程对耕地的占用。</w:t>
      </w:r>
    </w:p>
    <w:p w14:paraId="0462D257">
      <w:pPr>
        <w:spacing w:line="360" w:lineRule="auto"/>
        <w:ind w:firstLine="480" w:firstLineChars="200"/>
        <w:jc w:val="left"/>
        <w:rPr>
          <w:color w:val="auto"/>
          <w:kern w:val="0"/>
          <w:sz w:val="24"/>
        </w:rPr>
      </w:pPr>
      <w:r>
        <w:rPr>
          <w:color w:val="auto"/>
          <w:kern w:val="0"/>
          <w:sz w:val="24"/>
        </w:rPr>
        <w:t>（2）对临时占用的耕地应分层开挖、分层取土并进行分层回填，施工结束后，要采取土壤恢复措施，如种植绿肥作物等增强土壤肥力，保证土地复垦和植被恢复的有效性；</w:t>
      </w:r>
    </w:p>
    <w:p w14:paraId="5E2C03B5">
      <w:pPr>
        <w:spacing w:line="360" w:lineRule="auto"/>
        <w:ind w:firstLine="480" w:firstLineChars="200"/>
        <w:jc w:val="left"/>
        <w:rPr>
          <w:color w:val="auto"/>
          <w:kern w:val="0"/>
          <w:sz w:val="24"/>
        </w:rPr>
      </w:pPr>
      <w:r>
        <w:rPr>
          <w:color w:val="auto"/>
          <w:kern w:val="0"/>
          <w:sz w:val="24"/>
        </w:rPr>
        <w:t>（3）工程施工时间尽量避免农作物收获时间，如在农作物收割之后开始施工，可减少经济损失，且在工程完后应尽快进行土地平整及复耕工作；</w:t>
      </w:r>
    </w:p>
    <w:p w14:paraId="5997281F">
      <w:pPr>
        <w:spacing w:line="360" w:lineRule="auto"/>
        <w:ind w:firstLine="480" w:firstLineChars="200"/>
        <w:jc w:val="left"/>
        <w:rPr>
          <w:color w:val="auto"/>
          <w:kern w:val="0"/>
          <w:sz w:val="24"/>
        </w:rPr>
      </w:pPr>
      <w:r>
        <w:rPr>
          <w:color w:val="auto"/>
          <w:kern w:val="0"/>
          <w:sz w:val="24"/>
        </w:rPr>
        <w:t>（4）对施工运输车辆采取遮挡措施，尽量避免粉末类材料等对农业土壤和灌溉水体的影响；</w:t>
      </w:r>
    </w:p>
    <w:p w14:paraId="16EB0049">
      <w:pPr>
        <w:spacing w:line="360" w:lineRule="auto"/>
        <w:ind w:firstLine="480" w:firstLineChars="200"/>
        <w:jc w:val="left"/>
        <w:rPr>
          <w:color w:val="auto"/>
          <w:kern w:val="0"/>
          <w:sz w:val="24"/>
        </w:rPr>
      </w:pPr>
      <w:r>
        <w:rPr>
          <w:color w:val="auto"/>
          <w:kern w:val="0"/>
          <w:sz w:val="24"/>
        </w:rPr>
        <w:t>（5）在农田周围施工时，尽量减少施工人员的活动、机械的碾压等对农作物的影响及对农田土质的影响。</w:t>
      </w:r>
    </w:p>
    <w:p w14:paraId="5076ADE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1.5城镇生态系统的保护措施</w:t>
      </w:r>
    </w:p>
    <w:p w14:paraId="73F9AE3C">
      <w:pPr>
        <w:spacing w:line="360" w:lineRule="auto"/>
        <w:ind w:firstLine="480" w:firstLineChars="200"/>
        <w:jc w:val="left"/>
        <w:rPr>
          <w:color w:val="auto"/>
          <w:kern w:val="0"/>
          <w:sz w:val="24"/>
        </w:rPr>
      </w:pPr>
      <w:r>
        <w:rPr>
          <w:color w:val="auto"/>
          <w:kern w:val="0"/>
          <w:sz w:val="24"/>
        </w:rPr>
        <w:t>（1）加强对环境保护和生物多样性保护的宣传教育，特别是有关法规等。</w:t>
      </w:r>
    </w:p>
    <w:p w14:paraId="4C9E2CA8">
      <w:pPr>
        <w:spacing w:line="360" w:lineRule="auto"/>
        <w:ind w:firstLine="480" w:firstLineChars="200"/>
        <w:jc w:val="left"/>
        <w:rPr>
          <w:color w:val="auto"/>
          <w:kern w:val="0"/>
          <w:sz w:val="24"/>
        </w:rPr>
      </w:pPr>
      <w:r>
        <w:rPr>
          <w:color w:val="auto"/>
          <w:kern w:val="0"/>
          <w:sz w:val="24"/>
        </w:rPr>
        <w:t>（2）在施工过程中，可以通过施工围墙，将施工现场隔离在居民视觉之外，减少对城镇景观的影响。</w:t>
      </w:r>
    </w:p>
    <w:p w14:paraId="6B24026B">
      <w:pPr>
        <w:spacing w:line="360" w:lineRule="auto"/>
        <w:ind w:firstLine="480" w:firstLineChars="200"/>
        <w:jc w:val="left"/>
        <w:rPr>
          <w:color w:val="auto"/>
          <w:kern w:val="0"/>
          <w:sz w:val="24"/>
        </w:rPr>
      </w:pPr>
      <w:r>
        <w:rPr>
          <w:color w:val="auto"/>
          <w:kern w:val="0"/>
          <w:sz w:val="24"/>
        </w:rPr>
        <w:t>（3）优化施工方案，降低施工机械产生的噪声对周围居民的影响。</w:t>
      </w:r>
    </w:p>
    <w:p w14:paraId="5F7DB775">
      <w:pPr>
        <w:spacing w:line="360" w:lineRule="auto"/>
        <w:ind w:firstLine="480" w:firstLineChars="200"/>
        <w:jc w:val="left"/>
        <w:rPr>
          <w:color w:val="auto"/>
          <w:kern w:val="0"/>
          <w:sz w:val="24"/>
        </w:rPr>
      </w:pPr>
      <w:r>
        <w:rPr>
          <w:color w:val="auto"/>
          <w:kern w:val="0"/>
          <w:sz w:val="24"/>
        </w:rPr>
        <w:t>（4）运输工程材料的车辆采用洒水、加盖篷布等方式来抑制扬尘的产生。</w:t>
      </w:r>
    </w:p>
    <w:p w14:paraId="74F3F59E">
      <w:pPr>
        <w:pStyle w:val="82"/>
        <w:widowControl w:val="0"/>
        <w:spacing w:line="360" w:lineRule="auto"/>
        <w:outlineLvl w:val="1"/>
        <w:rPr>
          <w:rFonts w:ascii="Times New Roman" w:hAnsi="Times New Roman" w:eastAsia="宋体" w:cs="Times New Roman"/>
          <w:b/>
          <w:color w:val="auto"/>
          <w:sz w:val="30"/>
          <w:szCs w:val="30"/>
        </w:rPr>
      </w:pPr>
      <w:bookmarkStart w:id="179" w:name="_Toc1150"/>
      <w:bookmarkStart w:id="180" w:name="_Toc19058"/>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2陆生植物的保护措施</w:t>
      </w:r>
      <w:bookmarkEnd w:id="179"/>
      <w:bookmarkEnd w:id="180"/>
    </w:p>
    <w:p w14:paraId="4E22A0BD">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2.1生态影响的避免和消减措施</w:t>
      </w:r>
    </w:p>
    <w:p w14:paraId="217D53B2">
      <w:pPr>
        <w:numPr>
          <w:ilvl w:val="0"/>
          <w:numId w:val="16"/>
        </w:numPr>
        <w:spacing w:line="360" w:lineRule="auto"/>
        <w:ind w:firstLine="480" w:firstLineChars="200"/>
        <w:jc w:val="left"/>
        <w:rPr>
          <w:color w:val="auto"/>
          <w:kern w:val="0"/>
          <w:sz w:val="24"/>
        </w:rPr>
      </w:pPr>
      <w:r>
        <w:rPr>
          <w:color w:val="auto"/>
          <w:kern w:val="0"/>
          <w:sz w:val="24"/>
        </w:rPr>
        <w:t>施工区优化工程布置，尽量避免占用区域林地、基本农田、湿地、灌草地等，应尽量选择荒地、未利用地，减少对沿线自然生态和植被的破坏。避免新增区域对植被的占用，造成植被生产力的损失。降低因地表植被损失而造成水土流失的影响。</w:t>
      </w:r>
    </w:p>
    <w:p w14:paraId="60008FC1">
      <w:pPr>
        <w:numPr>
          <w:ilvl w:val="0"/>
          <w:numId w:val="16"/>
        </w:numPr>
        <w:spacing w:line="360" w:lineRule="auto"/>
        <w:ind w:firstLine="480" w:firstLineChars="200"/>
        <w:jc w:val="left"/>
        <w:rPr>
          <w:color w:val="auto"/>
          <w:kern w:val="0"/>
          <w:sz w:val="24"/>
        </w:rPr>
      </w:pPr>
      <w:r>
        <w:rPr>
          <w:color w:val="auto"/>
          <w:kern w:val="0"/>
          <w:sz w:val="24"/>
        </w:rPr>
        <w:t>优化施工时间，在施工时间上应尽量选在枯水期进行，此时植物上部分枯萎，种子传播已经完成，地上部分枯萎，地下部分进入休眠期，湿地植物多处于滞育期，生长发育变缓，植物抗逆性较强，在该时期施工有利于后期湿地植物及湿地植被的恢复。</w:t>
      </w:r>
    </w:p>
    <w:p w14:paraId="1097D2E1">
      <w:pPr>
        <w:spacing w:line="360" w:lineRule="auto"/>
        <w:ind w:firstLine="480" w:firstLineChars="200"/>
        <w:jc w:val="left"/>
        <w:rPr>
          <w:color w:val="auto"/>
          <w:kern w:val="0"/>
          <w:sz w:val="24"/>
        </w:rPr>
      </w:pPr>
      <w:r>
        <w:rPr>
          <w:color w:val="auto"/>
          <w:kern w:val="0"/>
          <w:sz w:val="24"/>
        </w:rPr>
        <w:t>此外，对于占用农田的工程，建议在农作物收获后施工。</w:t>
      </w:r>
    </w:p>
    <w:p w14:paraId="2B81CD91">
      <w:pPr>
        <w:spacing w:line="360" w:lineRule="auto"/>
        <w:ind w:firstLine="480" w:firstLineChars="200"/>
        <w:jc w:val="left"/>
        <w:rPr>
          <w:color w:val="auto"/>
          <w:kern w:val="0"/>
          <w:sz w:val="24"/>
        </w:rPr>
      </w:pPr>
      <w:r>
        <w:rPr>
          <w:color w:val="auto"/>
          <w:kern w:val="0"/>
          <w:sz w:val="24"/>
        </w:rPr>
        <w:t>（3）加强林地保护，减少林地的占用和破坏。评价区内沿河工程有较多人工种植的防护林，其中加杨林最为常见。施工时应注意对林地的保护，减少对林地的占用和破坏。</w:t>
      </w:r>
    </w:p>
    <w:p w14:paraId="2DB8069F">
      <w:pPr>
        <w:spacing w:line="360" w:lineRule="auto"/>
        <w:ind w:firstLine="480" w:firstLineChars="200"/>
        <w:jc w:val="left"/>
        <w:rPr>
          <w:color w:val="auto"/>
          <w:kern w:val="0"/>
          <w:sz w:val="24"/>
        </w:rPr>
      </w:pPr>
      <w:r>
        <w:rPr>
          <w:color w:val="auto"/>
          <w:kern w:val="0"/>
          <w:sz w:val="24"/>
        </w:rPr>
        <w:t>（4）设置警示牌，划定施工活动范围，加强施工监理工作。确保施工人员在征地范围内活动，从而减轻人为活动对周围植物及植被的占用与压踏。施工期间，在各主要施工区、生态敏感区及植被较好的的地段设置生态保护警示牌。警示牌上标明工程施工区范围，禁止越界施工占地或砍伐林木，尽量减少占地造成的植被损失。</w:t>
      </w:r>
    </w:p>
    <w:p w14:paraId="07E2DE87">
      <w:pPr>
        <w:spacing w:line="360" w:lineRule="auto"/>
        <w:ind w:firstLine="480" w:firstLineChars="200"/>
        <w:jc w:val="left"/>
        <w:rPr>
          <w:color w:val="auto"/>
          <w:kern w:val="0"/>
          <w:sz w:val="24"/>
        </w:rPr>
      </w:pPr>
      <w:r>
        <w:rPr>
          <w:color w:val="auto"/>
          <w:kern w:val="0"/>
          <w:sz w:val="24"/>
        </w:rPr>
        <w:t>（5）在施工区及生产生活区布置污水处理系统，避免因废水的随意排放从而导致土壤理化性质改变，改变植物生长发育环境，进而影响其正常生命活动。</w:t>
      </w:r>
    </w:p>
    <w:p w14:paraId="257F8F93">
      <w:pPr>
        <w:spacing w:line="360" w:lineRule="auto"/>
        <w:ind w:firstLine="480" w:firstLineChars="200"/>
        <w:jc w:val="left"/>
        <w:rPr>
          <w:color w:val="auto"/>
          <w:kern w:val="0"/>
          <w:sz w:val="24"/>
        </w:rPr>
      </w:pPr>
      <w:r>
        <w:rPr>
          <w:color w:val="auto"/>
          <w:kern w:val="0"/>
          <w:sz w:val="24"/>
        </w:rPr>
        <w:t>（6）做好施工固废、建筑垃圾的收集工作，对建筑材料等应铺盖防尘网做好防水、防风等工作，对施工区定期洒水抑尘，降低扬尘对植物生长的影响。</w:t>
      </w:r>
    </w:p>
    <w:p w14:paraId="29B3CC87">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2.2生态影响的恢复和补偿措施</w:t>
      </w:r>
    </w:p>
    <w:p w14:paraId="71BA0D83">
      <w:pPr>
        <w:spacing w:line="360" w:lineRule="auto"/>
        <w:ind w:firstLine="480" w:firstLineChars="200"/>
        <w:jc w:val="left"/>
        <w:rPr>
          <w:color w:val="auto"/>
          <w:kern w:val="0"/>
          <w:sz w:val="24"/>
        </w:rPr>
      </w:pPr>
      <w:r>
        <w:rPr>
          <w:color w:val="auto"/>
          <w:kern w:val="0"/>
          <w:sz w:val="24"/>
        </w:rPr>
        <w:t>（1）工程完工后，通过采取适宜的植被恢复措施，尽快恢复施工迹地，加快陆生生态恢复，以补偿植被损失。不同施工迹地区恢复方案：</w:t>
      </w:r>
    </w:p>
    <w:p w14:paraId="09A55CD2">
      <w:pPr>
        <w:spacing w:line="360" w:lineRule="auto"/>
        <w:ind w:firstLine="480" w:firstLineChars="200"/>
        <w:jc w:val="left"/>
        <w:rPr>
          <w:color w:val="auto"/>
          <w:kern w:val="0"/>
          <w:sz w:val="24"/>
        </w:rPr>
      </w:pPr>
      <w:r>
        <w:rPr>
          <w:color w:val="auto"/>
          <w:kern w:val="0"/>
          <w:sz w:val="24"/>
        </w:rPr>
        <w:t>①主体工程区：可用表土和回填土集中分开堆放，并采取临时拦挡、排水、沉沙、覆盖等防护措施。施工结束后，对鱼塘周边空隙地恢复植被。根据项目区的施工情况，施工迹地平整后播撒草籽进行绿化，按该区域占地面积的40%估算绿化面积，草种选用白车轴草、狗牙根混撒，播撒密度为80kg/hm</w:t>
      </w:r>
      <w:r>
        <w:rPr>
          <w:color w:val="auto"/>
          <w:kern w:val="0"/>
          <w:sz w:val="24"/>
          <w:vertAlign w:val="superscript"/>
        </w:rPr>
        <w:t>2</w:t>
      </w:r>
      <w:r>
        <w:rPr>
          <w:color w:val="auto"/>
          <w:kern w:val="0"/>
          <w:sz w:val="24"/>
        </w:rPr>
        <w:t>。</w:t>
      </w:r>
    </w:p>
    <w:p w14:paraId="27E68C14">
      <w:pPr>
        <w:spacing w:line="360" w:lineRule="auto"/>
        <w:ind w:firstLine="480" w:firstLineChars="200"/>
        <w:jc w:val="left"/>
        <w:rPr>
          <w:color w:val="auto"/>
          <w:kern w:val="0"/>
          <w:sz w:val="24"/>
        </w:rPr>
      </w:pPr>
      <w:r>
        <w:rPr>
          <w:color w:val="auto"/>
          <w:kern w:val="0"/>
          <w:sz w:val="24"/>
        </w:rPr>
        <w:t>②土料场区：料场开挖结束，对施工迹地进行场地填凹平整。对开采边坡铺种草皮，草种选择狗牙根。对施工迹地覆盖表层土，占用林草地的区域树种选择柳树、紫穗槐混交，株行距2m×2.5m；草种选择狗牙根、白车轴草等混合草籽，播种量为80kg/hm</w:t>
      </w:r>
      <w:r>
        <w:rPr>
          <w:color w:val="auto"/>
          <w:kern w:val="0"/>
          <w:sz w:val="24"/>
          <w:vertAlign w:val="superscript"/>
        </w:rPr>
        <w:t>2</w:t>
      </w:r>
      <w:r>
        <w:rPr>
          <w:color w:val="auto"/>
          <w:kern w:val="0"/>
          <w:sz w:val="24"/>
        </w:rPr>
        <w:t>。</w:t>
      </w:r>
    </w:p>
    <w:p w14:paraId="5298A00D">
      <w:pPr>
        <w:spacing w:line="360" w:lineRule="auto"/>
        <w:ind w:firstLine="480" w:firstLineChars="200"/>
        <w:jc w:val="left"/>
        <w:rPr>
          <w:color w:val="auto"/>
          <w:kern w:val="0"/>
          <w:sz w:val="24"/>
        </w:rPr>
      </w:pPr>
      <w:r>
        <w:rPr>
          <w:color w:val="auto"/>
          <w:kern w:val="0"/>
          <w:sz w:val="24"/>
        </w:rPr>
        <w:t>③施工场地区：施工结束后对迹地松土平整，回覆表土，按原地类功能进行恢复。对占用的非耕地撒播狗牙根草籽，并种植乔灌木株间混交，株行距2×2.5m，草籽播种量为80kg/hm</w:t>
      </w:r>
      <w:r>
        <w:rPr>
          <w:color w:val="auto"/>
          <w:kern w:val="0"/>
          <w:sz w:val="24"/>
          <w:vertAlign w:val="superscript"/>
        </w:rPr>
        <w:t>2</w:t>
      </w:r>
      <w:r>
        <w:rPr>
          <w:color w:val="auto"/>
          <w:kern w:val="0"/>
          <w:sz w:val="24"/>
        </w:rPr>
        <w:t>。</w:t>
      </w:r>
    </w:p>
    <w:p w14:paraId="4440E2D2">
      <w:pPr>
        <w:spacing w:line="360" w:lineRule="auto"/>
        <w:ind w:firstLine="480" w:firstLineChars="200"/>
        <w:jc w:val="left"/>
        <w:rPr>
          <w:color w:val="auto"/>
          <w:kern w:val="0"/>
          <w:sz w:val="24"/>
        </w:rPr>
      </w:pPr>
      <w:r>
        <w:rPr>
          <w:color w:val="auto"/>
          <w:kern w:val="0"/>
          <w:sz w:val="24"/>
        </w:rPr>
        <w:t>④施工道路区：施工结束后对迹地松土平整，回覆表土，按原地类功能进行恢复。对占用的水田和旱地，计入移民复垦投资。</w:t>
      </w:r>
    </w:p>
    <w:p w14:paraId="084A72CD">
      <w:pPr>
        <w:spacing w:line="360" w:lineRule="auto"/>
        <w:ind w:firstLine="480" w:firstLineChars="200"/>
        <w:jc w:val="left"/>
        <w:rPr>
          <w:color w:val="auto"/>
          <w:kern w:val="0"/>
          <w:sz w:val="24"/>
        </w:rPr>
      </w:pPr>
      <w:r>
        <w:rPr>
          <w:color w:val="auto"/>
          <w:kern w:val="0"/>
          <w:sz w:val="24"/>
        </w:rPr>
        <w:t>（2）对土料场进行统一规划，施工时使用指定的土备料场，避免随意改变，应按照项目水土保持方案的要求，落实料场的水土保持措施和生态修复工作。</w:t>
      </w:r>
    </w:p>
    <w:p w14:paraId="2B22D427">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2.3生态影响的管理措施</w:t>
      </w:r>
    </w:p>
    <w:p w14:paraId="7231A00D">
      <w:pPr>
        <w:spacing w:line="360" w:lineRule="auto"/>
        <w:ind w:firstLine="480" w:firstLineChars="200"/>
        <w:jc w:val="left"/>
        <w:rPr>
          <w:color w:val="auto"/>
          <w:kern w:val="0"/>
          <w:sz w:val="24"/>
        </w:rPr>
      </w:pPr>
      <w:r>
        <w:rPr>
          <w:color w:val="auto"/>
          <w:kern w:val="0"/>
          <w:sz w:val="24"/>
        </w:rPr>
        <w:t>（1）加强宣传教育活动。施工前印发环境保护手册，组织专家对施工人员及附近居民等进行环保宣传教育，提高施工人员及附近居民对环境的保护意识。坚决制止评价区植被的滥砍乱伐、过量采伐、毁林开荒等不良现象发生，保护和培育现有森林资源。</w:t>
      </w:r>
    </w:p>
    <w:p w14:paraId="74D6024A">
      <w:pPr>
        <w:spacing w:line="360" w:lineRule="auto"/>
        <w:ind w:firstLine="480" w:firstLineChars="200"/>
        <w:jc w:val="left"/>
        <w:rPr>
          <w:color w:val="auto"/>
          <w:kern w:val="0"/>
          <w:sz w:val="24"/>
        </w:rPr>
      </w:pPr>
      <w:r>
        <w:rPr>
          <w:color w:val="auto"/>
          <w:kern w:val="0"/>
          <w:sz w:val="24"/>
        </w:rPr>
        <w:t>（2）工程施工期、运营期均加强生态影响的监测和管理。施工期，对施工区域进行植被监测，做植物样方调查；要加强对这些重点保护植物的调查，施工过程中若发现，及时上报主管部门，并根据其所处位置及受影响程度，采取迁地移栽或就地保护等措施。</w:t>
      </w:r>
    </w:p>
    <w:p w14:paraId="5122BC8E">
      <w:pPr>
        <w:spacing w:line="360" w:lineRule="auto"/>
        <w:ind w:firstLine="480" w:firstLineChars="200"/>
        <w:jc w:val="left"/>
        <w:rPr>
          <w:color w:val="auto"/>
          <w:kern w:val="0"/>
          <w:sz w:val="24"/>
        </w:rPr>
      </w:pPr>
      <w:r>
        <w:rPr>
          <w:color w:val="auto"/>
          <w:kern w:val="0"/>
          <w:sz w:val="24"/>
        </w:rPr>
        <w:t>运营期，定期监测临时占地区域植被恢复情况。通过监测，加强对生态的管理，在工程管理机构，应设置生态环境管理人员，建立各种管理及报告制度，开展对工程影响区的环境教育，提高施工人员和管理人员环境意识。通过动态监测和完善管理，使生态向良性或有利方向发展。</w:t>
      </w:r>
    </w:p>
    <w:p w14:paraId="3CA86E2D">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2.4对重点保护野生植物的保护措施</w:t>
      </w:r>
    </w:p>
    <w:p w14:paraId="24977EFA">
      <w:pPr>
        <w:spacing w:line="360" w:lineRule="auto"/>
        <w:ind w:firstLine="480" w:firstLineChars="200"/>
        <w:jc w:val="left"/>
        <w:rPr>
          <w:color w:val="auto"/>
          <w:kern w:val="0"/>
          <w:sz w:val="24"/>
        </w:rPr>
      </w:pPr>
      <w:r>
        <w:rPr>
          <w:color w:val="auto"/>
          <w:kern w:val="0"/>
          <w:sz w:val="24"/>
        </w:rPr>
        <w:t>根据现场调查结果，评价区未发现的重点保护植物。</w:t>
      </w:r>
    </w:p>
    <w:p w14:paraId="62EF135C">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2.5对特有植物的保护措施</w:t>
      </w:r>
    </w:p>
    <w:p w14:paraId="08C6A8C3">
      <w:pPr>
        <w:spacing w:line="360" w:lineRule="auto"/>
        <w:ind w:firstLine="480" w:firstLineChars="200"/>
        <w:jc w:val="left"/>
        <w:rPr>
          <w:color w:val="auto"/>
          <w:kern w:val="0"/>
          <w:sz w:val="24"/>
        </w:rPr>
      </w:pPr>
      <w:r>
        <w:rPr>
          <w:color w:val="auto"/>
          <w:kern w:val="0"/>
          <w:sz w:val="24"/>
        </w:rPr>
        <w:t>结合现场调查结果，特有植物在评价区较为常见，可以通过以下保护措施以降低对特有植物的影响：</w:t>
      </w:r>
    </w:p>
    <w:p w14:paraId="4844E960">
      <w:pPr>
        <w:spacing w:line="360" w:lineRule="auto"/>
        <w:ind w:firstLine="480" w:firstLineChars="200"/>
        <w:jc w:val="left"/>
        <w:rPr>
          <w:color w:val="auto"/>
          <w:kern w:val="0"/>
          <w:sz w:val="24"/>
        </w:rPr>
      </w:pPr>
      <w:r>
        <w:rPr>
          <w:color w:val="auto"/>
          <w:kern w:val="0"/>
          <w:sz w:val="24"/>
        </w:rPr>
        <w:t>（1）对于占有部分特有植物的生境，可以通过移栽或采取其种子，选取合适的生境栽植或播种，降低施工影响。对于未在占地范围内的特有植物如旱柳等，应通过加强管理、划定施工范围、设置警示牌等方法，避免占用此类特有植物的生境。</w:t>
      </w:r>
    </w:p>
    <w:p w14:paraId="16B9EBFB">
      <w:pPr>
        <w:spacing w:line="360" w:lineRule="auto"/>
        <w:ind w:firstLine="480" w:firstLineChars="200"/>
        <w:jc w:val="left"/>
        <w:rPr>
          <w:color w:val="auto"/>
          <w:kern w:val="0"/>
          <w:sz w:val="24"/>
        </w:rPr>
      </w:pPr>
      <w:r>
        <w:rPr>
          <w:color w:val="auto"/>
          <w:kern w:val="0"/>
          <w:sz w:val="24"/>
        </w:rPr>
        <w:t>（2）避免车辆在运输过程中对特有植物的碾压，尽量减少对特有的破坏，同时要注意避免扬尘、施工废水及生活污水对区域土壤的污染，保证施工对区域特有植物生境的破坏最小化。</w:t>
      </w:r>
    </w:p>
    <w:p w14:paraId="759EC96F">
      <w:pPr>
        <w:spacing w:line="360" w:lineRule="auto"/>
        <w:ind w:firstLine="480" w:firstLineChars="200"/>
        <w:jc w:val="left"/>
        <w:rPr>
          <w:color w:val="auto"/>
          <w:kern w:val="0"/>
          <w:sz w:val="24"/>
        </w:rPr>
      </w:pPr>
      <w:r>
        <w:rPr>
          <w:color w:val="auto"/>
          <w:kern w:val="0"/>
          <w:sz w:val="24"/>
        </w:rPr>
        <w:t>（3）施工产生的废渣、废水及时处理，避免占用特有植物生境。</w:t>
      </w:r>
    </w:p>
    <w:p w14:paraId="67A28B94">
      <w:pPr>
        <w:spacing w:line="360" w:lineRule="auto"/>
        <w:ind w:firstLine="480" w:firstLineChars="200"/>
        <w:jc w:val="left"/>
        <w:rPr>
          <w:color w:val="auto"/>
          <w:kern w:val="0"/>
          <w:sz w:val="24"/>
        </w:rPr>
      </w:pPr>
      <w:r>
        <w:rPr>
          <w:color w:val="auto"/>
          <w:kern w:val="0"/>
          <w:sz w:val="24"/>
        </w:rPr>
        <w:t>（4）加强对施工人员及施工活动的管理。施工过程中，加强施工人员的管理，禁止施工人员对植被随意破坏，严格限制人员的活动范围，严禁破坏沿线的生态环境。</w:t>
      </w:r>
    </w:p>
    <w:p w14:paraId="61D1881A">
      <w:pPr>
        <w:spacing w:line="360" w:lineRule="auto"/>
        <w:ind w:firstLine="480" w:firstLineChars="200"/>
        <w:jc w:val="left"/>
        <w:rPr>
          <w:color w:val="auto"/>
          <w:kern w:val="0"/>
          <w:sz w:val="24"/>
        </w:rPr>
      </w:pPr>
      <w:r>
        <w:rPr>
          <w:color w:val="auto"/>
          <w:kern w:val="0"/>
          <w:sz w:val="24"/>
        </w:rPr>
        <w:t>（5）植被恢复措施中，也可以选择特有植物作为恢复植物种。</w:t>
      </w:r>
    </w:p>
    <w:p w14:paraId="3E5F3765">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2.6对外来入侵物种的防治措施</w:t>
      </w:r>
    </w:p>
    <w:p w14:paraId="65DCF162">
      <w:pPr>
        <w:spacing w:line="360" w:lineRule="auto"/>
        <w:ind w:firstLine="480" w:firstLineChars="200"/>
        <w:jc w:val="left"/>
        <w:rPr>
          <w:color w:val="auto"/>
          <w:kern w:val="0"/>
          <w:sz w:val="24"/>
        </w:rPr>
      </w:pPr>
      <w:r>
        <w:rPr>
          <w:color w:val="auto"/>
          <w:kern w:val="0"/>
          <w:sz w:val="24"/>
        </w:rPr>
        <w:t>（1）对于调查到的外来入侵植物小蓬草、一年蓬等利用工程施工的机会，对有种子的植物现场烧毁，以防种子扩散。对调查到的外来入侵植物凤眼莲面积较小区域可采用人工打捞晒干后进行烧毁，对于面积较大区域使用相关机械将其搅碎打捞晒干后进行烧毁。对调查到的外来入侵植物采用生物防治。</w:t>
      </w:r>
    </w:p>
    <w:p w14:paraId="682538AE">
      <w:pPr>
        <w:spacing w:line="360" w:lineRule="auto"/>
        <w:ind w:firstLine="480" w:firstLineChars="200"/>
        <w:jc w:val="left"/>
        <w:rPr>
          <w:color w:val="auto"/>
          <w:kern w:val="0"/>
          <w:sz w:val="24"/>
        </w:rPr>
      </w:pPr>
      <w:r>
        <w:rPr>
          <w:color w:val="auto"/>
          <w:kern w:val="0"/>
          <w:sz w:val="24"/>
        </w:rPr>
        <w:t>（2）加大宣传力度，对外来物种的危害以及传播途径向施工人员进行宣传。在工程施工时，要严格对施工机械、施工人员进行检疫，防止外来物种进入施工区。</w:t>
      </w:r>
    </w:p>
    <w:p w14:paraId="76FC639E">
      <w:pPr>
        <w:spacing w:line="360" w:lineRule="auto"/>
        <w:ind w:firstLine="480" w:firstLineChars="200"/>
        <w:jc w:val="left"/>
        <w:rPr>
          <w:color w:val="auto"/>
          <w:kern w:val="0"/>
          <w:sz w:val="24"/>
        </w:rPr>
      </w:pPr>
      <w:r>
        <w:rPr>
          <w:color w:val="auto"/>
          <w:kern w:val="0"/>
          <w:sz w:val="24"/>
        </w:rPr>
        <w:t>（3）对施工扰动区域应及时的采取密植的方式进行绿化，防止外来物种的侵入。</w:t>
      </w:r>
    </w:p>
    <w:p w14:paraId="4B86A0A1">
      <w:pPr>
        <w:spacing w:line="360" w:lineRule="auto"/>
        <w:ind w:firstLine="480" w:firstLineChars="200"/>
        <w:jc w:val="left"/>
        <w:rPr>
          <w:color w:val="auto"/>
          <w:kern w:val="0"/>
          <w:sz w:val="24"/>
        </w:rPr>
      </w:pPr>
      <w:r>
        <w:rPr>
          <w:color w:val="auto"/>
          <w:kern w:val="0"/>
          <w:sz w:val="24"/>
        </w:rPr>
        <w:t>（4）加强对临时占地区及施工扰动区的外来入侵植物的监测工作。</w:t>
      </w:r>
    </w:p>
    <w:p w14:paraId="06CD20A0">
      <w:pPr>
        <w:spacing w:line="360" w:lineRule="auto"/>
        <w:ind w:firstLine="480" w:firstLineChars="200"/>
        <w:jc w:val="left"/>
        <w:rPr>
          <w:color w:val="auto"/>
          <w:kern w:val="0"/>
          <w:sz w:val="24"/>
        </w:rPr>
      </w:pPr>
      <w:r>
        <w:rPr>
          <w:color w:val="auto"/>
          <w:kern w:val="0"/>
          <w:sz w:val="24"/>
        </w:rPr>
        <w:t>（5）对植被恢复选用的苗木或确需引入的农作物品种进行严格的检疫，防治外来入侵物种新的带入。若施工时发现外来物种，可采用物理或生物方法进行消灭。</w:t>
      </w:r>
    </w:p>
    <w:p w14:paraId="06694F54">
      <w:pPr>
        <w:pStyle w:val="82"/>
        <w:widowControl w:val="0"/>
        <w:spacing w:line="360" w:lineRule="auto"/>
        <w:outlineLvl w:val="1"/>
        <w:rPr>
          <w:rFonts w:ascii="Times New Roman" w:hAnsi="Times New Roman" w:eastAsia="宋体" w:cs="Times New Roman"/>
          <w:b/>
          <w:color w:val="auto"/>
          <w:sz w:val="30"/>
          <w:szCs w:val="30"/>
        </w:rPr>
      </w:pPr>
      <w:bookmarkStart w:id="181" w:name="_Toc5916"/>
      <w:bookmarkStart w:id="182" w:name="_Toc22426"/>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3陆生动物的保护措施</w:t>
      </w:r>
      <w:bookmarkEnd w:id="181"/>
      <w:bookmarkEnd w:id="182"/>
    </w:p>
    <w:p w14:paraId="1114FBA5">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3.1生态影响的避免措施</w:t>
      </w:r>
    </w:p>
    <w:p w14:paraId="6D06B045">
      <w:pPr>
        <w:spacing w:line="360" w:lineRule="auto"/>
        <w:ind w:firstLine="480" w:firstLineChars="200"/>
        <w:jc w:val="left"/>
        <w:rPr>
          <w:color w:val="auto"/>
          <w:kern w:val="0"/>
          <w:sz w:val="24"/>
        </w:rPr>
      </w:pPr>
      <w:r>
        <w:rPr>
          <w:color w:val="auto"/>
          <w:kern w:val="0"/>
          <w:sz w:val="24"/>
        </w:rPr>
        <w:t>（1）加强宣传、施工管理与监理。施工期间，以公告、宣传单、板报和会议等形式，加强对施工人员的环境保护宣传教育和保护野生动物常识的宣传，提高施工人员的环境保护意识，使其在施工中能自觉保护生态环境及野生动物，并遵守相关的生态保护规定。</w:t>
      </w:r>
    </w:p>
    <w:p w14:paraId="34A54446">
      <w:pPr>
        <w:spacing w:line="360" w:lineRule="auto"/>
        <w:ind w:firstLine="480" w:firstLineChars="200"/>
        <w:jc w:val="left"/>
        <w:rPr>
          <w:color w:val="auto"/>
          <w:kern w:val="0"/>
          <w:sz w:val="24"/>
        </w:rPr>
      </w:pPr>
      <w:r>
        <w:rPr>
          <w:color w:val="auto"/>
          <w:kern w:val="0"/>
          <w:sz w:val="24"/>
        </w:rPr>
        <w:t>（2）施工时粉状材料物要堆放好，同时要采取临时防风、防雨设施；对施工运输车辆应采取遮挡措施，施工、生活废水经过处理后排放，尽量避免对水体的影响进而影响部分动物的栖息环境。新建项目尽可能减少围填过程的悬浮物排放量，以避免大量施工泥沙进入附近水域，污染洞庭湖等湖泊水域。</w:t>
      </w:r>
    </w:p>
    <w:p w14:paraId="4338F8FD">
      <w:pPr>
        <w:spacing w:line="360" w:lineRule="auto"/>
        <w:ind w:firstLine="480" w:firstLineChars="200"/>
        <w:jc w:val="left"/>
        <w:rPr>
          <w:color w:val="auto"/>
          <w:kern w:val="0"/>
          <w:sz w:val="24"/>
        </w:rPr>
      </w:pPr>
      <w:r>
        <w:rPr>
          <w:color w:val="auto"/>
          <w:kern w:val="0"/>
          <w:sz w:val="24"/>
        </w:rPr>
        <w:t>（3）工程施工季节为枯水期，该时期鹭科、鹬科、鸻科等冬候鸟多在河流附近滩涂、草地活动，应加强对其的保护，严禁在施工河段及施工生产生活区附近惊扰或猎捕这些鸟类或从事其它有碍生态环境保护的活动。</w:t>
      </w:r>
    </w:p>
    <w:p w14:paraId="7BB4C74A">
      <w:pPr>
        <w:spacing w:line="360" w:lineRule="auto"/>
        <w:ind w:firstLine="480" w:firstLineChars="200"/>
        <w:jc w:val="left"/>
        <w:rPr>
          <w:color w:val="auto"/>
          <w:kern w:val="0"/>
          <w:sz w:val="24"/>
        </w:rPr>
      </w:pPr>
      <w:r>
        <w:rPr>
          <w:color w:val="auto"/>
          <w:kern w:val="0"/>
          <w:sz w:val="24"/>
        </w:rPr>
        <w:t>（4）划定施工界限。为消减施工队伍对野生动植物的影响，要标明施工活动区（配合植物资源保护措施中设置的标牌），严令禁止到非施工区域活动。</w:t>
      </w:r>
    </w:p>
    <w:p w14:paraId="614E69BA">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3.2生态影响的减缓措施</w:t>
      </w:r>
    </w:p>
    <w:p w14:paraId="183AEA8D">
      <w:pPr>
        <w:spacing w:line="360" w:lineRule="auto"/>
        <w:ind w:firstLine="480" w:firstLineChars="200"/>
        <w:jc w:val="left"/>
        <w:rPr>
          <w:color w:val="auto"/>
          <w:kern w:val="0"/>
          <w:sz w:val="24"/>
        </w:rPr>
      </w:pPr>
      <w:r>
        <w:rPr>
          <w:color w:val="auto"/>
          <w:kern w:val="0"/>
          <w:sz w:val="24"/>
        </w:rPr>
        <w:t>（1）合理安排工程施工时段和方式，</w:t>
      </w:r>
      <w:r>
        <w:rPr>
          <w:rFonts w:hint="eastAsia"/>
          <w:color w:val="auto"/>
          <w:kern w:val="0"/>
          <w:sz w:val="24"/>
        </w:rPr>
        <w:t>严格限制候鸟越冬期（10月</w:t>
      </w:r>
      <w:r>
        <w:rPr>
          <w:color w:val="auto"/>
          <w:kern w:val="0"/>
          <w:sz w:val="24"/>
        </w:rPr>
        <w:t>~</w:t>
      </w:r>
      <w:r>
        <w:rPr>
          <w:rFonts w:hint="eastAsia"/>
          <w:color w:val="auto"/>
          <w:kern w:val="0"/>
          <w:sz w:val="24"/>
        </w:rPr>
        <w:t>次年3月）施工，</w:t>
      </w:r>
      <w:r>
        <w:rPr>
          <w:color w:val="auto"/>
          <w:kern w:val="0"/>
          <w:sz w:val="24"/>
        </w:rPr>
        <w:t>防治噪声对野生动物的惊扰。野生鸟类和兽类大多是早晨、黄昏或夜间外出觅食，正午是鸟类休息时间。为了减少工程施工噪声对野生动物的惊扰，应做好施工方式和时间的计划，并力求避免在晨昏和正午进行高噪声作业等。</w:t>
      </w:r>
    </w:p>
    <w:p w14:paraId="2744DEDE">
      <w:pPr>
        <w:spacing w:line="360" w:lineRule="auto"/>
        <w:ind w:firstLine="480" w:firstLineChars="200"/>
        <w:jc w:val="left"/>
        <w:rPr>
          <w:color w:val="auto"/>
          <w:kern w:val="0"/>
          <w:sz w:val="24"/>
        </w:rPr>
      </w:pPr>
      <w:r>
        <w:rPr>
          <w:color w:val="auto"/>
          <w:kern w:val="0"/>
          <w:sz w:val="24"/>
        </w:rPr>
        <w:t>评价区保存了较为良好的湿地生态系统，成为迁徙鸟类重要的停歇地和越冬地，评价区冬候鸟占评价区鸟类种数的40.34%，所占的比例较大，因此工程在10月到次年3月鸟类迁徙高峰期和越冬期应尽量使用低噪声设备等，减少对越冬候鸟正常栖息的影响。</w:t>
      </w:r>
    </w:p>
    <w:p w14:paraId="1826B49B">
      <w:pPr>
        <w:spacing w:line="360" w:lineRule="auto"/>
        <w:ind w:firstLine="480" w:firstLineChars="200"/>
        <w:jc w:val="left"/>
        <w:rPr>
          <w:color w:val="auto"/>
          <w:kern w:val="0"/>
          <w:sz w:val="24"/>
        </w:rPr>
      </w:pPr>
      <w:r>
        <w:rPr>
          <w:color w:val="auto"/>
          <w:kern w:val="0"/>
          <w:sz w:val="24"/>
        </w:rPr>
        <w:t>（2）优化工程布置，施工生产生活区等尽量避免占用林地，尽量减少对植被的破坏，进而减少对动物栖息地的破坏。</w:t>
      </w:r>
    </w:p>
    <w:p w14:paraId="1FEB5C80">
      <w:pPr>
        <w:spacing w:line="360" w:lineRule="auto"/>
        <w:ind w:firstLine="480" w:firstLineChars="200"/>
        <w:jc w:val="left"/>
        <w:rPr>
          <w:color w:val="auto"/>
          <w:kern w:val="0"/>
          <w:sz w:val="24"/>
        </w:rPr>
      </w:pPr>
      <w:r>
        <w:rPr>
          <w:color w:val="auto"/>
          <w:kern w:val="0"/>
          <w:sz w:val="24"/>
        </w:rPr>
        <w:t>（3）合理安排施工时序，优化施工组织。错开施工高峰期，避免同一区域出现大规模的施工。</w:t>
      </w:r>
    </w:p>
    <w:p w14:paraId="23486B33">
      <w:pPr>
        <w:spacing w:line="360" w:lineRule="auto"/>
        <w:ind w:firstLine="480" w:firstLineChars="200"/>
        <w:jc w:val="left"/>
        <w:rPr>
          <w:color w:val="auto"/>
          <w:kern w:val="0"/>
          <w:sz w:val="24"/>
        </w:rPr>
      </w:pPr>
      <w:r>
        <w:rPr>
          <w:color w:val="auto"/>
          <w:kern w:val="0"/>
          <w:sz w:val="24"/>
        </w:rPr>
        <w:t>（4）施工期间，在各主要施工作业区设置生态保护警示牌，警示牌上标明工程施工区范围，禁止施工人员越界施工或砍伐林木、禁止捕猎野生动物，尽量减少占地造成的植被损失和对野生动物的伤害。</w:t>
      </w:r>
    </w:p>
    <w:p w14:paraId="2C454F0E">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3.3生态影响的恢复和补偿措施</w:t>
      </w:r>
    </w:p>
    <w:p w14:paraId="79F6A985">
      <w:pPr>
        <w:spacing w:line="360" w:lineRule="auto"/>
        <w:ind w:firstLine="480" w:firstLineChars="200"/>
        <w:jc w:val="left"/>
        <w:rPr>
          <w:color w:val="auto"/>
          <w:kern w:val="0"/>
          <w:sz w:val="24"/>
        </w:rPr>
      </w:pPr>
      <w:r>
        <w:rPr>
          <w:color w:val="auto"/>
          <w:kern w:val="0"/>
          <w:sz w:val="24"/>
        </w:rPr>
        <w:t>（1）工程完工后尽快做好生态环境的恢复工作，尤其是施工作业场、临时道路、土料场等临时占地处及时复垦或加盖覆土，种植本地土著植物品种，尽快恢复临时占地区的植被，以尽量减少生境破坏对动物的不利影响。</w:t>
      </w:r>
    </w:p>
    <w:p w14:paraId="06D24091">
      <w:pPr>
        <w:spacing w:line="360" w:lineRule="auto"/>
        <w:ind w:firstLine="480" w:firstLineChars="200"/>
        <w:jc w:val="left"/>
        <w:rPr>
          <w:color w:val="auto"/>
          <w:kern w:val="0"/>
          <w:sz w:val="24"/>
        </w:rPr>
      </w:pPr>
      <w:r>
        <w:rPr>
          <w:color w:val="auto"/>
          <w:kern w:val="0"/>
          <w:sz w:val="24"/>
        </w:rPr>
        <w:t>（2）由于施工结束后，临时占地内的植物生长需要一定时间，对于视觉景观的改变，野生动物适应有一个过程，需要一段时间，施工后在临时占地处补种一些本地土著植物并减少人为活动的痕迹，促使植被尽早恢复，形成与原来一致的视觉景观，使该地区的动物尽快恢复到施工前的种群状态。</w:t>
      </w:r>
    </w:p>
    <w:p w14:paraId="4B03A7DB">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3.4生态影响的管理措施</w:t>
      </w:r>
    </w:p>
    <w:p w14:paraId="664B6AB3">
      <w:pPr>
        <w:spacing w:line="360" w:lineRule="auto"/>
        <w:ind w:firstLine="480" w:firstLineChars="200"/>
        <w:jc w:val="left"/>
        <w:rPr>
          <w:color w:val="auto"/>
          <w:kern w:val="0"/>
          <w:sz w:val="24"/>
        </w:rPr>
      </w:pPr>
      <w:r>
        <w:rPr>
          <w:color w:val="auto"/>
          <w:kern w:val="0"/>
          <w:sz w:val="24"/>
        </w:rPr>
        <w:t>（1）编制珍稀野生动物保护手册，在施工期间对施工人员和附近居民进行生态保护的宣传教育，明确工程区域涉及的所有珍稀保护动物名录，说明国家法律对其的保护要求和保护意义，介绍其生活习性、栖息环境、种群分布以及在工程区域出没情况，并制定各物种的常规保护方法和应急保护方法。</w:t>
      </w:r>
    </w:p>
    <w:p w14:paraId="764955AD">
      <w:pPr>
        <w:spacing w:line="360" w:lineRule="auto"/>
        <w:ind w:firstLine="480" w:firstLineChars="200"/>
        <w:jc w:val="left"/>
        <w:rPr>
          <w:color w:val="auto"/>
          <w:kern w:val="0"/>
          <w:sz w:val="24"/>
        </w:rPr>
      </w:pPr>
      <w:r>
        <w:rPr>
          <w:color w:val="auto"/>
          <w:kern w:val="0"/>
          <w:sz w:val="24"/>
        </w:rPr>
        <w:t>（2）从保护生态与环境的角度出发，建议本工程开工建设前，尽量做好施工工程评价前期工作；施工期间加强施工人员生活污水排放管理，做好生活垃圾清理工作，减少对环境的污染；做好工程完工后生态的恢复工作，以减少动物栖息地破坏及对水土流失、水质、两栖爬行类和湿地鸟类的不利影响。</w:t>
      </w:r>
    </w:p>
    <w:p w14:paraId="7668C954">
      <w:pPr>
        <w:spacing w:line="360" w:lineRule="auto"/>
        <w:ind w:firstLine="480" w:firstLineChars="200"/>
        <w:jc w:val="left"/>
        <w:rPr>
          <w:color w:val="auto"/>
          <w:kern w:val="0"/>
          <w:sz w:val="24"/>
        </w:rPr>
      </w:pPr>
      <w:r>
        <w:rPr>
          <w:color w:val="auto"/>
          <w:kern w:val="0"/>
          <w:sz w:val="24"/>
        </w:rPr>
        <w:t>（3）在施工和运行期均要制定严格的规章制度，规范工作人员的行为，坚决禁止偷猎、伤害、恐吓、袭击鸟类和其他动物的行为发生。</w:t>
      </w:r>
    </w:p>
    <w:p w14:paraId="2D00828B">
      <w:pPr>
        <w:spacing w:line="360" w:lineRule="auto"/>
        <w:ind w:firstLine="480" w:firstLineChars="200"/>
        <w:jc w:val="left"/>
        <w:rPr>
          <w:color w:val="auto"/>
          <w:kern w:val="0"/>
          <w:sz w:val="24"/>
        </w:rPr>
      </w:pPr>
      <w:r>
        <w:rPr>
          <w:color w:val="auto"/>
          <w:kern w:val="0"/>
          <w:sz w:val="24"/>
        </w:rPr>
        <w:t>（4）在工程建设和运行中应加强野生动物管理、保护和监测，在工程管理机构中设置相应的环境保护管理机构，配备专业管理人员，确保工程施工期和运行期中各项野生动物保护政策法规的贯彻以及环保措施落实，负责组织、落实、监督本工程的野生动物保护措施；组织施工期环境监测，以确保工程环境保护目标的实现，野生动物的生存不受到威胁。</w:t>
      </w:r>
    </w:p>
    <w:p w14:paraId="079CDF0C">
      <w:pPr>
        <w:spacing w:line="360" w:lineRule="auto"/>
        <w:ind w:firstLine="480" w:firstLineChars="200"/>
        <w:jc w:val="left"/>
        <w:rPr>
          <w:color w:val="auto"/>
          <w:kern w:val="0"/>
          <w:sz w:val="24"/>
        </w:rPr>
      </w:pPr>
      <w:r>
        <w:rPr>
          <w:color w:val="auto"/>
          <w:kern w:val="0"/>
          <w:sz w:val="24"/>
        </w:rPr>
        <w:t>对于重点保护野生动物，要提高施工人员的保护意识，严禁捕猎野生动物；严格划定施工范围，禁止越界施工；对施工废水和固体废物采取严格的环境保护措施，避免环境污染而间接影响动物生存；施工过程中对重点保护动物的栖息地进行保护，或者在其它适合地区另辟它处供其生存，降低工程对它们的影响；在施工及运营过程中如发现受伤的重点保护动物应交由相关野生动物保护部门处理。</w:t>
      </w:r>
    </w:p>
    <w:p w14:paraId="28258CF4">
      <w:pPr>
        <w:spacing w:line="360" w:lineRule="auto"/>
        <w:ind w:firstLine="480" w:firstLineChars="200"/>
        <w:jc w:val="left"/>
        <w:rPr>
          <w:color w:val="auto"/>
          <w:kern w:val="0"/>
          <w:sz w:val="24"/>
        </w:rPr>
      </w:pPr>
      <w:r>
        <w:rPr>
          <w:color w:val="auto"/>
          <w:kern w:val="0"/>
          <w:sz w:val="24"/>
        </w:rPr>
        <w:t>对评价区国家重点保护野生动物的保护措施详见表</w:t>
      </w:r>
      <w:r>
        <w:rPr>
          <w:rFonts w:hint="eastAsia"/>
          <w:color w:val="auto"/>
          <w:kern w:val="0"/>
          <w:sz w:val="24"/>
        </w:rPr>
        <w:t>5.</w:t>
      </w:r>
      <w:r>
        <w:rPr>
          <w:color w:val="auto"/>
          <w:kern w:val="0"/>
          <w:sz w:val="24"/>
        </w:rPr>
        <w:t>3-1。</w:t>
      </w:r>
    </w:p>
    <w:p w14:paraId="439D2BF5">
      <w:pPr>
        <w:ind w:firstLine="422" w:firstLineChars="200"/>
        <w:jc w:val="center"/>
        <w:rPr>
          <w:b/>
          <w:bCs/>
          <w:color w:val="auto"/>
          <w:szCs w:val="21"/>
        </w:rPr>
      </w:pPr>
      <w:r>
        <w:rPr>
          <w:b/>
          <w:bCs/>
          <w:color w:val="auto"/>
          <w:szCs w:val="21"/>
        </w:rPr>
        <w:t>表</w:t>
      </w:r>
      <w:r>
        <w:rPr>
          <w:rFonts w:hint="eastAsia"/>
          <w:b/>
          <w:bCs/>
          <w:color w:val="auto"/>
          <w:szCs w:val="21"/>
        </w:rPr>
        <w:t>5.</w:t>
      </w:r>
      <w:r>
        <w:rPr>
          <w:b/>
          <w:bCs/>
          <w:color w:val="auto"/>
          <w:szCs w:val="21"/>
        </w:rPr>
        <w:t>3-1   评价区国家重点保护动物的保护措施</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643"/>
        <w:gridCol w:w="1172"/>
        <w:gridCol w:w="1613"/>
        <w:gridCol w:w="807"/>
        <w:gridCol w:w="1158"/>
        <w:gridCol w:w="1690"/>
      </w:tblGrid>
      <w:tr w14:paraId="251F5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l2br w:val="nil"/>
              <w:tr2bl w:val="nil"/>
            </w:tcBorders>
            <w:vAlign w:val="center"/>
          </w:tcPr>
          <w:p w14:paraId="7FAC1C22">
            <w:pPr>
              <w:widowControl/>
              <w:snapToGrid w:val="0"/>
              <w:jc w:val="center"/>
              <w:rPr>
                <w:b/>
                <w:bCs/>
                <w:color w:val="auto"/>
                <w:kern w:val="0"/>
                <w:szCs w:val="21"/>
              </w:rPr>
            </w:pPr>
            <w:r>
              <w:rPr>
                <w:b/>
                <w:bCs/>
                <w:color w:val="auto"/>
                <w:kern w:val="0"/>
                <w:szCs w:val="21"/>
              </w:rPr>
              <w:t>序号</w:t>
            </w:r>
          </w:p>
        </w:tc>
        <w:tc>
          <w:tcPr>
            <w:tcW w:w="1643" w:type="dxa"/>
            <w:tcBorders>
              <w:tl2br w:val="nil"/>
              <w:tr2bl w:val="nil"/>
            </w:tcBorders>
            <w:vAlign w:val="center"/>
          </w:tcPr>
          <w:p w14:paraId="08C04528">
            <w:pPr>
              <w:widowControl/>
              <w:snapToGrid w:val="0"/>
              <w:jc w:val="center"/>
              <w:rPr>
                <w:b/>
                <w:bCs/>
                <w:color w:val="auto"/>
                <w:kern w:val="0"/>
                <w:szCs w:val="21"/>
              </w:rPr>
            </w:pPr>
            <w:r>
              <w:rPr>
                <w:b/>
                <w:bCs/>
                <w:color w:val="auto"/>
                <w:kern w:val="0"/>
                <w:szCs w:val="21"/>
              </w:rPr>
              <w:t>中文名、拉丁名</w:t>
            </w:r>
          </w:p>
        </w:tc>
        <w:tc>
          <w:tcPr>
            <w:tcW w:w="1172" w:type="dxa"/>
            <w:tcBorders>
              <w:tl2br w:val="nil"/>
              <w:tr2bl w:val="nil"/>
            </w:tcBorders>
            <w:vAlign w:val="center"/>
          </w:tcPr>
          <w:p w14:paraId="5329CC4C">
            <w:pPr>
              <w:widowControl/>
              <w:snapToGrid w:val="0"/>
              <w:jc w:val="center"/>
              <w:rPr>
                <w:b/>
                <w:bCs/>
                <w:color w:val="auto"/>
                <w:kern w:val="0"/>
                <w:szCs w:val="21"/>
              </w:rPr>
            </w:pPr>
            <w:r>
              <w:rPr>
                <w:b/>
                <w:bCs/>
                <w:color w:val="auto"/>
                <w:kern w:val="0"/>
                <w:szCs w:val="21"/>
              </w:rPr>
              <w:t>保护等级</w:t>
            </w:r>
          </w:p>
        </w:tc>
        <w:tc>
          <w:tcPr>
            <w:tcW w:w="1613" w:type="dxa"/>
            <w:tcBorders>
              <w:tl2br w:val="nil"/>
              <w:tr2bl w:val="nil"/>
            </w:tcBorders>
            <w:vAlign w:val="center"/>
          </w:tcPr>
          <w:p w14:paraId="058F655E">
            <w:pPr>
              <w:widowControl/>
              <w:snapToGrid w:val="0"/>
              <w:jc w:val="center"/>
              <w:rPr>
                <w:b/>
                <w:bCs/>
                <w:color w:val="auto"/>
                <w:kern w:val="0"/>
                <w:szCs w:val="21"/>
              </w:rPr>
            </w:pPr>
            <w:r>
              <w:rPr>
                <w:b/>
                <w:bCs/>
                <w:color w:val="auto"/>
                <w:kern w:val="0"/>
                <w:szCs w:val="21"/>
              </w:rPr>
              <w:t>居留型（鸟类）</w:t>
            </w:r>
          </w:p>
        </w:tc>
        <w:tc>
          <w:tcPr>
            <w:tcW w:w="0" w:type="auto"/>
            <w:tcBorders>
              <w:tl2br w:val="nil"/>
              <w:tr2bl w:val="nil"/>
            </w:tcBorders>
            <w:vAlign w:val="center"/>
          </w:tcPr>
          <w:p w14:paraId="69306DE2">
            <w:pPr>
              <w:widowControl/>
              <w:snapToGrid w:val="0"/>
              <w:jc w:val="center"/>
              <w:rPr>
                <w:b/>
                <w:bCs/>
                <w:color w:val="auto"/>
                <w:kern w:val="0"/>
                <w:szCs w:val="21"/>
              </w:rPr>
            </w:pPr>
            <w:r>
              <w:rPr>
                <w:b/>
                <w:bCs/>
                <w:color w:val="auto"/>
                <w:kern w:val="0"/>
                <w:szCs w:val="21"/>
              </w:rPr>
              <w:t>分布</w:t>
            </w:r>
          </w:p>
        </w:tc>
        <w:tc>
          <w:tcPr>
            <w:tcW w:w="0" w:type="auto"/>
            <w:tcBorders>
              <w:tl2br w:val="nil"/>
              <w:tr2bl w:val="nil"/>
            </w:tcBorders>
            <w:vAlign w:val="center"/>
          </w:tcPr>
          <w:p w14:paraId="01F473C9">
            <w:pPr>
              <w:widowControl/>
              <w:snapToGrid w:val="0"/>
              <w:jc w:val="center"/>
              <w:rPr>
                <w:b/>
                <w:bCs/>
                <w:color w:val="auto"/>
                <w:kern w:val="0"/>
                <w:szCs w:val="21"/>
              </w:rPr>
            </w:pPr>
            <w:r>
              <w:rPr>
                <w:b/>
                <w:bCs/>
                <w:color w:val="auto"/>
                <w:kern w:val="0"/>
                <w:szCs w:val="21"/>
              </w:rPr>
              <w:t>受影响方式与程度</w:t>
            </w:r>
          </w:p>
        </w:tc>
        <w:tc>
          <w:tcPr>
            <w:tcW w:w="0" w:type="auto"/>
            <w:tcBorders>
              <w:tl2br w:val="nil"/>
              <w:tr2bl w:val="nil"/>
            </w:tcBorders>
            <w:vAlign w:val="center"/>
          </w:tcPr>
          <w:p w14:paraId="1A0AA317">
            <w:pPr>
              <w:widowControl/>
              <w:snapToGrid w:val="0"/>
              <w:jc w:val="center"/>
              <w:rPr>
                <w:b/>
                <w:bCs/>
                <w:color w:val="auto"/>
                <w:kern w:val="0"/>
                <w:szCs w:val="21"/>
              </w:rPr>
            </w:pPr>
            <w:r>
              <w:rPr>
                <w:b/>
                <w:bCs/>
                <w:color w:val="auto"/>
                <w:kern w:val="0"/>
                <w:szCs w:val="21"/>
              </w:rPr>
              <w:t>保护措施</w:t>
            </w:r>
          </w:p>
        </w:tc>
      </w:tr>
      <w:tr w14:paraId="267C5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l2br w:val="nil"/>
              <w:tr2bl w:val="nil"/>
            </w:tcBorders>
            <w:vAlign w:val="center"/>
          </w:tcPr>
          <w:p w14:paraId="3F6FDD99">
            <w:pPr>
              <w:widowControl/>
              <w:snapToGrid w:val="0"/>
              <w:jc w:val="center"/>
              <w:rPr>
                <w:color w:val="auto"/>
                <w:kern w:val="0"/>
                <w:szCs w:val="21"/>
              </w:rPr>
            </w:pPr>
            <w:r>
              <w:rPr>
                <w:color w:val="auto"/>
                <w:kern w:val="0"/>
                <w:szCs w:val="21"/>
              </w:rPr>
              <w:t>1</w:t>
            </w:r>
          </w:p>
        </w:tc>
        <w:tc>
          <w:tcPr>
            <w:tcW w:w="1643" w:type="dxa"/>
            <w:tcBorders>
              <w:tl2br w:val="nil"/>
              <w:tr2bl w:val="nil"/>
            </w:tcBorders>
            <w:vAlign w:val="center"/>
          </w:tcPr>
          <w:p w14:paraId="41950555">
            <w:pPr>
              <w:widowControl/>
              <w:snapToGrid w:val="0"/>
              <w:jc w:val="center"/>
              <w:rPr>
                <w:color w:val="auto"/>
                <w:kern w:val="0"/>
                <w:szCs w:val="21"/>
              </w:rPr>
            </w:pPr>
            <w:r>
              <w:rPr>
                <w:color w:val="auto"/>
                <w:kern w:val="0"/>
                <w:szCs w:val="21"/>
              </w:rPr>
              <w:t>灰鹤</w:t>
            </w:r>
          </w:p>
          <w:p w14:paraId="0CFA640D">
            <w:pPr>
              <w:widowControl/>
              <w:snapToGrid w:val="0"/>
              <w:jc w:val="center"/>
              <w:rPr>
                <w:color w:val="auto"/>
                <w:kern w:val="0"/>
                <w:szCs w:val="21"/>
              </w:rPr>
            </w:pPr>
            <w:r>
              <w:rPr>
                <w:i/>
                <w:iCs/>
                <w:color w:val="auto"/>
                <w:kern w:val="0"/>
                <w:szCs w:val="21"/>
              </w:rPr>
              <w:t>Grus grus</w:t>
            </w:r>
          </w:p>
        </w:tc>
        <w:tc>
          <w:tcPr>
            <w:tcW w:w="1172" w:type="dxa"/>
            <w:tcBorders>
              <w:tl2br w:val="nil"/>
              <w:tr2bl w:val="nil"/>
            </w:tcBorders>
            <w:vAlign w:val="center"/>
          </w:tcPr>
          <w:p w14:paraId="7CDCF5D9">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43D08FB3">
            <w:pPr>
              <w:widowControl/>
              <w:snapToGrid w:val="0"/>
              <w:jc w:val="center"/>
              <w:rPr>
                <w:color w:val="auto"/>
                <w:kern w:val="0"/>
                <w:szCs w:val="21"/>
              </w:rPr>
            </w:pPr>
            <w:r>
              <w:rPr>
                <w:color w:val="auto"/>
                <w:kern w:val="0"/>
                <w:szCs w:val="21"/>
              </w:rPr>
              <w:t>冬候鸟</w:t>
            </w:r>
          </w:p>
        </w:tc>
        <w:tc>
          <w:tcPr>
            <w:tcW w:w="0" w:type="auto"/>
            <w:vMerge w:val="restart"/>
            <w:tcBorders>
              <w:tl2br w:val="nil"/>
              <w:tr2bl w:val="nil"/>
            </w:tcBorders>
            <w:vAlign w:val="center"/>
          </w:tcPr>
          <w:p w14:paraId="3325A842">
            <w:pPr>
              <w:widowControl/>
              <w:snapToGrid w:val="0"/>
              <w:jc w:val="center"/>
              <w:rPr>
                <w:color w:val="auto"/>
                <w:kern w:val="0"/>
                <w:szCs w:val="21"/>
              </w:rPr>
            </w:pPr>
            <w:r>
              <w:rPr>
                <w:color w:val="auto"/>
                <w:kern w:val="0"/>
                <w:szCs w:val="21"/>
              </w:rPr>
              <w:t>湖南东洞庭湖国家级自然保护区生态敏感区内</w:t>
            </w:r>
          </w:p>
        </w:tc>
        <w:tc>
          <w:tcPr>
            <w:tcW w:w="0" w:type="auto"/>
            <w:vMerge w:val="restart"/>
            <w:tcBorders>
              <w:tl2br w:val="nil"/>
              <w:tr2bl w:val="nil"/>
            </w:tcBorders>
            <w:vAlign w:val="center"/>
          </w:tcPr>
          <w:p w14:paraId="46B4CAD6">
            <w:pPr>
              <w:widowControl/>
              <w:snapToGrid w:val="0"/>
              <w:jc w:val="center"/>
              <w:rPr>
                <w:color w:val="auto"/>
                <w:kern w:val="0"/>
                <w:szCs w:val="21"/>
              </w:rPr>
            </w:pPr>
            <w:r>
              <w:rPr>
                <w:color w:val="auto"/>
                <w:kern w:val="0"/>
                <w:szCs w:val="21"/>
              </w:rPr>
              <w:t>每年10~11月迁入，2~3月迁出，夏季蓄洪对其基本无影响，分布区域距建设工程较远，工程基本不会占用其生境，但需防止人为捕杀。</w:t>
            </w:r>
          </w:p>
        </w:tc>
        <w:tc>
          <w:tcPr>
            <w:tcW w:w="0" w:type="auto"/>
            <w:vMerge w:val="restart"/>
            <w:tcBorders>
              <w:tl2br w:val="nil"/>
              <w:tr2bl w:val="nil"/>
            </w:tcBorders>
            <w:vAlign w:val="center"/>
          </w:tcPr>
          <w:p w14:paraId="20D64BEF">
            <w:pPr>
              <w:widowControl/>
              <w:jc w:val="center"/>
              <w:rPr>
                <w:color w:val="auto"/>
                <w:kern w:val="0"/>
                <w:szCs w:val="21"/>
              </w:rPr>
            </w:pPr>
            <w:r>
              <w:rPr>
                <w:color w:val="auto"/>
                <w:kern w:val="0"/>
                <w:szCs w:val="21"/>
                <w:lang w:bidi="ar"/>
              </w:rPr>
              <w:t>评价区是迁徙鸟类重要的停歇地和越冬地，湿地公园、保护区等生态敏感区附近工程施工应尽量避开10月</w:t>
            </w:r>
            <w:r>
              <w:rPr>
                <w:color w:val="auto"/>
                <w:kern w:val="0"/>
                <w:szCs w:val="21"/>
              </w:rPr>
              <w:t>~</w:t>
            </w:r>
            <w:r>
              <w:rPr>
                <w:color w:val="auto"/>
                <w:kern w:val="0"/>
                <w:szCs w:val="21"/>
                <w:lang w:bidi="ar"/>
              </w:rPr>
              <w:t>次年3月，避免进行高噪声施工；严格管理废水及生活污水的排放；划定施工范围，减少施工占地及施工活动造成的植被损失，严禁施工人员进入湿地公园及保护区抓捕、猎杀；加强对洲滩、浅水洼地、草滩、沼泽地的保护，加强区域鸟类及栖息地监测工作。</w:t>
            </w:r>
          </w:p>
          <w:p w14:paraId="582BE1A5">
            <w:pPr>
              <w:widowControl/>
              <w:snapToGrid w:val="0"/>
              <w:jc w:val="center"/>
              <w:rPr>
                <w:color w:val="auto"/>
                <w:kern w:val="0"/>
                <w:szCs w:val="21"/>
              </w:rPr>
            </w:pPr>
          </w:p>
        </w:tc>
      </w:tr>
      <w:tr w14:paraId="74300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l2br w:val="nil"/>
              <w:tr2bl w:val="nil"/>
            </w:tcBorders>
            <w:vAlign w:val="center"/>
          </w:tcPr>
          <w:p w14:paraId="0C39430E">
            <w:pPr>
              <w:widowControl/>
              <w:snapToGrid w:val="0"/>
              <w:jc w:val="center"/>
              <w:rPr>
                <w:color w:val="auto"/>
                <w:kern w:val="0"/>
                <w:szCs w:val="21"/>
              </w:rPr>
            </w:pPr>
            <w:r>
              <w:rPr>
                <w:color w:val="auto"/>
                <w:kern w:val="0"/>
                <w:szCs w:val="21"/>
              </w:rPr>
              <w:t>2</w:t>
            </w:r>
          </w:p>
        </w:tc>
        <w:tc>
          <w:tcPr>
            <w:tcW w:w="1643" w:type="dxa"/>
            <w:tcBorders>
              <w:tl2br w:val="nil"/>
              <w:tr2bl w:val="nil"/>
            </w:tcBorders>
            <w:vAlign w:val="center"/>
          </w:tcPr>
          <w:p w14:paraId="0BCE163A">
            <w:pPr>
              <w:widowControl/>
              <w:snapToGrid w:val="0"/>
              <w:jc w:val="center"/>
              <w:rPr>
                <w:color w:val="auto"/>
                <w:kern w:val="0"/>
                <w:szCs w:val="21"/>
              </w:rPr>
            </w:pPr>
            <w:r>
              <w:rPr>
                <w:color w:val="auto"/>
                <w:kern w:val="0"/>
                <w:szCs w:val="21"/>
              </w:rPr>
              <w:t>小天鹅</w:t>
            </w:r>
          </w:p>
          <w:p w14:paraId="7C377400">
            <w:pPr>
              <w:widowControl/>
              <w:snapToGrid w:val="0"/>
              <w:jc w:val="center"/>
              <w:rPr>
                <w:i/>
                <w:iCs/>
                <w:color w:val="auto"/>
                <w:kern w:val="0"/>
                <w:szCs w:val="21"/>
              </w:rPr>
            </w:pPr>
            <w:r>
              <w:rPr>
                <w:i/>
                <w:iCs/>
                <w:color w:val="auto"/>
                <w:kern w:val="0"/>
                <w:szCs w:val="21"/>
              </w:rPr>
              <w:t>Cygnus</w:t>
            </w:r>
          </w:p>
          <w:p w14:paraId="766A2865">
            <w:pPr>
              <w:widowControl/>
              <w:snapToGrid w:val="0"/>
              <w:jc w:val="center"/>
              <w:rPr>
                <w:color w:val="auto"/>
                <w:kern w:val="0"/>
                <w:szCs w:val="21"/>
              </w:rPr>
            </w:pPr>
            <w:r>
              <w:rPr>
                <w:i/>
                <w:iCs/>
                <w:color w:val="auto"/>
                <w:kern w:val="0"/>
                <w:szCs w:val="21"/>
              </w:rPr>
              <w:t>columbianus</w:t>
            </w:r>
          </w:p>
        </w:tc>
        <w:tc>
          <w:tcPr>
            <w:tcW w:w="1172" w:type="dxa"/>
            <w:tcBorders>
              <w:tl2br w:val="nil"/>
              <w:tr2bl w:val="nil"/>
            </w:tcBorders>
            <w:vAlign w:val="center"/>
          </w:tcPr>
          <w:p w14:paraId="619CA965">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521B6786">
            <w:pPr>
              <w:widowControl/>
              <w:snapToGrid w:val="0"/>
              <w:jc w:val="center"/>
              <w:rPr>
                <w:color w:val="auto"/>
                <w:kern w:val="0"/>
                <w:szCs w:val="21"/>
              </w:rPr>
            </w:pPr>
            <w:r>
              <w:rPr>
                <w:color w:val="auto"/>
                <w:kern w:val="0"/>
                <w:szCs w:val="21"/>
              </w:rPr>
              <w:t>冬候鸟</w:t>
            </w:r>
          </w:p>
        </w:tc>
        <w:tc>
          <w:tcPr>
            <w:tcW w:w="0" w:type="auto"/>
            <w:vMerge w:val="continue"/>
            <w:tcBorders>
              <w:tl2br w:val="nil"/>
              <w:tr2bl w:val="nil"/>
            </w:tcBorders>
            <w:vAlign w:val="center"/>
          </w:tcPr>
          <w:p w14:paraId="005F65BC">
            <w:pPr>
              <w:widowControl/>
              <w:snapToGrid w:val="0"/>
              <w:jc w:val="center"/>
              <w:rPr>
                <w:color w:val="auto"/>
                <w:kern w:val="0"/>
                <w:szCs w:val="21"/>
              </w:rPr>
            </w:pPr>
          </w:p>
        </w:tc>
        <w:tc>
          <w:tcPr>
            <w:tcW w:w="0" w:type="auto"/>
            <w:vMerge w:val="continue"/>
            <w:tcBorders>
              <w:tl2br w:val="nil"/>
              <w:tr2bl w:val="nil"/>
            </w:tcBorders>
            <w:vAlign w:val="center"/>
          </w:tcPr>
          <w:p w14:paraId="66CE9FE8">
            <w:pPr>
              <w:widowControl/>
              <w:snapToGrid w:val="0"/>
              <w:jc w:val="center"/>
              <w:rPr>
                <w:color w:val="auto"/>
                <w:kern w:val="0"/>
                <w:szCs w:val="21"/>
              </w:rPr>
            </w:pPr>
          </w:p>
        </w:tc>
        <w:tc>
          <w:tcPr>
            <w:tcW w:w="0" w:type="auto"/>
            <w:vMerge w:val="continue"/>
            <w:tcBorders>
              <w:tl2br w:val="nil"/>
              <w:tr2bl w:val="nil"/>
            </w:tcBorders>
            <w:vAlign w:val="center"/>
          </w:tcPr>
          <w:p w14:paraId="1FD9737B">
            <w:pPr>
              <w:widowControl/>
              <w:snapToGrid w:val="0"/>
              <w:jc w:val="center"/>
              <w:rPr>
                <w:color w:val="auto"/>
                <w:kern w:val="0"/>
                <w:szCs w:val="21"/>
              </w:rPr>
            </w:pPr>
          </w:p>
        </w:tc>
      </w:tr>
      <w:tr w14:paraId="14E28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70E1EF98">
            <w:pPr>
              <w:widowControl/>
              <w:snapToGrid w:val="0"/>
              <w:jc w:val="center"/>
              <w:rPr>
                <w:color w:val="auto"/>
                <w:kern w:val="0"/>
                <w:szCs w:val="21"/>
              </w:rPr>
            </w:pPr>
            <w:r>
              <w:rPr>
                <w:color w:val="auto"/>
                <w:kern w:val="0"/>
                <w:szCs w:val="21"/>
              </w:rPr>
              <w:t>3</w:t>
            </w:r>
          </w:p>
        </w:tc>
        <w:tc>
          <w:tcPr>
            <w:tcW w:w="1643" w:type="dxa"/>
            <w:tcBorders>
              <w:tl2br w:val="nil"/>
              <w:tr2bl w:val="nil"/>
            </w:tcBorders>
            <w:vAlign w:val="center"/>
          </w:tcPr>
          <w:p w14:paraId="26B1860B">
            <w:pPr>
              <w:widowControl/>
              <w:snapToGrid w:val="0"/>
              <w:jc w:val="center"/>
              <w:rPr>
                <w:color w:val="auto"/>
                <w:kern w:val="0"/>
                <w:szCs w:val="21"/>
              </w:rPr>
            </w:pPr>
            <w:r>
              <w:rPr>
                <w:color w:val="auto"/>
                <w:kern w:val="0"/>
                <w:szCs w:val="21"/>
              </w:rPr>
              <w:t>鸿雁</w:t>
            </w:r>
          </w:p>
          <w:p w14:paraId="03701629">
            <w:pPr>
              <w:widowControl/>
              <w:snapToGrid w:val="0"/>
              <w:jc w:val="center"/>
              <w:rPr>
                <w:color w:val="auto"/>
                <w:kern w:val="0"/>
                <w:szCs w:val="21"/>
              </w:rPr>
            </w:pPr>
            <w:r>
              <w:rPr>
                <w:i/>
                <w:iCs/>
                <w:color w:val="auto"/>
                <w:kern w:val="0"/>
                <w:szCs w:val="21"/>
              </w:rPr>
              <w:t>Anser cygnoid</w:t>
            </w:r>
          </w:p>
        </w:tc>
        <w:tc>
          <w:tcPr>
            <w:tcW w:w="1172" w:type="dxa"/>
            <w:tcBorders>
              <w:tl2br w:val="nil"/>
              <w:tr2bl w:val="nil"/>
            </w:tcBorders>
            <w:vAlign w:val="center"/>
          </w:tcPr>
          <w:p w14:paraId="7E0EE547">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1C7ED273">
            <w:pPr>
              <w:widowControl/>
              <w:snapToGrid w:val="0"/>
              <w:jc w:val="center"/>
              <w:rPr>
                <w:color w:val="auto"/>
                <w:kern w:val="0"/>
                <w:szCs w:val="21"/>
              </w:rPr>
            </w:pPr>
            <w:r>
              <w:rPr>
                <w:color w:val="auto"/>
                <w:kern w:val="0"/>
                <w:szCs w:val="21"/>
              </w:rPr>
              <w:t>冬候鸟</w:t>
            </w:r>
          </w:p>
        </w:tc>
        <w:tc>
          <w:tcPr>
            <w:tcW w:w="0" w:type="auto"/>
            <w:vMerge w:val="continue"/>
            <w:tcBorders>
              <w:tl2br w:val="nil"/>
              <w:tr2bl w:val="nil"/>
            </w:tcBorders>
            <w:vAlign w:val="center"/>
          </w:tcPr>
          <w:p w14:paraId="485C50C8">
            <w:pPr>
              <w:widowControl/>
              <w:snapToGrid w:val="0"/>
              <w:jc w:val="center"/>
              <w:rPr>
                <w:color w:val="auto"/>
                <w:kern w:val="0"/>
                <w:szCs w:val="21"/>
              </w:rPr>
            </w:pPr>
          </w:p>
        </w:tc>
        <w:tc>
          <w:tcPr>
            <w:tcW w:w="0" w:type="auto"/>
            <w:vMerge w:val="continue"/>
            <w:tcBorders>
              <w:tl2br w:val="nil"/>
              <w:tr2bl w:val="nil"/>
            </w:tcBorders>
            <w:vAlign w:val="center"/>
          </w:tcPr>
          <w:p w14:paraId="1893DBAE">
            <w:pPr>
              <w:widowControl/>
              <w:snapToGrid w:val="0"/>
              <w:jc w:val="center"/>
              <w:rPr>
                <w:color w:val="auto"/>
                <w:kern w:val="0"/>
                <w:szCs w:val="21"/>
              </w:rPr>
            </w:pPr>
          </w:p>
        </w:tc>
        <w:tc>
          <w:tcPr>
            <w:tcW w:w="0" w:type="auto"/>
            <w:vMerge w:val="continue"/>
            <w:tcBorders>
              <w:tl2br w:val="nil"/>
              <w:tr2bl w:val="nil"/>
            </w:tcBorders>
            <w:vAlign w:val="center"/>
          </w:tcPr>
          <w:p w14:paraId="7B5F5F93">
            <w:pPr>
              <w:widowControl/>
              <w:snapToGrid w:val="0"/>
              <w:jc w:val="center"/>
              <w:rPr>
                <w:color w:val="auto"/>
                <w:kern w:val="0"/>
                <w:szCs w:val="21"/>
              </w:rPr>
            </w:pPr>
          </w:p>
        </w:tc>
      </w:tr>
      <w:tr w14:paraId="69540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50905DC7">
            <w:pPr>
              <w:widowControl/>
              <w:snapToGrid w:val="0"/>
              <w:jc w:val="center"/>
              <w:rPr>
                <w:color w:val="auto"/>
                <w:kern w:val="0"/>
                <w:szCs w:val="21"/>
              </w:rPr>
            </w:pPr>
            <w:r>
              <w:rPr>
                <w:color w:val="auto"/>
                <w:kern w:val="0"/>
                <w:szCs w:val="21"/>
              </w:rPr>
              <w:t>4</w:t>
            </w:r>
          </w:p>
        </w:tc>
        <w:tc>
          <w:tcPr>
            <w:tcW w:w="1643" w:type="dxa"/>
            <w:tcBorders>
              <w:tl2br w:val="nil"/>
              <w:tr2bl w:val="nil"/>
            </w:tcBorders>
            <w:vAlign w:val="center"/>
          </w:tcPr>
          <w:p w14:paraId="4D6A828B">
            <w:pPr>
              <w:widowControl/>
              <w:snapToGrid w:val="0"/>
              <w:jc w:val="center"/>
              <w:rPr>
                <w:color w:val="auto"/>
                <w:kern w:val="0"/>
                <w:szCs w:val="21"/>
              </w:rPr>
            </w:pPr>
            <w:r>
              <w:rPr>
                <w:color w:val="auto"/>
                <w:kern w:val="0"/>
                <w:szCs w:val="21"/>
              </w:rPr>
              <w:t>白琵鹭</w:t>
            </w:r>
          </w:p>
          <w:p w14:paraId="0A1EF3E1">
            <w:pPr>
              <w:widowControl/>
              <w:snapToGrid w:val="0"/>
              <w:jc w:val="center"/>
              <w:rPr>
                <w:color w:val="auto"/>
                <w:kern w:val="0"/>
                <w:szCs w:val="21"/>
              </w:rPr>
            </w:pPr>
            <w:r>
              <w:rPr>
                <w:i/>
                <w:iCs/>
                <w:color w:val="auto"/>
                <w:kern w:val="0"/>
                <w:szCs w:val="21"/>
              </w:rPr>
              <w:t>Platalea leucorodia</w:t>
            </w:r>
          </w:p>
        </w:tc>
        <w:tc>
          <w:tcPr>
            <w:tcW w:w="1172" w:type="dxa"/>
            <w:tcBorders>
              <w:tl2br w:val="nil"/>
              <w:tr2bl w:val="nil"/>
            </w:tcBorders>
            <w:vAlign w:val="center"/>
          </w:tcPr>
          <w:p w14:paraId="607EA8FF">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7626298E">
            <w:pPr>
              <w:widowControl/>
              <w:snapToGrid w:val="0"/>
              <w:jc w:val="center"/>
              <w:rPr>
                <w:color w:val="auto"/>
                <w:kern w:val="0"/>
                <w:szCs w:val="21"/>
              </w:rPr>
            </w:pPr>
            <w:r>
              <w:rPr>
                <w:color w:val="auto"/>
                <w:kern w:val="0"/>
                <w:szCs w:val="21"/>
              </w:rPr>
              <w:t>冬候鸟</w:t>
            </w:r>
          </w:p>
        </w:tc>
        <w:tc>
          <w:tcPr>
            <w:tcW w:w="0" w:type="auto"/>
            <w:vMerge w:val="continue"/>
            <w:tcBorders>
              <w:tl2br w:val="nil"/>
              <w:tr2bl w:val="nil"/>
            </w:tcBorders>
            <w:vAlign w:val="center"/>
          </w:tcPr>
          <w:p w14:paraId="31153482">
            <w:pPr>
              <w:widowControl/>
              <w:snapToGrid w:val="0"/>
              <w:jc w:val="center"/>
              <w:rPr>
                <w:color w:val="auto"/>
                <w:kern w:val="0"/>
                <w:szCs w:val="21"/>
              </w:rPr>
            </w:pPr>
          </w:p>
        </w:tc>
        <w:tc>
          <w:tcPr>
            <w:tcW w:w="0" w:type="auto"/>
            <w:vMerge w:val="continue"/>
            <w:tcBorders>
              <w:tl2br w:val="nil"/>
              <w:tr2bl w:val="nil"/>
            </w:tcBorders>
            <w:vAlign w:val="center"/>
          </w:tcPr>
          <w:p w14:paraId="158C25E3">
            <w:pPr>
              <w:widowControl/>
              <w:snapToGrid w:val="0"/>
              <w:jc w:val="center"/>
              <w:rPr>
                <w:color w:val="auto"/>
                <w:kern w:val="0"/>
                <w:szCs w:val="21"/>
              </w:rPr>
            </w:pPr>
          </w:p>
        </w:tc>
        <w:tc>
          <w:tcPr>
            <w:tcW w:w="0" w:type="auto"/>
            <w:vMerge w:val="continue"/>
            <w:tcBorders>
              <w:tl2br w:val="nil"/>
              <w:tr2bl w:val="nil"/>
            </w:tcBorders>
            <w:vAlign w:val="center"/>
          </w:tcPr>
          <w:p w14:paraId="3C9633F5">
            <w:pPr>
              <w:widowControl/>
              <w:snapToGrid w:val="0"/>
              <w:jc w:val="center"/>
              <w:rPr>
                <w:color w:val="auto"/>
                <w:kern w:val="0"/>
                <w:szCs w:val="21"/>
              </w:rPr>
            </w:pPr>
          </w:p>
        </w:tc>
      </w:tr>
      <w:tr w14:paraId="1CDC4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57326D06">
            <w:pPr>
              <w:widowControl/>
              <w:snapToGrid w:val="0"/>
              <w:jc w:val="center"/>
              <w:rPr>
                <w:color w:val="auto"/>
                <w:kern w:val="0"/>
                <w:szCs w:val="21"/>
              </w:rPr>
            </w:pPr>
            <w:r>
              <w:rPr>
                <w:color w:val="auto"/>
                <w:kern w:val="0"/>
                <w:szCs w:val="21"/>
              </w:rPr>
              <w:t>5</w:t>
            </w:r>
          </w:p>
        </w:tc>
        <w:tc>
          <w:tcPr>
            <w:tcW w:w="1643" w:type="dxa"/>
            <w:tcBorders>
              <w:tl2br w:val="nil"/>
              <w:tr2bl w:val="nil"/>
            </w:tcBorders>
            <w:vAlign w:val="center"/>
          </w:tcPr>
          <w:p w14:paraId="448D5E1D">
            <w:pPr>
              <w:widowControl/>
              <w:snapToGrid w:val="0"/>
              <w:jc w:val="center"/>
              <w:rPr>
                <w:color w:val="auto"/>
                <w:kern w:val="0"/>
                <w:szCs w:val="21"/>
              </w:rPr>
            </w:pPr>
            <w:r>
              <w:rPr>
                <w:color w:val="auto"/>
                <w:kern w:val="0"/>
                <w:szCs w:val="21"/>
              </w:rPr>
              <w:t>白额雁</w:t>
            </w:r>
          </w:p>
          <w:p w14:paraId="7E605DB1">
            <w:pPr>
              <w:widowControl/>
              <w:snapToGrid w:val="0"/>
              <w:jc w:val="center"/>
              <w:rPr>
                <w:color w:val="auto"/>
                <w:kern w:val="0"/>
                <w:szCs w:val="21"/>
              </w:rPr>
            </w:pPr>
            <w:r>
              <w:rPr>
                <w:i/>
                <w:iCs/>
                <w:color w:val="auto"/>
                <w:kern w:val="0"/>
                <w:szCs w:val="21"/>
              </w:rPr>
              <w:t>Anser albifrons</w:t>
            </w:r>
          </w:p>
        </w:tc>
        <w:tc>
          <w:tcPr>
            <w:tcW w:w="1172" w:type="dxa"/>
            <w:tcBorders>
              <w:tl2br w:val="nil"/>
              <w:tr2bl w:val="nil"/>
            </w:tcBorders>
            <w:vAlign w:val="center"/>
          </w:tcPr>
          <w:p w14:paraId="51F7435D">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15E02E90">
            <w:pPr>
              <w:widowControl/>
              <w:snapToGrid w:val="0"/>
              <w:jc w:val="center"/>
              <w:rPr>
                <w:color w:val="auto"/>
                <w:kern w:val="0"/>
                <w:szCs w:val="21"/>
              </w:rPr>
            </w:pPr>
            <w:r>
              <w:rPr>
                <w:color w:val="auto"/>
                <w:kern w:val="0"/>
                <w:szCs w:val="21"/>
              </w:rPr>
              <w:t>冬候鸟</w:t>
            </w:r>
          </w:p>
        </w:tc>
        <w:tc>
          <w:tcPr>
            <w:tcW w:w="0" w:type="auto"/>
            <w:vMerge w:val="restart"/>
            <w:tcBorders>
              <w:tl2br w:val="nil"/>
              <w:tr2bl w:val="nil"/>
            </w:tcBorders>
            <w:vAlign w:val="center"/>
          </w:tcPr>
          <w:p w14:paraId="546713BE">
            <w:pPr>
              <w:widowControl/>
              <w:snapToGrid w:val="0"/>
              <w:jc w:val="center"/>
              <w:rPr>
                <w:color w:val="auto"/>
                <w:kern w:val="0"/>
                <w:szCs w:val="21"/>
              </w:rPr>
            </w:pPr>
            <w:r>
              <w:rPr>
                <w:color w:val="auto"/>
                <w:kern w:val="0"/>
                <w:szCs w:val="21"/>
              </w:rPr>
              <w:t>在湖南东洞庭湖自然保护区内有记录，在评价区游荡，活动</w:t>
            </w:r>
          </w:p>
          <w:p w14:paraId="116D3A2A">
            <w:pPr>
              <w:widowControl/>
              <w:snapToGrid w:val="0"/>
              <w:jc w:val="center"/>
              <w:rPr>
                <w:color w:val="auto"/>
                <w:kern w:val="0"/>
                <w:szCs w:val="21"/>
              </w:rPr>
            </w:pPr>
            <w:r>
              <w:rPr>
                <w:color w:val="auto"/>
                <w:kern w:val="0"/>
                <w:szCs w:val="21"/>
              </w:rPr>
              <w:t>范围广</w:t>
            </w:r>
          </w:p>
        </w:tc>
        <w:tc>
          <w:tcPr>
            <w:tcW w:w="0" w:type="auto"/>
            <w:vMerge w:val="restart"/>
            <w:tcBorders>
              <w:tl2br w:val="nil"/>
              <w:tr2bl w:val="nil"/>
            </w:tcBorders>
            <w:vAlign w:val="center"/>
          </w:tcPr>
          <w:p w14:paraId="265D2471">
            <w:pPr>
              <w:widowControl/>
              <w:snapToGrid w:val="0"/>
              <w:jc w:val="center"/>
              <w:rPr>
                <w:color w:val="auto"/>
                <w:kern w:val="0"/>
                <w:szCs w:val="21"/>
              </w:rPr>
            </w:pPr>
            <w:r>
              <w:rPr>
                <w:color w:val="auto"/>
                <w:kern w:val="0"/>
                <w:szCs w:val="21"/>
              </w:rPr>
              <w:t>生境占用，但飞翔能力强且活动范围广，受影响较小。</w:t>
            </w:r>
          </w:p>
        </w:tc>
        <w:tc>
          <w:tcPr>
            <w:tcW w:w="0" w:type="auto"/>
            <w:vMerge w:val="restart"/>
            <w:tcBorders>
              <w:tl2br w:val="nil"/>
              <w:tr2bl w:val="nil"/>
            </w:tcBorders>
            <w:vAlign w:val="center"/>
          </w:tcPr>
          <w:p w14:paraId="5E4BCBF4">
            <w:pPr>
              <w:widowControl/>
              <w:snapToGrid w:val="0"/>
              <w:jc w:val="center"/>
              <w:rPr>
                <w:color w:val="auto"/>
                <w:kern w:val="0"/>
                <w:szCs w:val="21"/>
              </w:rPr>
            </w:pPr>
            <w:r>
              <w:rPr>
                <w:color w:val="auto"/>
                <w:kern w:val="0"/>
                <w:szCs w:val="21"/>
              </w:rPr>
              <w:t>工程完成后积极做好植被恢复工作，高噪声等影响较大的工程尽量避免在越冬期实施，严禁施工人员猎杀鸟类。</w:t>
            </w:r>
          </w:p>
        </w:tc>
      </w:tr>
      <w:tr w14:paraId="17C50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496BD499">
            <w:pPr>
              <w:widowControl/>
              <w:snapToGrid w:val="0"/>
              <w:jc w:val="center"/>
              <w:rPr>
                <w:color w:val="auto"/>
                <w:kern w:val="0"/>
                <w:szCs w:val="21"/>
              </w:rPr>
            </w:pPr>
            <w:r>
              <w:rPr>
                <w:color w:val="auto"/>
                <w:kern w:val="0"/>
                <w:szCs w:val="21"/>
              </w:rPr>
              <w:t>6</w:t>
            </w:r>
          </w:p>
        </w:tc>
        <w:tc>
          <w:tcPr>
            <w:tcW w:w="1643" w:type="dxa"/>
            <w:tcBorders>
              <w:tl2br w:val="nil"/>
              <w:tr2bl w:val="nil"/>
            </w:tcBorders>
            <w:vAlign w:val="center"/>
          </w:tcPr>
          <w:p w14:paraId="48C7DE3A">
            <w:pPr>
              <w:widowControl/>
              <w:snapToGrid w:val="0"/>
              <w:jc w:val="center"/>
              <w:rPr>
                <w:color w:val="auto"/>
                <w:kern w:val="0"/>
                <w:szCs w:val="21"/>
              </w:rPr>
            </w:pPr>
            <w:r>
              <w:rPr>
                <w:color w:val="auto"/>
                <w:kern w:val="0"/>
                <w:szCs w:val="21"/>
              </w:rPr>
              <w:t>小白额雁</w:t>
            </w:r>
          </w:p>
          <w:p w14:paraId="36A53F72">
            <w:pPr>
              <w:widowControl/>
              <w:snapToGrid w:val="0"/>
              <w:jc w:val="center"/>
              <w:rPr>
                <w:color w:val="auto"/>
                <w:kern w:val="0"/>
                <w:szCs w:val="21"/>
              </w:rPr>
            </w:pPr>
            <w:r>
              <w:rPr>
                <w:i/>
                <w:iCs/>
                <w:color w:val="auto"/>
                <w:kern w:val="0"/>
                <w:szCs w:val="21"/>
              </w:rPr>
              <w:t>Anser erythropus</w:t>
            </w:r>
          </w:p>
        </w:tc>
        <w:tc>
          <w:tcPr>
            <w:tcW w:w="1172" w:type="dxa"/>
            <w:tcBorders>
              <w:tl2br w:val="nil"/>
              <w:tr2bl w:val="nil"/>
            </w:tcBorders>
            <w:vAlign w:val="center"/>
          </w:tcPr>
          <w:p w14:paraId="7C7FD339">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4ED7379A">
            <w:pPr>
              <w:widowControl/>
              <w:snapToGrid w:val="0"/>
              <w:jc w:val="center"/>
              <w:rPr>
                <w:color w:val="auto"/>
                <w:kern w:val="0"/>
                <w:szCs w:val="21"/>
              </w:rPr>
            </w:pPr>
            <w:r>
              <w:rPr>
                <w:color w:val="auto"/>
                <w:kern w:val="0"/>
                <w:szCs w:val="21"/>
              </w:rPr>
              <w:t>冬候鸟</w:t>
            </w:r>
          </w:p>
        </w:tc>
        <w:tc>
          <w:tcPr>
            <w:tcW w:w="0" w:type="auto"/>
            <w:vMerge w:val="continue"/>
            <w:tcBorders>
              <w:tl2br w:val="nil"/>
              <w:tr2bl w:val="nil"/>
            </w:tcBorders>
            <w:vAlign w:val="center"/>
          </w:tcPr>
          <w:p w14:paraId="317CFF90">
            <w:pPr>
              <w:widowControl/>
              <w:snapToGrid w:val="0"/>
              <w:jc w:val="center"/>
              <w:rPr>
                <w:color w:val="auto"/>
                <w:kern w:val="0"/>
                <w:szCs w:val="21"/>
              </w:rPr>
            </w:pPr>
          </w:p>
        </w:tc>
        <w:tc>
          <w:tcPr>
            <w:tcW w:w="0" w:type="auto"/>
            <w:vMerge w:val="continue"/>
            <w:tcBorders>
              <w:tl2br w:val="nil"/>
              <w:tr2bl w:val="nil"/>
            </w:tcBorders>
            <w:vAlign w:val="center"/>
          </w:tcPr>
          <w:p w14:paraId="23651161">
            <w:pPr>
              <w:widowControl/>
              <w:snapToGrid w:val="0"/>
              <w:jc w:val="center"/>
              <w:rPr>
                <w:color w:val="auto"/>
                <w:kern w:val="0"/>
                <w:szCs w:val="21"/>
              </w:rPr>
            </w:pPr>
          </w:p>
        </w:tc>
        <w:tc>
          <w:tcPr>
            <w:tcW w:w="0" w:type="auto"/>
            <w:vMerge w:val="continue"/>
            <w:tcBorders>
              <w:tl2br w:val="nil"/>
              <w:tr2bl w:val="nil"/>
            </w:tcBorders>
            <w:vAlign w:val="center"/>
          </w:tcPr>
          <w:p w14:paraId="77587673">
            <w:pPr>
              <w:widowControl/>
              <w:snapToGrid w:val="0"/>
              <w:jc w:val="center"/>
              <w:rPr>
                <w:color w:val="auto"/>
                <w:kern w:val="0"/>
                <w:szCs w:val="21"/>
              </w:rPr>
            </w:pPr>
          </w:p>
        </w:tc>
      </w:tr>
      <w:tr w14:paraId="539C6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7D96F9F7">
            <w:pPr>
              <w:widowControl/>
              <w:snapToGrid w:val="0"/>
              <w:jc w:val="center"/>
              <w:rPr>
                <w:color w:val="auto"/>
                <w:kern w:val="0"/>
                <w:szCs w:val="21"/>
              </w:rPr>
            </w:pPr>
            <w:r>
              <w:rPr>
                <w:color w:val="auto"/>
                <w:kern w:val="0"/>
                <w:szCs w:val="21"/>
              </w:rPr>
              <w:t>7</w:t>
            </w:r>
          </w:p>
        </w:tc>
        <w:tc>
          <w:tcPr>
            <w:tcW w:w="1643" w:type="dxa"/>
            <w:tcBorders>
              <w:tl2br w:val="nil"/>
              <w:tr2bl w:val="nil"/>
            </w:tcBorders>
            <w:vAlign w:val="center"/>
          </w:tcPr>
          <w:p w14:paraId="240086A6">
            <w:pPr>
              <w:widowControl/>
              <w:snapToGrid w:val="0"/>
              <w:jc w:val="center"/>
              <w:rPr>
                <w:color w:val="auto"/>
                <w:kern w:val="0"/>
                <w:szCs w:val="21"/>
              </w:rPr>
            </w:pPr>
            <w:r>
              <w:rPr>
                <w:color w:val="auto"/>
                <w:kern w:val="0"/>
                <w:szCs w:val="21"/>
              </w:rPr>
              <w:t>画眉</w:t>
            </w:r>
          </w:p>
          <w:p w14:paraId="433A42FB">
            <w:pPr>
              <w:widowControl/>
              <w:snapToGrid w:val="0"/>
              <w:jc w:val="center"/>
              <w:rPr>
                <w:color w:val="auto"/>
                <w:kern w:val="0"/>
                <w:szCs w:val="21"/>
              </w:rPr>
            </w:pPr>
            <w:r>
              <w:rPr>
                <w:i/>
                <w:iCs/>
                <w:color w:val="auto"/>
                <w:kern w:val="0"/>
                <w:szCs w:val="21"/>
              </w:rPr>
              <w:t>Garrulax canorus</w:t>
            </w:r>
          </w:p>
        </w:tc>
        <w:tc>
          <w:tcPr>
            <w:tcW w:w="1172" w:type="dxa"/>
            <w:tcBorders>
              <w:tl2br w:val="nil"/>
              <w:tr2bl w:val="nil"/>
            </w:tcBorders>
            <w:vAlign w:val="center"/>
          </w:tcPr>
          <w:p w14:paraId="2D286543">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01C17929">
            <w:pPr>
              <w:widowControl/>
              <w:snapToGrid w:val="0"/>
              <w:jc w:val="center"/>
              <w:rPr>
                <w:color w:val="auto"/>
                <w:kern w:val="0"/>
                <w:szCs w:val="21"/>
              </w:rPr>
            </w:pPr>
            <w:r>
              <w:rPr>
                <w:color w:val="auto"/>
                <w:kern w:val="0"/>
                <w:szCs w:val="21"/>
              </w:rPr>
              <w:t>冬候鸟</w:t>
            </w:r>
          </w:p>
        </w:tc>
        <w:tc>
          <w:tcPr>
            <w:tcW w:w="0" w:type="auto"/>
            <w:vMerge w:val="continue"/>
            <w:tcBorders>
              <w:tl2br w:val="nil"/>
              <w:tr2bl w:val="nil"/>
            </w:tcBorders>
            <w:vAlign w:val="center"/>
          </w:tcPr>
          <w:p w14:paraId="7651C7BF">
            <w:pPr>
              <w:widowControl/>
              <w:snapToGrid w:val="0"/>
              <w:jc w:val="center"/>
              <w:rPr>
                <w:color w:val="auto"/>
                <w:kern w:val="0"/>
                <w:szCs w:val="21"/>
              </w:rPr>
            </w:pPr>
          </w:p>
        </w:tc>
        <w:tc>
          <w:tcPr>
            <w:tcW w:w="0" w:type="auto"/>
            <w:vMerge w:val="continue"/>
            <w:tcBorders>
              <w:tl2br w:val="nil"/>
              <w:tr2bl w:val="nil"/>
            </w:tcBorders>
            <w:vAlign w:val="center"/>
          </w:tcPr>
          <w:p w14:paraId="3A68F0E3">
            <w:pPr>
              <w:widowControl/>
              <w:snapToGrid w:val="0"/>
              <w:jc w:val="center"/>
              <w:rPr>
                <w:color w:val="auto"/>
                <w:kern w:val="0"/>
                <w:szCs w:val="21"/>
              </w:rPr>
            </w:pPr>
          </w:p>
        </w:tc>
        <w:tc>
          <w:tcPr>
            <w:tcW w:w="0" w:type="auto"/>
            <w:vMerge w:val="continue"/>
            <w:tcBorders>
              <w:tl2br w:val="nil"/>
              <w:tr2bl w:val="nil"/>
            </w:tcBorders>
            <w:vAlign w:val="center"/>
          </w:tcPr>
          <w:p w14:paraId="66EE00AA">
            <w:pPr>
              <w:widowControl/>
              <w:snapToGrid w:val="0"/>
              <w:jc w:val="center"/>
              <w:rPr>
                <w:color w:val="auto"/>
                <w:kern w:val="0"/>
                <w:szCs w:val="21"/>
              </w:rPr>
            </w:pPr>
          </w:p>
        </w:tc>
      </w:tr>
      <w:tr w14:paraId="5C85E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4" w:type="dxa"/>
            <w:tcBorders>
              <w:tl2br w:val="nil"/>
              <w:tr2bl w:val="nil"/>
            </w:tcBorders>
            <w:vAlign w:val="center"/>
          </w:tcPr>
          <w:p w14:paraId="33701604">
            <w:pPr>
              <w:widowControl/>
              <w:snapToGrid w:val="0"/>
              <w:jc w:val="center"/>
              <w:rPr>
                <w:color w:val="auto"/>
                <w:kern w:val="0"/>
                <w:szCs w:val="21"/>
              </w:rPr>
            </w:pPr>
            <w:r>
              <w:rPr>
                <w:color w:val="auto"/>
                <w:kern w:val="0"/>
                <w:szCs w:val="21"/>
              </w:rPr>
              <w:t>8</w:t>
            </w:r>
          </w:p>
        </w:tc>
        <w:tc>
          <w:tcPr>
            <w:tcW w:w="1643" w:type="dxa"/>
            <w:tcBorders>
              <w:tl2br w:val="nil"/>
              <w:tr2bl w:val="nil"/>
            </w:tcBorders>
            <w:vAlign w:val="center"/>
          </w:tcPr>
          <w:p w14:paraId="6E096E38">
            <w:pPr>
              <w:widowControl/>
              <w:snapToGrid w:val="0"/>
              <w:jc w:val="center"/>
              <w:rPr>
                <w:color w:val="auto"/>
                <w:kern w:val="0"/>
                <w:szCs w:val="21"/>
              </w:rPr>
            </w:pPr>
            <w:r>
              <w:rPr>
                <w:color w:val="auto"/>
                <w:kern w:val="0"/>
                <w:szCs w:val="21"/>
              </w:rPr>
              <w:t>虎纹蛙</w:t>
            </w:r>
          </w:p>
          <w:p w14:paraId="7AD64138">
            <w:pPr>
              <w:widowControl/>
              <w:snapToGrid w:val="0"/>
              <w:jc w:val="center"/>
              <w:rPr>
                <w:i/>
                <w:iCs/>
                <w:color w:val="auto"/>
                <w:kern w:val="0"/>
                <w:szCs w:val="21"/>
              </w:rPr>
            </w:pPr>
            <w:r>
              <w:rPr>
                <w:i/>
                <w:iCs/>
                <w:color w:val="auto"/>
                <w:kern w:val="0"/>
                <w:szCs w:val="21"/>
              </w:rPr>
              <w:t>Hoplobatrachus</w:t>
            </w:r>
          </w:p>
          <w:p w14:paraId="0890EA52">
            <w:pPr>
              <w:widowControl/>
              <w:snapToGrid w:val="0"/>
              <w:jc w:val="center"/>
              <w:rPr>
                <w:color w:val="auto"/>
                <w:kern w:val="0"/>
                <w:szCs w:val="21"/>
              </w:rPr>
            </w:pPr>
            <w:r>
              <w:rPr>
                <w:i/>
                <w:iCs/>
                <w:color w:val="auto"/>
                <w:kern w:val="0"/>
                <w:szCs w:val="21"/>
              </w:rPr>
              <w:t>rugulosus</w:t>
            </w:r>
          </w:p>
        </w:tc>
        <w:tc>
          <w:tcPr>
            <w:tcW w:w="1172" w:type="dxa"/>
            <w:tcBorders>
              <w:tl2br w:val="nil"/>
              <w:tr2bl w:val="nil"/>
            </w:tcBorders>
            <w:vAlign w:val="center"/>
          </w:tcPr>
          <w:p w14:paraId="3A7A11B3">
            <w:pPr>
              <w:widowControl/>
              <w:snapToGrid w:val="0"/>
              <w:jc w:val="center"/>
              <w:rPr>
                <w:color w:val="auto"/>
                <w:kern w:val="0"/>
                <w:szCs w:val="21"/>
              </w:rPr>
            </w:pPr>
            <w:r>
              <w:rPr>
                <w:color w:val="auto"/>
                <w:kern w:val="0"/>
                <w:szCs w:val="21"/>
              </w:rPr>
              <w:t>国家二级</w:t>
            </w:r>
          </w:p>
        </w:tc>
        <w:tc>
          <w:tcPr>
            <w:tcW w:w="1613" w:type="dxa"/>
            <w:tcBorders>
              <w:tl2br w:val="nil"/>
              <w:tr2bl w:val="nil"/>
            </w:tcBorders>
            <w:vAlign w:val="center"/>
          </w:tcPr>
          <w:p w14:paraId="7805C58F">
            <w:pPr>
              <w:widowControl/>
              <w:snapToGrid w:val="0"/>
              <w:jc w:val="center"/>
              <w:rPr>
                <w:color w:val="auto"/>
                <w:kern w:val="0"/>
                <w:szCs w:val="21"/>
              </w:rPr>
            </w:pPr>
            <w:r>
              <w:rPr>
                <w:color w:val="auto"/>
                <w:kern w:val="0"/>
                <w:szCs w:val="21"/>
              </w:rPr>
              <w:t>——</w:t>
            </w:r>
          </w:p>
        </w:tc>
        <w:tc>
          <w:tcPr>
            <w:tcW w:w="0" w:type="auto"/>
            <w:tcBorders>
              <w:tl2br w:val="nil"/>
              <w:tr2bl w:val="nil"/>
            </w:tcBorders>
            <w:vAlign w:val="center"/>
          </w:tcPr>
          <w:p w14:paraId="1078EE5F">
            <w:pPr>
              <w:widowControl/>
              <w:snapToGrid w:val="0"/>
              <w:jc w:val="center"/>
              <w:rPr>
                <w:color w:val="auto"/>
                <w:kern w:val="0"/>
                <w:szCs w:val="21"/>
              </w:rPr>
            </w:pPr>
            <w:r>
              <w:rPr>
                <w:color w:val="auto"/>
                <w:kern w:val="0"/>
                <w:szCs w:val="21"/>
              </w:rPr>
              <w:t>评价区内农田、池塘等区域</w:t>
            </w:r>
          </w:p>
        </w:tc>
        <w:tc>
          <w:tcPr>
            <w:tcW w:w="0" w:type="auto"/>
            <w:tcBorders>
              <w:tl2br w:val="nil"/>
              <w:tr2bl w:val="nil"/>
            </w:tcBorders>
            <w:vAlign w:val="center"/>
          </w:tcPr>
          <w:p w14:paraId="0A5D69E3">
            <w:pPr>
              <w:widowControl/>
              <w:snapToGrid w:val="0"/>
              <w:jc w:val="center"/>
              <w:rPr>
                <w:color w:val="auto"/>
                <w:kern w:val="0"/>
                <w:szCs w:val="21"/>
              </w:rPr>
            </w:pPr>
            <w:r>
              <w:rPr>
                <w:color w:val="auto"/>
                <w:kern w:val="0"/>
                <w:szCs w:val="21"/>
              </w:rPr>
              <w:t>生境占用，水体污染，人为捕杀。</w:t>
            </w:r>
          </w:p>
        </w:tc>
        <w:tc>
          <w:tcPr>
            <w:tcW w:w="0" w:type="auto"/>
            <w:tcBorders>
              <w:tl2br w:val="nil"/>
              <w:tr2bl w:val="nil"/>
            </w:tcBorders>
            <w:vAlign w:val="center"/>
          </w:tcPr>
          <w:p w14:paraId="3CB3E5DC">
            <w:pPr>
              <w:widowControl/>
              <w:snapToGrid w:val="0"/>
              <w:jc w:val="center"/>
              <w:rPr>
                <w:color w:val="auto"/>
                <w:kern w:val="0"/>
                <w:szCs w:val="21"/>
              </w:rPr>
            </w:pPr>
            <w:r>
              <w:rPr>
                <w:color w:val="auto"/>
                <w:kern w:val="0"/>
                <w:szCs w:val="21"/>
              </w:rPr>
              <w:t>春、夏两季严禁施工人员抓捕。控制污水排放，减少水体污染。</w:t>
            </w:r>
          </w:p>
        </w:tc>
      </w:tr>
    </w:tbl>
    <w:p w14:paraId="18B52C17">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bookmarkStart w:id="183" w:name="_Toc1235"/>
      <w:r>
        <w:rPr>
          <w:rFonts w:hint="eastAsia" w:ascii="Times New Roman" w:hAnsi="Times New Roman" w:eastAsia="宋体" w:cs="Times New Roman"/>
          <w:b/>
          <w:color w:val="auto"/>
          <w:sz w:val="28"/>
          <w:szCs w:val="28"/>
        </w:rPr>
        <w:t>5.3.5</w:t>
      </w:r>
      <w:r>
        <w:rPr>
          <w:rFonts w:ascii="Times New Roman" w:hAnsi="Times New Roman" w:eastAsia="宋体" w:cs="Times New Roman"/>
          <w:b/>
          <w:color w:val="auto"/>
          <w:sz w:val="28"/>
          <w:szCs w:val="28"/>
        </w:rPr>
        <w:t>鸟类保护措施</w:t>
      </w:r>
    </w:p>
    <w:p w14:paraId="79691C6F">
      <w:pPr>
        <w:spacing w:line="360" w:lineRule="auto"/>
        <w:ind w:firstLine="480" w:firstLineChars="200"/>
        <w:jc w:val="left"/>
        <w:rPr>
          <w:color w:val="auto"/>
          <w:kern w:val="0"/>
          <w:sz w:val="24"/>
        </w:rPr>
      </w:pPr>
      <w:r>
        <w:rPr>
          <w:color w:val="auto"/>
          <w:kern w:val="0"/>
          <w:sz w:val="24"/>
        </w:rPr>
        <w:t>（1）鸟类生境保护</w:t>
      </w:r>
    </w:p>
    <w:p w14:paraId="5074C35D">
      <w:pPr>
        <w:spacing w:line="360" w:lineRule="auto"/>
        <w:ind w:firstLine="480" w:firstLineChars="200"/>
        <w:jc w:val="left"/>
        <w:rPr>
          <w:color w:val="auto"/>
          <w:kern w:val="0"/>
          <w:sz w:val="24"/>
        </w:rPr>
      </w:pPr>
      <w:r>
        <w:rPr>
          <w:rFonts w:hint="eastAsia" w:ascii="宋体" w:hAnsi="宋体" w:cs="宋体"/>
          <w:color w:val="auto"/>
          <w:kern w:val="0"/>
          <w:sz w:val="24"/>
        </w:rPr>
        <w:t>①</w:t>
      </w:r>
      <w:r>
        <w:rPr>
          <w:color w:val="auto"/>
          <w:kern w:val="0"/>
          <w:sz w:val="24"/>
        </w:rPr>
        <w:t>优化细化施工方案</w:t>
      </w:r>
    </w:p>
    <w:p w14:paraId="2A779623">
      <w:pPr>
        <w:spacing w:line="360" w:lineRule="auto"/>
        <w:ind w:firstLine="480" w:firstLineChars="200"/>
        <w:jc w:val="left"/>
        <w:rPr>
          <w:color w:val="auto"/>
          <w:kern w:val="0"/>
          <w:sz w:val="24"/>
        </w:rPr>
      </w:pPr>
      <w:r>
        <w:rPr>
          <w:color w:val="auto"/>
          <w:kern w:val="0"/>
          <w:sz w:val="24"/>
        </w:rPr>
        <w:t>项目建设应合理安排施工季节和作业时间，尽量减少夜间施工，严禁夜间施工及在施工场地使用强光照明设备，施工期间，严格控制工程施工噪声对保护物种的影响。</w:t>
      </w:r>
    </w:p>
    <w:p w14:paraId="48C77DE7">
      <w:pPr>
        <w:spacing w:line="360" w:lineRule="auto"/>
        <w:ind w:firstLine="480" w:firstLineChars="200"/>
        <w:jc w:val="left"/>
        <w:rPr>
          <w:color w:val="auto"/>
          <w:kern w:val="0"/>
          <w:sz w:val="24"/>
        </w:rPr>
      </w:pPr>
      <w:r>
        <w:rPr>
          <w:rFonts w:hint="eastAsia" w:ascii="宋体" w:hAnsi="宋体" w:cs="宋体"/>
          <w:color w:val="auto"/>
          <w:kern w:val="0"/>
          <w:sz w:val="24"/>
        </w:rPr>
        <w:t>②</w:t>
      </w:r>
      <w:r>
        <w:rPr>
          <w:color w:val="auto"/>
          <w:kern w:val="0"/>
          <w:sz w:val="24"/>
        </w:rPr>
        <w:t>加强施工机械管理</w:t>
      </w:r>
    </w:p>
    <w:p w14:paraId="2835E1CF">
      <w:pPr>
        <w:spacing w:line="360" w:lineRule="auto"/>
        <w:ind w:firstLine="480" w:firstLineChars="200"/>
        <w:jc w:val="left"/>
        <w:rPr>
          <w:color w:val="auto"/>
          <w:kern w:val="0"/>
          <w:sz w:val="24"/>
        </w:rPr>
      </w:pPr>
      <w:r>
        <w:rPr>
          <w:color w:val="auto"/>
          <w:kern w:val="0"/>
          <w:sz w:val="24"/>
        </w:rPr>
        <w:t>尽量选择噪音小、污染少新型机械，禁止性能差、排污多（浓烟）、噪音大、效率低的老（旧）机械进入施工场地；加强对施工机械的定期维护和检修，确保机械的正常高效运转；对机械的废油和油污的管理必须严格控制，禁止随地倾倒和排放，有效避免对水体和湿地的污染。</w:t>
      </w:r>
    </w:p>
    <w:p w14:paraId="36248257">
      <w:pPr>
        <w:spacing w:line="360" w:lineRule="auto"/>
        <w:ind w:firstLine="480" w:firstLineChars="200"/>
        <w:jc w:val="left"/>
        <w:rPr>
          <w:color w:val="auto"/>
          <w:kern w:val="0"/>
          <w:sz w:val="24"/>
        </w:rPr>
      </w:pPr>
      <w:r>
        <w:rPr>
          <w:rFonts w:hint="eastAsia" w:ascii="宋体" w:hAnsi="宋体" w:cs="宋体"/>
          <w:color w:val="auto"/>
          <w:kern w:val="0"/>
          <w:sz w:val="24"/>
        </w:rPr>
        <w:t>③</w:t>
      </w:r>
      <w:r>
        <w:rPr>
          <w:color w:val="auto"/>
          <w:kern w:val="0"/>
          <w:sz w:val="24"/>
        </w:rPr>
        <w:t>加强环保宣传和工程管理</w:t>
      </w:r>
    </w:p>
    <w:p w14:paraId="31A909AA">
      <w:pPr>
        <w:spacing w:line="360" w:lineRule="auto"/>
        <w:ind w:firstLine="480" w:firstLineChars="200"/>
        <w:jc w:val="left"/>
        <w:rPr>
          <w:color w:val="auto"/>
          <w:kern w:val="0"/>
          <w:sz w:val="24"/>
        </w:rPr>
      </w:pPr>
      <w:r>
        <w:rPr>
          <w:color w:val="auto"/>
          <w:kern w:val="0"/>
          <w:sz w:val="24"/>
        </w:rPr>
        <w:t>加强宣传，强调合理有序施工，优化施工组织，同一施工段实行同向逐步推进施工，相邻施工段错开施工高峰期，避免同一片区出现大规模的会战施工。施工期间加强施工管理，减少无序施工对湿地水体的扰动。</w:t>
      </w:r>
    </w:p>
    <w:p w14:paraId="3CE4923A">
      <w:pPr>
        <w:spacing w:line="360" w:lineRule="auto"/>
        <w:ind w:firstLine="480" w:firstLineChars="200"/>
        <w:jc w:val="left"/>
        <w:rPr>
          <w:color w:val="auto"/>
          <w:kern w:val="0"/>
          <w:sz w:val="24"/>
        </w:rPr>
      </w:pPr>
      <w:r>
        <w:rPr>
          <w:color w:val="auto"/>
          <w:kern w:val="0"/>
          <w:sz w:val="24"/>
        </w:rPr>
        <w:t>（2）施工保护措施</w:t>
      </w:r>
    </w:p>
    <w:p w14:paraId="27CAA240">
      <w:pPr>
        <w:spacing w:line="360" w:lineRule="auto"/>
        <w:ind w:firstLine="480" w:firstLineChars="200"/>
        <w:jc w:val="left"/>
        <w:rPr>
          <w:color w:val="auto"/>
          <w:kern w:val="0"/>
          <w:sz w:val="24"/>
        </w:rPr>
      </w:pPr>
      <w:r>
        <w:rPr>
          <w:color w:val="auto"/>
          <w:kern w:val="0"/>
          <w:sz w:val="24"/>
        </w:rPr>
        <w:t>根据施工影响预测，本工程对保护区内重点保护对象的可能影响主要为施工机械噪声和外来施工人员的干扰影响。</w:t>
      </w:r>
    </w:p>
    <w:p w14:paraId="23BF294C">
      <w:pPr>
        <w:spacing w:line="360" w:lineRule="auto"/>
        <w:ind w:firstLine="480" w:firstLineChars="200"/>
        <w:jc w:val="left"/>
        <w:rPr>
          <w:color w:val="auto"/>
          <w:kern w:val="0"/>
          <w:sz w:val="24"/>
        </w:rPr>
      </w:pPr>
      <w:r>
        <w:rPr>
          <w:rFonts w:hint="eastAsia" w:ascii="宋体" w:hAnsi="宋体" w:cs="宋体"/>
          <w:color w:val="auto"/>
          <w:kern w:val="0"/>
          <w:sz w:val="24"/>
        </w:rPr>
        <w:t>①</w:t>
      </w:r>
      <w:r>
        <w:rPr>
          <w:color w:val="auto"/>
          <w:kern w:val="0"/>
          <w:sz w:val="24"/>
        </w:rPr>
        <w:t>开展环保宣传及培训工作</w:t>
      </w:r>
    </w:p>
    <w:p w14:paraId="77A01D5A">
      <w:pPr>
        <w:spacing w:line="360" w:lineRule="auto"/>
        <w:ind w:firstLine="480" w:firstLineChars="200"/>
        <w:jc w:val="left"/>
        <w:rPr>
          <w:color w:val="auto"/>
          <w:kern w:val="0"/>
          <w:sz w:val="24"/>
        </w:rPr>
      </w:pPr>
      <w:r>
        <w:rPr>
          <w:color w:val="auto"/>
          <w:kern w:val="0"/>
          <w:sz w:val="24"/>
        </w:rPr>
        <w:t>工程开工前，对全体施工人员进行环保宣传和培训工作。加强对施工人员的管理，督促其安全施工、文明施工。使施工人员懂得物种保护的重要性，增强其环保意识和法律意识，并自觉地进行物种保护。设置宣传牌和宣传标识。</w:t>
      </w:r>
    </w:p>
    <w:p w14:paraId="5492F03E">
      <w:pPr>
        <w:spacing w:line="360" w:lineRule="auto"/>
        <w:ind w:firstLine="480" w:firstLineChars="200"/>
        <w:jc w:val="left"/>
        <w:rPr>
          <w:color w:val="auto"/>
          <w:kern w:val="0"/>
          <w:sz w:val="24"/>
        </w:rPr>
      </w:pPr>
      <w:r>
        <w:rPr>
          <w:rFonts w:hint="eastAsia" w:ascii="宋体" w:hAnsi="宋体" w:cs="宋体"/>
          <w:color w:val="auto"/>
          <w:kern w:val="0"/>
          <w:sz w:val="24"/>
        </w:rPr>
        <w:t>②</w:t>
      </w:r>
      <w:r>
        <w:rPr>
          <w:color w:val="auto"/>
          <w:kern w:val="0"/>
          <w:sz w:val="24"/>
        </w:rPr>
        <w:t>设置宣传标志牌</w:t>
      </w:r>
    </w:p>
    <w:p w14:paraId="24175FC1">
      <w:pPr>
        <w:spacing w:line="360" w:lineRule="auto"/>
        <w:ind w:firstLine="480" w:firstLineChars="200"/>
        <w:jc w:val="left"/>
        <w:rPr>
          <w:color w:val="auto"/>
          <w:kern w:val="0"/>
          <w:sz w:val="24"/>
        </w:rPr>
      </w:pPr>
      <w:r>
        <w:rPr>
          <w:color w:val="auto"/>
          <w:kern w:val="0"/>
          <w:sz w:val="24"/>
        </w:rPr>
        <w:t>在工程沿线附近设立宣传标志牌，宣传标志牌内容可与保护区管理局联系，结合各种保护鸟类的习性、保护级别等灵活设置。</w:t>
      </w:r>
    </w:p>
    <w:p w14:paraId="2FC131CD">
      <w:pPr>
        <w:spacing w:line="360" w:lineRule="auto"/>
        <w:ind w:firstLine="480" w:firstLineChars="200"/>
        <w:jc w:val="left"/>
        <w:rPr>
          <w:color w:val="auto"/>
          <w:kern w:val="0"/>
          <w:sz w:val="24"/>
        </w:rPr>
      </w:pPr>
      <w:r>
        <w:rPr>
          <w:rFonts w:hint="eastAsia" w:ascii="宋体" w:hAnsi="宋体" w:cs="宋体"/>
          <w:color w:val="auto"/>
          <w:kern w:val="0"/>
          <w:sz w:val="24"/>
        </w:rPr>
        <w:t>③</w:t>
      </w:r>
      <w:r>
        <w:rPr>
          <w:color w:val="auto"/>
          <w:kern w:val="0"/>
          <w:sz w:val="24"/>
        </w:rPr>
        <w:t>巡查及监控措施</w:t>
      </w:r>
    </w:p>
    <w:p w14:paraId="21A05247">
      <w:pPr>
        <w:spacing w:line="360" w:lineRule="auto"/>
        <w:ind w:firstLine="480" w:firstLineChars="200"/>
        <w:jc w:val="left"/>
        <w:rPr>
          <w:color w:val="auto"/>
          <w:kern w:val="0"/>
          <w:sz w:val="24"/>
        </w:rPr>
      </w:pPr>
      <w:r>
        <w:rPr>
          <w:color w:val="auto"/>
          <w:kern w:val="0"/>
          <w:sz w:val="24"/>
        </w:rPr>
        <w:t>常规观察：施工期间，若发现有重点保护鸟类鸟群出没于施工区域时，应酌情安排施工或立即停止施工，待其飞离施工区域后再恢复施工活动。</w:t>
      </w:r>
    </w:p>
    <w:p w14:paraId="1E81283D">
      <w:pPr>
        <w:spacing w:line="360" w:lineRule="auto"/>
        <w:ind w:firstLine="480" w:firstLineChars="200"/>
        <w:jc w:val="left"/>
        <w:rPr>
          <w:color w:val="auto"/>
          <w:kern w:val="0"/>
          <w:sz w:val="24"/>
        </w:rPr>
      </w:pPr>
      <w:r>
        <w:rPr>
          <w:rFonts w:hint="eastAsia" w:ascii="宋体" w:hAnsi="宋体" w:cs="宋体"/>
          <w:color w:val="auto"/>
          <w:kern w:val="0"/>
          <w:sz w:val="24"/>
        </w:rPr>
        <w:t>④</w:t>
      </w:r>
      <w:r>
        <w:rPr>
          <w:color w:val="auto"/>
          <w:kern w:val="0"/>
          <w:sz w:val="24"/>
        </w:rPr>
        <w:t>制定协调管理方案</w:t>
      </w:r>
    </w:p>
    <w:p w14:paraId="5BF179B6">
      <w:pPr>
        <w:spacing w:line="360" w:lineRule="auto"/>
        <w:ind w:firstLine="480" w:firstLineChars="200"/>
        <w:jc w:val="left"/>
        <w:rPr>
          <w:color w:val="auto"/>
          <w:kern w:val="0"/>
          <w:sz w:val="24"/>
        </w:rPr>
      </w:pPr>
      <w:r>
        <w:rPr>
          <w:color w:val="auto"/>
          <w:kern w:val="0"/>
          <w:sz w:val="24"/>
        </w:rPr>
        <w:t>项目建设部门应制定严格的工程管理方案，对靠近东洞庭湖国家级自然保护区缓冲区的施工活动规范管理，对相应地区的监测活动制度化，并指定专门人员负责。工程建设部门和保护区管理局可成立一个施工协调小组，组织协调，合理布置施工的时段与区段。</w:t>
      </w:r>
    </w:p>
    <w:p w14:paraId="59D714E1">
      <w:pPr>
        <w:spacing w:line="360" w:lineRule="auto"/>
        <w:ind w:firstLine="480" w:firstLineChars="200"/>
        <w:jc w:val="left"/>
        <w:rPr>
          <w:color w:val="auto"/>
          <w:kern w:val="0"/>
          <w:sz w:val="24"/>
        </w:rPr>
      </w:pPr>
      <w:r>
        <w:rPr>
          <w:color w:val="auto"/>
          <w:kern w:val="0"/>
          <w:sz w:val="24"/>
        </w:rPr>
        <w:t>为保证工程顺利实施，确保各项环保措施落实到位，应建立工程环境监理制度，建议聘请了解候鸟生活习性和湿地动植物保护的专业人员承担紧靠保护区施工段的环境监理工作。监理工程师应严守职责，认真监督每项环保措施的落实。</w:t>
      </w:r>
    </w:p>
    <w:p w14:paraId="2B48ECCF">
      <w:pPr>
        <w:spacing w:line="360" w:lineRule="auto"/>
        <w:ind w:firstLine="480" w:firstLineChars="200"/>
        <w:jc w:val="left"/>
        <w:rPr>
          <w:color w:val="auto"/>
          <w:kern w:val="0"/>
          <w:sz w:val="24"/>
        </w:rPr>
      </w:pPr>
      <w:r>
        <w:rPr>
          <w:color w:val="auto"/>
          <w:kern w:val="0"/>
          <w:sz w:val="24"/>
        </w:rPr>
        <w:t>施工采取尽可能选用噪声污染少的施工机械，设置警示牌、标示牌</w:t>
      </w:r>
      <w:r>
        <w:rPr>
          <w:rFonts w:hint="eastAsia"/>
          <w:color w:val="auto"/>
          <w:kern w:val="0"/>
          <w:sz w:val="24"/>
        </w:rPr>
        <w:t>、声屏障</w:t>
      </w:r>
      <w:r>
        <w:rPr>
          <w:color w:val="auto"/>
          <w:kern w:val="0"/>
          <w:sz w:val="24"/>
        </w:rPr>
        <w:t>，</w:t>
      </w:r>
      <w:r>
        <w:rPr>
          <w:rFonts w:hint="eastAsia"/>
          <w:color w:val="auto"/>
          <w:kern w:val="0"/>
          <w:sz w:val="24"/>
        </w:rPr>
        <w:t>避开越冬候鸟集中栖息期（1月1日</w:t>
      </w:r>
      <w:r>
        <w:rPr>
          <w:color w:val="auto"/>
          <w:kern w:val="0"/>
          <w:sz w:val="24"/>
        </w:rPr>
        <w:t>~</w:t>
      </w:r>
      <w:r>
        <w:rPr>
          <w:rFonts w:hint="eastAsia"/>
          <w:color w:val="auto"/>
          <w:kern w:val="0"/>
          <w:sz w:val="24"/>
        </w:rPr>
        <w:t>3月31日），</w:t>
      </w:r>
      <w:r>
        <w:rPr>
          <w:color w:val="auto"/>
          <w:kern w:val="0"/>
          <w:sz w:val="24"/>
        </w:rPr>
        <w:t>并采取常规观察和重点巡查，对湿地和鸟类保护的针对性强、可操作性强，可有效减少施工对保护区的生态影响。</w:t>
      </w:r>
    </w:p>
    <w:p w14:paraId="27B17859">
      <w:pPr>
        <w:pStyle w:val="82"/>
        <w:widowControl w:val="0"/>
        <w:spacing w:line="360" w:lineRule="auto"/>
        <w:outlineLvl w:val="1"/>
        <w:rPr>
          <w:rFonts w:ascii="Times New Roman" w:hAnsi="Times New Roman" w:eastAsia="宋体" w:cs="Times New Roman"/>
          <w:b/>
          <w:color w:val="auto"/>
          <w:sz w:val="30"/>
          <w:szCs w:val="30"/>
        </w:rPr>
      </w:pPr>
      <w:bookmarkStart w:id="184" w:name="_Toc29759"/>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4对水生生物的保护措施</w:t>
      </w:r>
      <w:bookmarkEnd w:id="183"/>
      <w:bookmarkEnd w:id="184"/>
    </w:p>
    <w:p w14:paraId="5E62BC2E">
      <w:pPr>
        <w:spacing w:line="360" w:lineRule="auto"/>
        <w:ind w:firstLine="480" w:firstLineChars="200"/>
        <w:jc w:val="left"/>
        <w:rPr>
          <w:color w:val="auto"/>
          <w:kern w:val="0"/>
          <w:sz w:val="24"/>
        </w:rPr>
      </w:pPr>
      <w:r>
        <w:rPr>
          <w:color w:val="auto"/>
          <w:kern w:val="0"/>
          <w:sz w:val="24"/>
        </w:rPr>
        <w:t>（1）保护措施制定原则</w:t>
      </w:r>
    </w:p>
    <w:p w14:paraId="0CDA265A">
      <w:pPr>
        <w:spacing w:line="360" w:lineRule="auto"/>
        <w:ind w:firstLine="480" w:firstLineChars="200"/>
        <w:jc w:val="left"/>
        <w:rPr>
          <w:color w:val="auto"/>
          <w:kern w:val="0"/>
          <w:sz w:val="24"/>
        </w:rPr>
      </w:pPr>
      <w:r>
        <w:rPr>
          <w:color w:val="auto"/>
          <w:kern w:val="0"/>
          <w:sz w:val="24"/>
        </w:rPr>
        <w:t>工程水生生态保护措施需重点考虑缓解工程施工期及运行初期对沿线水生生态的影响，结合工程建设，考虑江湖生态环境保护与修复需求，促进生态环境改善。水生生态保护措施的制定总体考虑以预防、补偿措施为主，针对工程建设和运行对各区域水生生态环境的影响程度和范围，制定缓解措施，以长期动态生态监测为依托，从流域生态环境整体考虑，形成洞庭湖湖区与鱼塘水道统筹兼顾的保护格局。保护措施的制定总体以尊重自然为基本原则，在恢复过程中注重尽量维护河流、湖泊的自然结构，充分发挥水生生态系统自我调节和恢复能力，以自然恢复为主，人工措施为辅。</w:t>
      </w:r>
    </w:p>
    <w:p w14:paraId="27FE04EB">
      <w:pPr>
        <w:spacing w:line="360" w:lineRule="auto"/>
        <w:ind w:firstLine="480" w:firstLineChars="200"/>
        <w:jc w:val="left"/>
        <w:rPr>
          <w:color w:val="auto"/>
          <w:kern w:val="0"/>
          <w:sz w:val="24"/>
        </w:rPr>
      </w:pPr>
      <w:r>
        <w:rPr>
          <w:color w:val="auto"/>
          <w:kern w:val="0"/>
          <w:sz w:val="24"/>
        </w:rPr>
        <w:t>（2）保护措施体系</w:t>
      </w:r>
    </w:p>
    <w:p w14:paraId="570F6404">
      <w:pPr>
        <w:spacing w:line="360" w:lineRule="auto"/>
        <w:ind w:firstLine="480" w:firstLineChars="200"/>
        <w:jc w:val="left"/>
        <w:rPr>
          <w:color w:val="auto"/>
          <w:kern w:val="0"/>
          <w:sz w:val="24"/>
        </w:rPr>
      </w:pPr>
      <w:r>
        <w:rPr>
          <w:color w:val="auto"/>
          <w:kern w:val="0"/>
          <w:sz w:val="24"/>
        </w:rPr>
        <w:t>根据水生生态影响预测评价，本工程是在现有鱼塘下完善，工程实施对区域水生生态系统的总体不利影响相对不显著，不会对鱼类种类多样性造成显著影响。结合当前水生生态保护措施技术水平，建立以生境恢复、栖息地修复重建、土著鱼类驯养繁殖、增殖放流、保护区管理能力建设、跟踪监测与效果评估、洞庭湖水生生物科普与宣传等措施依托生态敏感区补偿方案落实。生态敏感区相关水生生态保护措施安排详见</w:t>
      </w:r>
      <w:r>
        <w:rPr>
          <w:rFonts w:hint="eastAsia"/>
          <w:color w:val="auto"/>
          <w:kern w:val="0"/>
          <w:sz w:val="24"/>
        </w:rPr>
        <w:t>5.</w:t>
      </w:r>
      <w:r>
        <w:rPr>
          <w:color w:val="auto"/>
          <w:kern w:val="0"/>
          <w:sz w:val="24"/>
        </w:rPr>
        <w:t>5节。</w:t>
      </w:r>
    </w:p>
    <w:p w14:paraId="047CD39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4.1生态影响的避免措施</w:t>
      </w:r>
    </w:p>
    <w:p w14:paraId="43CDC4B5">
      <w:pPr>
        <w:spacing w:line="360" w:lineRule="auto"/>
        <w:ind w:firstLine="480" w:firstLineChars="200"/>
        <w:jc w:val="left"/>
        <w:rPr>
          <w:color w:val="auto"/>
          <w:kern w:val="0"/>
          <w:sz w:val="24"/>
        </w:rPr>
      </w:pPr>
      <w:r>
        <w:rPr>
          <w:color w:val="auto"/>
          <w:kern w:val="0"/>
          <w:sz w:val="24"/>
        </w:rPr>
        <w:t>（1）加强对施工人员的管理：提高施工人员的鱼类保护意识，严禁施工人员捕鱼，尽量保证鱼类种群数量的稳定。加强对保护区的宣传教育。采取的形式包括公告、宣传册等，提高施工人员对水生种质资源的认识，保护水生生物及其栖息环境。施工期间聘请专业人员担任现场监督和监控工作，如发现重点保护水生生物接近施工区域，应停止施工，立即报告相关部门加强对其监控和保护。</w:t>
      </w:r>
    </w:p>
    <w:p w14:paraId="48003BD4">
      <w:pPr>
        <w:spacing w:line="360" w:lineRule="auto"/>
        <w:ind w:firstLine="480" w:firstLineChars="200"/>
        <w:jc w:val="left"/>
        <w:rPr>
          <w:color w:val="auto"/>
          <w:kern w:val="0"/>
          <w:sz w:val="24"/>
        </w:rPr>
      </w:pPr>
      <w:r>
        <w:rPr>
          <w:color w:val="auto"/>
          <w:kern w:val="0"/>
          <w:sz w:val="24"/>
        </w:rPr>
        <w:t>（2）根据施工进度安排，工程施工已避开鱼类繁殖期，建议进一步优化施工方案及施工工艺，尽量缩短水中作业时间，减少对鱼类及水生生物栖息环境的影响。虽然工程施工避开鱼类繁殖期，施工将导致施工区及附近底栖生物和沿岸带水生植被等的损失，短期内较难恢复，使得鱼类产卵场受破坏或者功能下降：产粘性卵、沉性卵和浮性卵的鱼类产卵场一般处在滩涂浅水区，比较容易因破坏而消失，所以工程建设及其辅助工程建设应尽量减少对区域浅水缓流区或洲滩影响，尽量保持其完整性，最大限度的保证产卵场的功能性。</w:t>
      </w:r>
    </w:p>
    <w:p w14:paraId="4C041951">
      <w:pPr>
        <w:spacing w:line="360" w:lineRule="auto"/>
        <w:ind w:firstLine="480" w:firstLineChars="200"/>
        <w:jc w:val="left"/>
        <w:rPr>
          <w:color w:val="auto"/>
          <w:kern w:val="0"/>
          <w:sz w:val="24"/>
        </w:rPr>
      </w:pPr>
      <w:r>
        <w:rPr>
          <w:color w:val="auto"/>
          <w:kern w:val="0"/>
          <w:sz w:val="24"/>
        </w:rPr>
        <w:t>（3）根据施工进度安排，工程施工已避开鱼类繁殖期，建议加强施工管理，强调合理有序施工，优化施工组织，同一施工段实行同向逐步推进施工，相邻施工段错开施工高峰期，避免同区段出现大规模的同时施工。</w:t>
      </w:r>
    </w:p>
    <w:p w14:paraId="544C2871">
      <w:pPr>
        <w:spacing w:line="360" w:lineRule="auto"/>
        <w:ind w:firstLine="480" w:firstLineChars="200"/>
        <w:jc w:val="left"/>
        <w:rPr>
          <w:color w:val="auto"/>
          <w:kern w:val="0"/>
          <w:sz w:val="24"/>
        </w:rPr>
      </w:pPr>
      <w:r>
        <w:rPr>
          <w:color w:val="auto"/>
          <w:kern w:val="0"/>
          <w:sz w:val="24"/>
        </w:rPr>
        <w:t>（4）工程施工时，要加强备料场防护，严禁在河道两岸临时堆放弃土、弃渣和建筑垃圾，运输车辆进行覆盖或封闭运输，避免零碎土石、泥沙等进入河道。</w:t>
      </w:r>
    </w:p>
    <w:p w14:paraId="08B86619">
      <w:pPr>
        <w:spacing w:line="360" w:lineRule="auto"/>
        <w:ind w:firstLine="480" w:firstLineChars="200"/>
        <w:jc w:val="left"/>
        <w:rPr>
          <w:color w:val="auto"/>
          <w:kern w:val="0"/>
          <w:sz w:val="24"/>
        </w:rPr>
      </w:pPr>
      <w:r>
        <w:rPr>
          <w:color w:val="auto"/>
          <w:kern w:val="0"/>
          <w:sz w:val="24"/>
        </w:rPr>
        <w:t>（5）建立施工机械防油泄露规范。对废弃油料及含油物料要集中收集并处理，机械施工要尽量减少油料泄露，对入水施工机件要经常保养维护，清除表面油迹。施工人员的生活污水应集中收集处理，严禁污水直接进入水体。</w:t>
      </w:r>
    </w:p>
    <w:p w14:paraId="253187E7">
      <w:pPr>
        <w:spacing w:line="360" w:lineRule="auto"/>
        <w:ind w:firstLine="480" w:firstLineChars="200"/>
        <w:jc w:val="left"/>
        <w:rPr>
          <w:color w:val="auto"/>
          <w:kern w:val="0"/>
          <w:sz w:val="24"/>
        </w:rPr>
      </w:pPr>
      <w:r>
        <w:rPr>
          <w:color w:val="auto"/>
          <w:kern w:val="0"/>
          <w:sz w:val="24"/>
        </w:rPr>
        <w:t>（6）施工营地尽量利用周边村镇的民居，减少施工占地，减轻对保护区沿岸生境的扰动。</w:t>
      </w:r>
    </w:p>
    <w:p w14:paraId="783772F2">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4.2生态影响的减缓措施</w:t>
      </w:r>
    </w:p>
    <w:p w14:paraId="02419971">
      <w:pPr>
        <w:spacing w:line="360" w:lineRule="auto"/>
        <w:ind w:firstLine="480" w:firstLineChars="200"/>
        <w:jc w:val="left"/>
        <w:rPr>
          <w:color w:val="auto"/>
          <w:kern w:val="0"/>
          <w:sz w:val="24"/>
        </w:rPr>
      </w:pPr>
      <w:r>
        <w:rPr>
          <w:color w:val="auto"/>
          <w:kern w:val="0"/>
          <w:sz w:val="24"/>
        </w:rPr>
        <w:t>（1）优化工程设计和施工组织，尽量减少施工占地，尽量减少工程建设对生态环境的破坏；</w:t>
      </w:r>
    </w:p>
    <w:p w14:paraId="29A82A57">
      <w:pPr>
        <w:spacing w:line="360" w:lineRule="auto"/>
        <w:ind w:firstLine="480" w:firstLineChars="200"/>
        <w:jc w:val="left"/>
        <w:rPr>
          <w:color w:val="auto"/>
          <w:kern w:val="0"/>
          <w:sz w:val="24"/>
        </w:rPr>
      </w:pPr>
      <w:r>
        <w:rPr>
          <w:color w:val="auto"/>
          <w:kern w:val="0"/>
          <w:sz w:val="24"/>
        </w:rPr>
        <w:t>（2）合理安排施工时序，优化施工组织。对于同一片区域有多项施工内容的，应分段分次进行施工，避免同一区域出现大规模的施工。</w:t>
      </w:r>
    </w:p>
    <w:p w14:paraId="336D1E7B">
      <w:pPr>
        <w:spacing w:line="360" w:lineRule="auto"/>
        <w:ind w:firstLine="480" w:firstLineChars="200"/>
        <w:jc w:val="left"/>
        <w:rPr>
          <w:color w:val="auto"/>
          <w:kern w:val="0"/>
          <w:sz w:val="24"/>
        </w:rPr>
      </w:pPr>
      <w:r>
        <w:rPr>
          <w:color w:val="auto"/>
          <w:kern w:val="0"/>
          <w:sz w:val="24"/>
        </w:rPr>
        <w:t>（3）施工期间，在各主要施工作业区设置生态保护警示牌，警示牌上标明工程施工区范围，禁止到非施工区域进行施工活动，非施工区严禁破坏河床植被。</w:t>
      </w:r>
    </w:p>
    <w:p w14:paraId="7C371B1D">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4.3生态影响的恢复和补偿措施</w:t>
      </w:r>
    </w:p>
    <w:p w14:paraId="69181DD8">
      <w:pPr>
        <w:adjustRightInd w:val="0"/>
        <w:spacing w:line="360" w:lineRule="auto"/>
        <w:jc w:val="left"/>
        <w:outlineLvl w:val="3"/>
        <w:rPr>
          <w:b/>
          <w:bCs/>
          <w:color w:val="auto"/>
          <w:sz w:val="24"/>
        </w:rPr>
      </w:pPr>
      <w:r>
        <w:rPr>
          <w:rFonts w:hint="eastAsia"/>
          <w:b/>
          <w:bCs/>
          <w:color w:val="auto"/>
          <w:sz w:val="24"/>
        </w:rPr>
        <w:t>5.</w:t>
      </w:r>
      <w:r>
        <w:rPr>
          <w:b/>
          <w:bCs/>
          <w:color w:val="auto"/>
          <w:sz w:val="24"/>
        </w:rPr>
        <w:t>4.3.1生态修复</w:t>
      </w:r>
    </w:p>
    <w:p w14:paraId="5D3DE07A">
      <w:pPr>
        <w:spacing w:line="360" w:lineRule="auto"/>
        <w:ind w:firstLine="480" w:firstLineChars="200"/>
        <w:jc w:val="left"/>
        <w:rPr>
          <w:color w:val="auto"/>
          <w:kern w:val="0"/>
          <w:sz w:val="24"/>
        </w:rPr>
      </w:pPr>
      <w:r>
        <w:rPr>
          <w:color w:val="auto"/>
          <w:kern w:val="0"/>
          <w:sz w:val="24"/>
        </w:rPr>
        <w:t>工程的改建对水域环境产生改变，包括水生维管束植物以及底栖动物的损失，因此在施工期应采取合理科学的施工工艺减少对湿地的影响，施工完成后应尽快对洲滩和水域生态环境开展修复工作。</w:t>
      </w:r>
    </w:p>
    <w:p w14:paraId="29D98F93">
      <w:pPr>
        <w:spacing w:line="360" w:lineRule="auto"/>
        <w:ind w:firstLine="480" w:firstLineChars="200"/>
        <w:jc w:val="left"/>
        <w:rPr>
          <w:color w:val="auto"/>
          <w:kern w:val="0"/>
          <w:sz w:val="24"/>
        </w:rPr>
      </w:pPr>
      <w:r>
        <w:rPr>
          <w:color w:val="auto"/>
          <w:kern w:val="0"/>
          <w:sz w:val="24"/>
        </w:rPr>
        <w:t>工程完工后，通过采取适宜的植被恢复措施，尽快恢复施工场地，加快陆生生态恢复，以补偿植被损失。不同施工场地区恢复方案：主体工程区施工结束后，根据施工情况，对施工场地进行平整，回填表土。建筑物区施工结束后，根据建筑物区的施工情况，施工场地平整后播撒草籽进行绿化，按该区域占地面积的40%估算绿化面积，草种选用三叶草、狗牙根混撒，播撒密度为80kg/hm</w:t>
      </w:r>
      <w:r>
        <w:rPr>
          <w:color w:val="auto"/>
          <w:kern w:val="0"/>
          <w:sz w:val="24"/>
          <w:vertAlign w:val="superscript"/>
        </w:rPr>
        <w:t>2</w:t>
      </w:r>
      <w:r>
        <w:rPr>
          <w:color w:val="auto"/>
          <w:kern w:val="0"/>
          <w:sz w:val="24"/>
        </w:rPr>
        <w:t>。</w:t>
      </w:r>
    </w:p>
    <w:p w14:paraId="1A65B96B">
      <w:pPr>
        <w:adjustRightInd w:val="0"/>
        <w:spacing w:line="360" w:lineRule="auto"/>
        <w:jc w:val="left"/>
        <w:outlineLvl w:val="3"/>
        <w:rPr>
          <w:b/>
          <w:bCs/>
          <w:color w:val="auto"/>
          <w:sz w:val="24"/>
        </w:rPr>
      </w:pPr>
      <w:r>
        <w:rPr>
          <w:rFonts w:hint="eastAsia"/>
          <w:b/>
          <w:bCs/>
          <w:color w:val="auto"/>
          <w:sz w:val="24"/>
        </w:rPr>
        <w:t>5.</w:t>
      </w:r>
      <w:r>
        <w:rPr>
          <w:b/>
          <w:bCs/>
          <w:color w:val="auto"/>
          <w:sz w:val="24"/>
        </w:rPr>
        <w:t>4.3.2栖息地修复重建</w:t>
      </w:r>
    </w:p>
    <w:p w14:paraId="4B870E7E">
      <w:pPr>
        <w:spacing w:line="360" w:lineRule="auto"/>
        <w:ind w:firstLine="480" w:firstLineChars="200"/>
        <w:jc w:val="left"/>
        <w:rPr>
          <w:color w:val="auto"/>
          <w:kern w:val="0"/>
          <w:sz w:val="24"/>
        </w:rPr>
      </w:pPr>
      <w:r>
        <w:rPr>
          <w:color w:val="auto"/>
          <w:kern w:val="0"/>
          <w:sz w:val="24"/>
        </w:rPr>
        <w:t>以鱼类、龟鳖、螺蚌为重点，开展栖息地修复示范，主要通过原位栖息地重建以及人工鱼巢等方式。</w:t>
      </w:r>
    </w:p>
    <w:p w14:paraId="1743E2B3">
      <w:pPr>
        <w:spacing w:line="360" w:lineRule="auto"/>
        <w:ind w:firstLine="480" w:firstLineChars="200"/>
        <w:jc w:val="left"/>
        <w:rPr>
          <w:color w:val="auto"/>
          <w:kern w:val="0"/>
          <w:sz w:val="24"/>
        </w:rPr>
      </w:pPr>
      <w:r>
        <w:rPr>
          <w:color w:val="auto"/>
          <w:kern w:val="0"/>
          <w:sz w:val="24"/>
        </w:rPr>
        <w:t>人工鱼巢主要增殖产粘性卵鱼类，并为青虾、螺蚌等提供栖息场所。根据主要保护对象黄颡鱼、鳊等鱼类的繁殖生物学特性，设置人工鱼巢，设置地点为保护区微流水区或静水区，以增殖产粘性卵、产沉粘性卵鱼类。人工鱼巢的设置应符合《人工鱼巢设置技术规范》的规定。</w:t>
      </w:r>
    </w:p>
    <w:p w14:paraId="225CA839">
      <w:pPr>
        <w:spacing w:line="360" w:lineRule="auto"/>
        <w:ind w:firstLine="480" w:firstLineChars="200"/>
        <w:jc w:val="left"/>
        <w:rPr>
          <w:color w:val="auto"/>
          <w:kern w:val="0"/>
          <w:sz w:val="24"/>
        </w:rPr>
      </w:pPr>
      <w:r>
        <w:rPr>
          <w:color w:val="auto"/>
          <w:kern w:val="0"/>
          <w:sz w:val="24"/>
        </w:rPr>
        <w:t>鱼类：恢复生态护坡植被，减少土壤侵蚀，提高水体净化能力，增强河岸稳定性，提供鱼类近岸、觅食和逃避敌害的空间；选取适宜区域，恢复河床复杂地形，包括砾石滩、沙洲、沉水植被区等，提供鱼类产卵、繁殖、生长和避难的不同微生境；布置人工鱼礁，增加水下结构的复杂性，增加鱼类栖息空间和生物多样性。采用鱼巢砖、植物篱等方式开展生态护岸示范，增加鱼类栖息、繁殖的微生境。</w:t>
      </w:r>
    </w:p>
    <w:p w14:paraId="57AE5937">
      <w:pPr>
        <w:spacing w:line="360" w:lineRule="auto"/>
        <w:ind w:firstLine="480" w:firstLineChars="200"/>
        <w:jc w:val="left"/>
        <w:rPr>
          <w:color w:val="auto"/>
          <w:kern w:val="0"/>
          <w:sz w:val="24"/>
        </w:rPr>
      </w:pPr>
      <w:r>
        <w:rPr>
          <w:color w:val="auto"/>
          <w:kern w:val="0"/>
          <w:sz w:val="24"/>
        </w:rPr>
        <w:t>蚌类：可在蚌类资源量较多的水域构建人工鱼巢区，营造蚌类天然寄生鱼偏好的栖息地、索饵及繁殖等生态环境，诱导寄主鱼群落自然集群，增加钩介幼虫寄生率，从而增强三角帆蚌、背瘤丽蚌等自然繁衍和种群扩增能力，同时为蚌类与鱼类共生提供栖息场所。</w:t>
      </w:r>
    </w:p>
    <w:p w14:paraId="56A169E5">
      <w:pPr>
        <w:spacing w:line="360" w:lineRule="auto"/>
        <w:ind w:firstLine="480" w:firstLineChars="200"/>
        <w:jc w:val="left"/>
        <w:rPr>
          <w:color w:val="auto"/>
          <w:kern w:val="0"/>
          <w:sz w:val="24"/>
        </w:rPr>
      </w:pPr>
      <w:r>
        <w:rPr>
          <w:color w:val="auto"/>
          <w:kern w:val="0"/>
          <w:sz w:val="24"/>
        </w:rPr>
        <w:t>龟鳖：选取生境修复示范区，选取具备合适坡比的洲滩，设置从水生到陆地的过渡区，通过植入水生植物、建造浮岛、沉木、堆石等结构，为龟鳖提供安全的遮蔽、休息、晒背场所，同时提高局部生物多样性。在合适地点设置人工巢穴和孵化场，为龟鳖提供安全的产卵、孵化条件；设置警示牌，限制人类活动干扰，尤其是繁殖季节和冬眠期。</w:t>
      </w:r>
    </w:p>
    <w:p w14:paraId="09686B02">
      <w:pPr>
        <w:spacing w:line="360" w:lineRule="auto"/>
        <w:ind w:firstLine="480" w:firstLineChars="200"/>
        <w:jc w:val="left"/>
        <w:rPr>
          <w:color w:val="auto"/>
          <w:kern w:val="0"/>
          <w:sz w:val="24"/>
        </w:rPr>
      </w:pPr>
      <w:r>
        <w:rPr>
          <w:color w:val="auto"/>
          <w:kern w:val="0"/>
          <w:sz w:val="24"/>
        </w:rPr>
        <w:t>生境修复区重点可选在洞庭湖区等地开展龟鳖保种。</w:t>
      </w:r>
    </w:p>
    <w:p w14:paraId="05DDE606">
      <w:pPr>
        <w:adjustRightInd w:val="0"/>
        <w:spacing w:line="360" w:lineRule="auto"/>
        <w:jc w:val="left"/>
        <w:outlineLvl w:val="3"/>
        <w:rPr>
          <w:b/>
          <w:bCs/>
          <w:color w:val="auto"/>
          <w:sz w:val="24"/>
        </w:rPr>
      </w:pPr>
      <w:r>
        <w:rPr>
          <w:rFonts w:hint="eastAsia"/>
          <w:b/>
          <w:bCs/>
          <w:color w:val="auto"/>
          <w:sz w:val="24"/>
        </w:rPr>
        <w:t>5.</w:t>
      </w:r>
      <w:r>
        <w:rPr>
          <w:b/>
          <w:bCs/>
          <w:color w:val="auto"/>
          <w:sz w:val="24"/>
        </w:rPr>
        <w:t>4.3.3增殖放流</w:t>
      </w:r>
    </w:p>
    <w:p w14:paraId="2CCE33CC">
      <w:pPr>
        <w:spacing w:line="360" w:lineRule="auto"/>
        <w:ind w:firstLine="480" w:firstLineChars="200"/>
        <w:jc w:val="left"/>
        <w:rPr>
          <w:color w:val="auto"/>
          <w:kern w:val="0"/>
          <w:sz w:val="24"/>
        </w:rPr>
      </w:pPr>
      <w:r>
        <w:rPr>
          <w:color w:val="auto"/>
          <w:kern w:val="0"/>
          <w:sz w:val="24"/>
        </w:rPr>
        <w:t>增殖放流工作应根据《中国水生生物资源养护行动纲要》、《水生生物增殖放流管理规定》。放流种苗供应单位应选择信誉良好、管理规范、具备相应的技术力量的国家级或省级水产原良种场和良种繁育场、渔业资源增殖站、野生水生生物驯养繁殖基地或救护中心以及其他具有相关资质的种苗生产单位，必要时可通过招标形式确定。放流的幼鱼必须是由野生亲本人工繁殖的子一代。放流种类必须是无伤残和病害、体格健壮，符合渔业行政主管部门制定放流苗种种质技术规范。放流前，种苗供应单位应提供放流种苗种质鉴定和疫病检验检疫报告，以保证用于增殖放流种苗的质量，避免对增殖放流水域生态造成不良影响。鱼类放流活动应与当地水利水产管理机构协调，并在该机构的监督与指导下进行。</w:t>
      </w:r>
    </w:p>
    <w:p w14:paraId="7DA5D4C0">
      <w:pPr>
        <w:spacing w:line="360" w:lineRule="auto"/>
        <w:ind w:firstLine="480" w:firstLineChars="200"/>
        <w:jc w:val="left"/>
        <w:rPr>
          <w:color w:val="auto"/>
          <w:kern w:val="0"/>
          <w:sz w:val="24"/>
        </w:rPr>
      </w:pPr>
      <w:r>
        <w:rPr>
          <w:color w:val="auto"/>
          <w:kern w:val="0"/>
          <w:sz w:val="24"/>
        </w:rPr>
        <w:t>根据工程对水生生物的影响，采取增殖放流补偿保护区水生生物资源量，主要放流对象为珍稀土著鱼类，包括胭脂鱼、长吻鮠。</w:t>
      </w:r>
    </w:p>
    <w:p w14:paraId="5DDFBA11">
      <w:pPr>
        <w:adjustRightInd w:val="0"/>
        <w:spacing w:line="360" w:lineRule="auto"/>
        <w:jc w:val="left"/>
        <w:outlineLvl w:val="3"/>
        <w:rPr>
          <w:b/>
          <w:bCs/>
          <w:color w:val="auto"/>
          <w:sz w:val="24"/>
        </w:rPr>
      </w:pPr>
      <w:r>
        <w:rPr>
          <w:rFonts w:hint="eastAsia"/>
          <w:b/>
          <w:bCs/>
          <w:color w:val="auto"/>
          <w:sz w:val="24"/>
        </w:rPr>
        <w:t>5.</w:t>
      </w:r>
      <w:r>
        <w:rPr>
          <w:b/>
          <w:bCs/>
          <w:color w:val="auto"/>
          <w:sz w:val="24"/>
        </w:rPr>
        <w:t>4.3.4土著鱼驯养繁殖</w:t>
      </w:r>
    </w:p>
    <w:p w14:paraId="6AF202CD">
      <w:pPr>
        <w:spacing w:line="360" w:lineRule="auto"/>
        <w:ind w:firstLine="480" w:firstLineChars="200"/>
        <w:jc w:val="left"/>
        <w:rPr>
          <w:color w:val="auto"/>
          <w:kern w:val="0"/>
          <w:sz w:val="24"/>
        </w:rPr>
      </w:pPr>
      <w:r>
        <w:rPr>
          <w:color w:val="auto"/>
          <w:kern w:val="0"/>
          <w:sz w:val="24"/>
        </w:rPr>
        <w:t>洞庭湖是我国重要的水生生物种质资源库，拥有极其丰富的鱼类、蚌类等水生生物资源。开展土著鱼类人工驯养繁殖技术研究、攻克土著鱼类人工驯养繁殖技术难关对于物种保护、产业发展等方面具有极其重要的意义。本项目生态修复资金可用于洞庭湖土著鱼类繁育研究，为扩大全省乃至全国土著鱼类苗种生产和供应，增加土著鱼类增殖放流数量和规模，恢复土著鱼类资源，优化土著鱼类种群结构等方面奠定基础，充分发挥保护区的天然种质资源库优势和产业支撑功能。主要工作内容包括：</w:t>
      </w:r>
    </w:p>
    <w:p w14:paraId="61627080">
      <w:pPr>
        <w:spacing w:line="360" w:lineRule="auto"/>
        <w:ind w:firstLine="480" w:firstLineChars="200"/>
        <w:jc w:val="left"/>
        <w:rPr>
          <w:color w:val="auto"/>
          <w:kern w:val="0"/>
          <w:sz w:val="24"/>
        </w:rPr>
      </w:pPr>
      <w:r>
        <w:rPr>
          <w:color w:val="auto"/>
          <w:kern w:val="0"/>
          <w:sz w:val="24"/>
        </w:rPr>
        <w:t>①筛选品种。选取具备较高生态价值、经济价值的洞庭湖特色水生动物为突破重点，拟选取鳤、刺鲃、铜鱼、瓣结鱼等鱼类及橄榄蛏蚌、中国淡水蛏等蚌类为研究重点，突破其人工繁殖技术，实现一定规模苗种供应能力。</w:t>
      </w:r>
    </w:p>
    <w:p w14:paraId="1882CC6C">
      <w:pPr>
        <w:spacing w:line="360" w:lineRule="auto"/>
        <w:ind w:firstLine="480" w:firstLineChars="200"/>
        <w:jc w:val="left"/>
        <w:rPr>
          <w:color w:val="auto"/>
          <w:kern w:val="0"/>
          <w:sz w:val="24"/>
        </w:rPr>
      </w:pPr>
      <w:r>
        <w:rPr>
          <w:color w:val="auto"/>
          <w:kern w:val="0"/>
          <w:sz w:val="24"/>
        </w:rPr>
        <w:t>②收集鱼类原种，查阅收集洞庭湖区特色水生动物有关资料，进行有关资源调查。采集和驯养一定规模的存活原种。</w:t>
      </w:r>
    </w:p>
    <w:p w14:paraId="6CE9109E">
      <w:pPr>
        <w:spacing w:line="360" w:lineRule="auto"/>
        <w:ind w:firstLine="480" w:firstLineChars="200"/>
        <w:jc w:val="left"/>
        <w:rPr>
          <w:color w:val="auto"/>
          <w:kern w:val="0"/>
          <w:sz w:val="24"/>
        </w:rPr>
      </w:pPr>
      <w:r>
        <w:rPr>
          <w:color w:val="auto"/>
          <w:kern w:val="0"/>
          <w:sz w:val="24"/>
        </w:rPr>
        <w:t>③开展相关食性及摄食生态学研究，了解自然种群个体的基本食性及食物组成，研究不同阶段摄食习性与行为，为亲本培育和苗种规模化生产提供技术支持。</w:t>
      </w:r>
    </w:p>
    <w:p w14:paraId="442F5EE1">
      <w:pPr>
        <w:spacing w:line="360" w:lineRule="auto"/>
        <w:ind w:firstLine="480" w:firstLineChars="200"/>
        <w:jc w:val="left"/>
        <w:rPr>
          <w:color w:val="auto"/>
          <w:kern w:val="0"/>
          <w:sz w:val="24"/>
        </w:rPr>
      </w:pPr>
      <w:r>
        <w:rPr>
          <w:color w:val="auto"/>
          <w:kern w:val="0"/>
          <w:sz w:val="24"/>
        </w:rPr>
        <w:t>④开展繁殖生物学与繁殖生态研究，研究个体及种群繁殖生物学、自然繁殖习性及生态环境条件，为人工培育、催产与孵化提供基础资料参考。</w:t>
      </w:r>
    </w:p>
    <w:p w14:paraId="6857C3B7">
      <w:pPr>
        <w:spacing w:line="360" w:lineRule="auto"/>
        <w:ind w:firstLine="480" w:firstLineChars="200"/>
        <w:jc w:val="left"/>
        <w:rPr>
          <w:color w:val="auto"/>
          <w:kern w:val="0"/>
          <w:sz w:val="24"/>
        </w:rPr>
      </w:pPr>
      <w:r>
        <w:rPr>
          <w:color w:val="auto"/>
          <w:kern w:val="0"/>
          <w:sz w:val="24"/>
        </w:rPr>
        <w:t>⑤开展不同发育阶段人工驯养存活主要限制因子及其调控、人工繁殖的主要环境因子、人工催产主要技术参数，掌握最适催产药物配比。</w:t>
      </w:r>
    </w:p>
    <w:p w14:paraId="09FC257E">
      <w:pPr>
        <w:spacing w:line="360" w:lineRule="auto"/>
        <w:ind w:firstLine="480" w:firstLineChars="200"/>
        <w:jc w:val="left"/>
        <w:rPr>
          <w:color w:val="auto"/>
          <w:kern w:val="0"/>
          <w:sz w:val="24"/>
        </w:rPr>
      </w:pPr>
      <w:r>
        <w:rPr>
          <w:color w:val="auto"/>
          <w:kern w:val="0"/>
          <w:sz w:val="24"/>
        </w:rPr>
        <w:t>⑥批量化鱼苗培育过程中饵料、养殖环境因子及主要病害防治技术研究。</w:t>
      </w:r>
    </w:p>
    <w:p w14:paraId="2936F65E">
      <w:pPr>
        <w:spacing w:line="360" w:lineRule="auto"/>
        <w:ind w:firstLine="480" w:firstLineChars="200"/>
        <w:jc w:val="left"/>
        <w:rPr>
          <w:color w:val="auto"/>
          <w:kern w:val="0"/>
          <w:sz w:val="24"/>
        </w:rPr>
      </w:pPr>
      <w:r>
        <w:rPr>
          <w:color w:val="auto"/>
          <w:kern w:val="0"/>
          <w:sz w:val="24"/>
        </w:rPr>
        <w:t>通过</w:t>
      </w:r>
      <w:r>
        <w:rPr>
          <w:rFonts w:hint="eastAsia"/>
          <w:color w:val="auto"/>
          <w:kern w:val="0"/>
          <w:sz w:val="24"/>
        </w:rPr>
        <w:t>“</w:t>
      </w:r>
      <w:r>
        <w:rPr>
          <w:color w:val="auto"/>
          <w:kern w:val="0"/>
          <w:sz w:val="24"/>
        </w:rPr>
        <w:t>驯养—繁殖—养殖</w:t>
      </w:r>
      <w:r>
        <w:rPr>
          <w:rFonts w:hint="eastAsia"/>
          <w:color w:val="auto"/>
          <w:kern w:val="0"/>
          <w:sz w:val="24"/>
        </w:rPr>
        <w:t>”</w:t>
      </w:r>
      <w:r>
        <w:rPr>
          <w:color w:val="auto"/>
          <w:kern w:val="0"/>
          <w:sz w:val="24"/>
        </w:rPr>
        <w:t>模式，在5~6年内完成驯养繁殖技术突破，实现规模化人工繁育，提交人工培育的苗种若干。为洞庭湖珍稀土著水生动物资源保护与增殖放流提供苗种基础。</w:t>
      </w:r>
    </w:p>
    <w:p w14:paraId="3C963257">
      <w:pPr>
        <w:adjustRightInd w:val="0"/>
        <w:spacing w:line="360" w:lineRule="auto"/>
        <w:jc w:val="left"/>
        <w:outlineLvl w:val="3"/>
        <w:rPr>
          <w:b/>
          <w:bCs/>
          <w:color w:val="auto"/>
          <w:sz w:val="24"/>
        </w:rPr>
      </w:pPr>
      <w:r>
        <w:rPr>
          <w:rFonts w:hint="eastAsia"/>
          <w:b/>
          <w:bCs/>
          <w:color w:val="auto"/>
          <w:sz w:val="24"/>
        </w:rPr>
        <w:t>5.</w:t>
      </w:r>
      <w:r>
        <w:rPr>
          <w:b/>
          <w:bCs/>
          <w:color w:val="auto"/>
          <w:sz w:val="24"/>
        </w:rPr>
        <w:t>4.3.5洞庭湖水生生物科普与宣传</w:t>
      </w:r>
    </w:p>
    <w:p w14:paraId="6916044D">
      <w:pPr>
        <w:spacing w:line="360" w:lineRule="auto"/>
        <w:ind w:firstLine="480" w:firstLineChars="200"/>
        <w:jc w:val="left"/>
        <w:rPr>
          <w:color w:val="auto"/>
          <w:kern w:val="0"/>
          <w:sz w:val="24"/>
        </w:rPr>
      </w:pPr>
      <w:r>
        <w:rPr>
          <w:color w:val="auto"/>
          <w:kern w:val="0"/>
          <w:sz w:val="24"/>
        </w:rPr>
        <w:t>洞庭湖是长江流域重要的水生生物种质资源库，开展洞庭湖水生生物科普与宣传能够有效增强公众保护意识，让更多人参与到水生生物保护工作当中。</w:t>
      </w:r>
    </w:p>
    <w:p w14:paraId="0CAFEFDE">
      <w:pPr>
        <w:spacing w:line="360" w:lineRule="auto"/>
        <w:ind w:firstLine="480" w:firstLineChars="200"/>
        <w:jc w:val="left"/>
        <w:rPr>
          <w:color w:val="auto"/>
          <w:kern w:val="0"/>
          <w:sz w:val="24"/>
        </w:rPr>
      </w:pPr>
      <w:r>
        <w:rPr>
          <w:color w:val="auto"/>
          <w:kern w:val="0"/>
          <w:sz w:val="24"/>
        </w:rPr>
        <w:t>科普宣传内容包括：</w:t>
      </w:r>
    </w:p>
    <w:p w14:paraId="5491CEB8">
      <w:pPr>
        <w:spacing w:line="360" w:lineRule="auto"/>
        <w:ind w:firstLine="480" w:firstLineChars="200"/>
        <w:jc w:val="left"/>
        <w:rPr>
          <w:color w:val="auto"/>
          <w:kern w:val="0"/>
          <w:sz w:val="24"/>
        </w:rPr>
      </w:pPr>
      <w:r>
        <w:rPr>
          <w:color w:val="auto"/>
          <w:kern w:val="0"/>
          <w:sz w:val="24"/>
        </w:rPr>
        <w:t>①长江江豚等重点保护水生动物保护宣传：开展洞庭湖长江江豚的保护教育与社会倡导，带动公众形成爱护长江江豚、保护洞庭湖生态的良好氛围。</w:t>
      </w:r>
    </w:p>
    <w:p w14:paraId="78B45616">
      <w:pPr>
        <w:spacing w:line="360" w:lineRule="auto"/>
        <w:ind w:firstLine="480" w:firstLineChars="200"/>
        <w:jc w:val="left"/>
        <w:rPr>
          <w:color w:val="auto"/>
          <w:kern w:val="0"/>
          <w:sz w:val="24"/>
        </w:rPr>
      </w:pPr>
      <w:r>
        <w:rPr>
          <w:color w:val="auto"/>
          <w:kern w:val="0"/>
          <w:sz w:val="24"/>
        </w:rPr>
        <w:t>②外来水生动物科普：开展外来水生动物种类、危害、防控措施等科普，加强公众科学增殖放流意识，增强外来水生动物防控。</w:t>
      </w:r>
    </w:p>
    <w:p w14:paraId="395783C0">
      <w:pPr>
        <w:spacing w:line="360" w:lineRule="auto"/>
        <w:ind w:firstLine="480" w:firstLineChars="200"/>
        <w:jc w:val="left"/>
        <w:rPr>
          <w:color w:val="auto"/>
          <w:kern w:val="0"/>
          <w:sz w:val="24"/>
        </w:rPr>
      </w:pPr>
      <w:r>
        <w:rPr>
          <w:color w:val="auto"/>
          <w:kern w:val="0"/>
          <w:sz w:val="24"/>
        </w:rPr>
        <w:t>③洞庭湖区水产种质资源保护区科普宣传：开展洞庭湖区水产种质资源保护区情况简介、主要保护对象情况介绍、保护区相关法律法规宣传，以提高群众水生生物资源保护意识，加强水厂种质资源保护区管理。</w:t>
      </w:r>
    </w:p>
    <w:p w14:paraId="6D663D08">
      <w:pPr>
        <w:spacing w:line="360" w:lineRule="auto"/>
        <w:ind w:firstLine="480" w:firstLineChars="200"/>
        <w:jc w:val="left"/>
        <w:rPr>
          <w:color w:val="auto"/>
          <w:kern w:val="0"/>
          <w:sz w:val="24"/>
        </w:rPr>
      </w:pPr>
      <w:r>
        <w:rPr>
          <w:color w:val="auto"/>
          <w:kern w:val="0"/>
          <w:sz w:val="24"/>
        </w:rPr>
        <w:t>④洞庭湖区渔文化宣传与传播：洞庭湖区悠久的渔业发展历史创造了大量极具特色的渔业物质和非物质文化，保护渔文化也是促进长江文化全面振兴的重要举措。通过加强物质类及非物质类渔文化搜集调查，宣传弘扬洞庭湖区传统渔文化，创新宣传方式，拓展渔文化文创产品，有效扎实推进长江渔文化保护、传承与发展。</w:t>
      </w:r>
    </w:p>
    <w:p w14:paraId="06404569">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4.4生态影响的管理措施</w:t>
      </w:r>
    </w:p>
    <w:p w14:paraId="6AB37707">
      <w:pPr>
        <w:spacing w:line="360" w:lineRule="auto"/>
        <w:ind w:firstLine="480" w:firstLineChars="200"/>
        <w:jc w:val="left"/>
        <w:rPr>
          <w:color w:val="auto"/>
          <w:kern w:val="0"/>
          <w:sz w:val="24"/>
        </w:rPr>
      </w:pPr>
      <w:r>
        <w:rPr>
          <w:color w:val="auto"/>
          <w:kern w:val="0"/>
          <w:sz w:val="24"/>
        </w:rPr>
        <w:t>①加强对施工江段的巡查工作，一旦发现施工江段有江豚等珍稀水生动物出没，应立即要求施工单位停止施工，避免施工对其造成伤害。如果发现受伤的江豚等珍稀水生动物，应及时向当地渔政主管部门报告，并采取有效措施进行救护。在涉水工程施工前，可以采用电子驱鱼设施，避免长江江豚、中华鲟等大型水生保护动物靠近。</w:t>
      </w:r>
    </w:p>
    <w:p w14:paraId="01EA35FE">
      <w:pPr>
        <w:spacing w:line="360" w:lineRule="auto"/>
        <w:ind w:firstLine="480" w:firstLineChars="200"/>
        <w:jc w:val="left"/>
        <w:rPr>
          <w:color w:val="auto"/>
          <w:kern w:val="0"/>
          <w:sz w:val="24"/>
        </w:rPr>
      </w:pPr>
      <w:r>
        <w:rPr>
          <w:color w:val="auto"/>
          <w:kern w:val="0"/>
          <w:sz w:val="24"/>
        </w:rPr>
        <w:t>②加强环境保护的宣传。在工程所在的保护区水域设置宣传牌和警示牌，对施工人员发放宣传手册，不定期组织与水生生物保护和环境保护相关的科普讲座。</w:t>
      </w:r>
    </w:p>
    <w:p w14:paraId="1125FAB6">
      <w:pPr>
        <w:spacing w:line="360" w:lineRule="auto"/>
        <w:ind w:firstLine="480" w:firstLineChars="200"/>
        <w:jc w:val="left"/>
        <w:rPr>
          <w:color w:val="auto"/>
          <w:kern w:val="0"/>
          <w:sz w:val="24"/>
        </w:rPr>
      </w:pPr>
      <w:r>
        <w:rPr>
          <w:color w:val="auto"/>
          <w:kern w:val="0"/>
          <w:sz w:val="24"/>
        </w:rPr>
        <w:t>③在工程前后以及运营期进行一定范围的水生生物监测。监测内容主要是浮游生物、底栖动物和水生高等植物的种类和数量；鱼类的组成和资源量；鱼类产卵场、索饵场和越冬场；水生生态监测方案详见章节7.2。</w:t>
      </w:r>
    </w:p>
    <w:p w14:paraId="790FDCC0">
      <w:pPr>
        <w:pStyle w:val="82"/>
        <w:widowControl w:val="0"/>
        <w:spacing w:line="360" w:lineRule="auto"/>
        <w:outlineLvl w:val="1"/>
        <w:rPr>
          <w:rFonts w:ascii="Times New Roman" w:hAnsi="Times New Roman" w:eastAsia="宋体" w:cs="Times New Roman"/>
          <w:b/>
          <w:color w:val="auto"/>
          <w:sz w:val="30"/>
          <w:szCs w:val="30"/>
        </w:rPr>
      </w:pPr>
      <w:bookmarkStart w:id="185" w:name="_Toc30953"/>
      <w:bookmarkStart w:id="186" w:name="_Toc20906"/>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5对生态敏感区的保护措施</w:t>
      </w:r>
      <w:bookmarkEnd w:id="185"/>
      <w:bookmarkEnd w:id="186"/>
    </w:p>
    <w:p w14:paraId="7094B146">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5.1对自然保护区的保护措施</w:t>
      </w:r>
    </w:p>
    <w:p w14:paraId="1361D0A1">
      <w:pPr>
        <w:spacing w:line="360" w:lineRule="auto"/>
        <w:ind w:firstLine="480" w:firstLineChars="200"/>
        <w:jc w:val="left"/>
        <w:rPr>
          <w:color w:val="auto"/>
          <w:kern w:val="0"/>
          <w:sz w:val="24"/>
        </w:rPr>
      </w:pPr>
      <w:r>
        <w:rPr>
          <w:color w:val="auto"/>
          <w:kern w:val="0"/>
          <w:sz w:val="24"/>
        </w:rPr>
        <w:t>工程涉及了湖南东洞庭湖国家级自然保护区。按照《中华人民共和国自然保护区条例》及其他法律法规的相关规定，待《专题报告》通过相关部门批准后，本工程才能开工建设。建设期间，建设单位会切实落实环境影响减缓措施和生态补偿措施，合理选择施工工期，严格控制施工范围和强度，尽量减轻工程建设和运营期间对该区域生态系统的负面影响。</w:t>
      </w:r>
    </w:p>
    <w:p w14:paraId="2A8D7041">
      <w:pPr>
        <w:spacing w:line="360" w:lineRule="auto"/>
        <w:ind w:firstLine="480" w:firstLineChars="200"/>
        <w:jc w:val="left"/>
        <w:rPr>
          <w:color w:val="auto"/>
          <w:kern w:val="0"/>
          <w:sz w:val="24"/>
        </w:rPr>
      </w:pPr>
      <w:r>
        <w:rPr>
          <w:color w:val="auto"/>
          <w:kern w:val="0"/>
          <w:sz w:val="24"/>
        </w:rPr>
        <w:t>为此，建议对自然保护区采取以下保护措施：</w:t>
      </w:r>
    </w:p>
    <w:p w14:paraId="0F183732">
      <w:pPr>
        <w:spacing w:line="360" w:lineRule="auto"/>
        <w:ind w:firstLine="480" w:firstLineChars="200"/>
        <w:jc w:val="left"/>
        <w:rPr>
          <w:color w:val="auto"/>
          <w:kern w:val="0"/>
          <w:sz w:val="24"/>
        </w:rPr>
      </w:pPr>
      <w:r>
        <w:rPr>
          <w:color w:val="auto"/>
          <w:kern w:val="0"/>
          <w:sz w:val="24"/>
        </w:rPr>
        <w:t>①划定施工界限，严禁施工人员越界施工；施工结束后立即进行施工迹地生境恢复；</w:t>
      </w:r>
    </w:p>
    <w:p w14:paraId="2F0A3AE1">
      <w:pPr>
        <w:spacing w:line="360" w:lineRule="auto"/>
        <w:ind w:firstLine="480" w:firstLineChars="200"/>
        <w:jc w:val="left"/>
        <w:rPr>
          <w:color w:val="auto"/>
          <w:kern w:val="0"/>
          <w:sz w:val="24"/>
        </w:rPr>
      </w:pPr>
      <w:r>
        <w:rPr>
          <w:color w:val="auto"/>
          <w:kern w:val="0"/>
          <w:sz w:val="24"/>
        </w:rPr>
        <w:t>②在保护区段沿线设置明显的保护招牌，并采取确实可行的保护措施，防止人为干扰和破坏。</w:t>
      </w:r>
    </w:p>
    <w:p w14:paraId="368188AE">
      <w:pPr>
        <w:spacing w:line="360" w:lineRule="auto"/>
        <w:ind w:firstLine="480" w:firstLineChars="200"/>
        <w:jc w:val="left"/>
        <w:rPr>
          <w:color w:val="auto"/>
          <w:kern w:val="0"/>
          <w:sz w:val="24"/>
        </w:rPr>
      </w:pPr>
      <w:r>
        <w:rPr>
          <w:color w:val="auto"/>
          <w:kern w:val="0"/>
          <w:sz w:val="24"/>
        </w:rPr>
        <w:t>③应合理安排施工时段、区段，避免对保护区的大面积扰动。可通过划定同一施工时间内施工区来规范施工范围，分段施工。施工期内采用分段集中施工，缩短施工时间；</w:t>
      </w:r>
    </w:p>
    <w:p w14:paraId="226544DE">
      <w:pPr>
        <w:spacing w:line="360" w:lineRule="auto"/>
        <w:ind w:firstLine="480" w:firstLineChars="200"/>
        <w:jc w:val="left"/>
        <w:rPr>
          <w:color w:val="auto"/>
          <w:kern w:val="0"/>
          <w:sz w:val="24"/>
        </w:rPr>
      </w:pPr>
      <w:r>
        <w:rPr>
          <w:color w:val="auto"/>
          <w:kern w:val="0"/>
          <w:sz w:val="24"/>
        </w:rPr>
        <w:t>④建筑物施工时，鹭科、鹬科、鸻科等冬候鸟多在河流附近滩涂、草地活动，应注意加强对其的保护，严禁在施工河段附近惊扰或猎捕这些鸟类或从事其它有碍生态环境保护的活动；</w:t>
      </w:r>
    </w:p>
    <w:p w14:paraId="220FC155">
      <w:pPr>
        <w:spacing w:line="360" w:lineRule="auto"/>
        <w:ind w:firstLine="480" w:firstLineChars="200"/>
        <w:jc w:val="left"/>
        <w:rPr>
          <w:color w:val="auto"/>
          <w:kern w:val="0"/>
          <w:sz w:val="24"/>
        </w:rPr>
      </w:pPr>
      <w:r>
        <w:rPr>
          <w:color w:val="auto"/>
          <w:kern w:val="0"/>
          <w:sz w:val="24"/>
        </w:rPr>
        <w:t>⑤为有利于冬候鸟迁移，建议将工程安排在3月下旬～</w:t>
      </w:r>
      <w:r>
        <w:rPr>
          <w:rFonts w:hint="eastAsia"/>
          <w:color w:val="auto"/>
          <w:kern w:val="0"/>
          <w:sz w:val="24"/>
        </w:rPr>
        <w:t>6</w:t>
      </w:r>
      <w:r>
        <w:rPr>
          <w:color w:val="auto"/>
          <w:kern w:val="0"/>
          <w:sz w:val="24"/>
        </w:rPr>
        <w:t>月间或9月至10月上旬进行；</w:t>
      </w:r>
    </w:p>
    <w:p w14:paraId="517894B2">
      <w:pPr>
        <w:spacing w:line="360" w:lineRule="auto"/>
        <w:ind w:firstLine="480" w:firstLineChars="200"/>
        <w:jc w:val="left"/>
        <w:rPr>
          <w:color w:val="auto"/>
          <w:kern w:val="0"/>
          <w:sz w:val="24"/>
        </w:rPr>
      </w:pPr>
      <w:r>
        <w:rPr>
          <w:color w:val="auto"/>
          <w:kern w:val="0"/>
          <w:sz w:val="24"/>
        </w:rPr>
        <w:t>⑥加强宣传，强调合理有序施工，优化施工组织，同一施工段实行同向逐步推进施工，相邻施工段错开施工高峰期，避免同一片区出现大规模的会战施工。施工期间加强施工管理，减少无序施工对湿地水体的扰动。</w:t>
      </w:r>
    </w:p>
    <w:p w14:paraId="19ED610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5.</w:t>
      </w:r>
      <w:r>
        <w:rPr>
          <w:rFonts w:ascii="Times New Roman" w:hAnsi="Times New Roman" w:eastAsia="宋体" w:cs="Times New Roman"/>
          <w:b/>
          <w:color w:val="auto"/>
          <w:sz w:val="28"/>
          <w:szCs w:val="28"/>
        </w:rPr>
        <w:t>5.2对重要湿地的保护措施</w:t>
      </w:r>
    </w:p>
    <w:p w14:paraId="42B1419C">
      <w:pPr>
        <w:spacing w:line="360" w:lineRule="auto"/>
        <w:ind w:firstLine="480" w:firstLineChars="200"/>
        <w:jc w:val="left"/>
        <w:rPr>
          <w:color w:val="auto"/>
          <w:kern w:val="0"/>
          <w:sz w:val="24"/>
        </w:rPr>
      </w:pPr>
      <w:r>
        <w:rPr>
          <w:color w:val="auto"/>
          <w:kern w:val="0"/>
          <w:sz w:val="24"/>
        </w:rPr>
        <w:t>（1）严格划定施工范围，在重要湿地范围内设置警示牌，严禁施工人员越界施工，避免对湿地内动植物资源造成破坏；</w:t>
      </w:r>
    </w:p>
    <w:p w14:paraId="252ECA40">
      <w:pPr>
        <w:spacing w:line="360" w:lineRule="auto"/>
        <w:ind w:firstLine="480" w:firstLineChars="200"/>
        <w:jc w:val="left"/>
        <w:rPr>
          <w:color w:val="auto"/>
          <w:kern w:val="0"/>
          <w:sz w:val="24"/>
        </w:rPr>
      </w:pPr>
      <w:r>
        <w:rPr>
          <w:color w:val="auto"/>
          <w:kern w:val="0"/>
          <w:sz w:val="24"/>
        </w:rPr>
        <w:t>（2）施工期间产生的废水、固体废弃物、弃渣等集中收集处理，禁止直接排入水中或堆集在湿地范围内；</w:t>
      </w:r>
    </w:p>
    <w:p w14:paraId="0F11C528">
      <w:pPr>
        <w:spacing w:line="360" w:lineRule="auto"/>
        <w:ind w:firstLine="480" w:firstLineChars="200"/>
        <w:jc w:val="left"/>
        <w:rPr>
          <w:color w:val="auto"/>
          <w:kern w:val="0"/>
          <w:sz w:val="24"/>
        </w:rPr>
      </w:pPr>
      <w:r>
        <w:rPr>
          <w:color w:val="auto"/>
          <w:kern w:val="0"/>
          <w:sz w:val="24"/>
        </w:rPr>
        <w:t>（3）合理安排施工时间，尽量避免在晨昏或正午进行高噪声作业，减小对野生动物栖息和繁殖的影响；</w:t>
      </w:r>
    </w:p>
    <w:p w14:paraId="37C54315">
      <w:pPr>
        <w:spacing w:line="360" w:lineRule="auto"/>
        <w:ind w:firstLine="480" w:firstLineChars="200"/>
        <w:jc w:val="left"/>
        <w:rPr>
          <w:color w:val="auto"/>
          <w:kern w:val="0"/>
          <w:sz w:val="24"/>
        </w:rPr>
      </w:pPr>
      <w:r>
        <w:rPr>
          <w:color w:val="auto"/>
          <w:kern w:val="0"/>
          <w:sz w:val="24"/>
        </w:rPr>
        <w:t>（4）加强环保宣传教育，禁止施工人员捕杀、伤害湿地动物，禁止随意踩踏植被；</w:t>
      </w:r>
    </w:p>
    <w:p w14:paraId="25AB5545">
      <w:pPr>
        <w:spacing w:line="360" w:lineRule="auto"/>
        <w:ind w:firstLine="480" w:firstLineChars="200"/>
        <w:jc w:val="left"/>
        <w:rPr>
          <w:color w:val="auto"/>
          <w:kern w:val="0"/>
          <w:sz w:val="24"/>
        </w:rPr>
      </w:pPr>
      <w:r>
        <w:rPr>
          <w:color w:val="auto"/>
          <w:kern w:val="0"/>
          <w:sz w:val="24"/>
        </w:rPr>
        <w:t>（5）施工结束后，保证水土保持措施的落实，及时对工程区域进行植被恢复，种植本地适生的植被，尽快恢复由工程占地和施工活动造成的植被损失。</w:t>
      </w:r>
    </w:p>
    <w:p w14:paraId="38F30D56">
      <w:pPr>
        <w:pStyle w:val="82"/>
        <w:widowControl w:val="0"/>
        <w:spacing w:line="360" w:lineRule="auto"/>
        <w:outlineLvl w:val="1"/>
        <w:rPr>
          <w:rFonts w:ascii="Times New Roman" w:hAnsi="Times New Roman" w:eastAsia="宋体" w:cs="Times New Roman"/>
          <w:b/>
          <w:color w:val="auto"/>
          <w:sz w:val="30"/>
          <w:szCs w:val="30"/>
        </w:rPr>
      </w:pPr>
      <w:bookmarkStart w:id="187" w:name="_Toc21798"/>
      <w:bookmarkStart w:id="188" w:name="_Toc9806"/>
      <w:r>
        <w:rPr>
          <w:rFonts w:hint="eastAsia" w:ascii="Times New Roman" w:hAnsi="Times New Roman" w:eastAsia="宋体" w:cs="Times New Roman"/>
          <w:b/>
          <w:color w:val="auto"/>
          <w:sz w:val="30"/>
          <w:szCs w:val="30"/>
        </w:rPr>
        <w:t>5.</w:t>
      </w:r>
      <w:r>
        <w:rPr>
          <w:rFonts w:ascii="Times New Roman" w:hAnsi="Times New Roman" w:eastAsia="宋体" w:cs="Times New Roman"/>
          <w:b/>
          <w:color w:val="auto"/>
          <w:sz w:val="30"/>
          <w:szCs w:val="30"/>
        </w:rPr>
        <w:t>6对生态保护红线的保护措施</w:t>
      </w:r>
      <w:bookmarkEnd w:id="187"/>
      <w:bookmarkEnd w:id="188"/>
    </w:p>
    <w:p w14:paraId="5F536AD7">
      <w:pPr>
        <w:spacing w:line="360" w:lineRule="auto"/>
        <w:ind w:firstLine="480" w:firstLineChars="200"/>
        <w:jc w:val="left"/>
        <w:rPr>
          <w:color w:val="auto"/>
          <w:kern w:val="0"/>
          <w:sz w:val="24"/>
        </w:rPr>
      </w:pPr>
      <w:r>
        <w:rPr>
          <w:color w:val="auto"/>
          <w:kern w:val="0"/>
          <w:sz w:val="24"/>
        </w:rPr>
        <w:t>（1）优化施工布设，尽量避绕生态红线，确实无法避绕的，尽量少占用。</w:t>
      </w:r>
    </w:p>
    <w:p w14:paraId="1E36A8B4">
      <w:pPr>
        <w:spacing w:line="360" w:lineRule="auto"/>
        <w:ind w:firstLine="480" w:firstLineChars="200"/>
        <w:jc w:val="left"/>
        <w:rPr>
          <w:color w:val="auto"/>
          <w:kern w:val="0"/>
          <w:sz w:val="24"/>
        </w:rPr>
      </w:pPr>
      <w:r>
        <w:rPr>
          <w:color w:val="auto"/>
          <w:kern w:val="0"/>
          <w:sz w:val="24"/>
        </w:rPr>
        <w:t>（2）施工前应划定施工红线，并设立生态红线范围界限标志。同时，对施工人员进行严格的培训，严禁施工人员越线施工或进入生态红线内从事与施工活动无关的活动。</w:t>
      </w:r>
    </w:p>
    <w:p w14:paraId="31F2B8C4">
      <w:pPr>
        <w:spacing w:line="360" w:lineRule="auto"/>
        <w:ind w:firstLine="480" w:firstLineChars="200"/>
        <w:jc w:val="left"/>
        <w:rPr>
          <w:color w:val="auto"/>
          <w:kern w:val="0"/>
          <w:sz w:val="24"/>
        </w:rPr>
      </w:pPr>
      <w:r>
        <w:rPr>
          <w:color w:val="auto"/>
          <w:kern w:val="0"/>
          <w:sz w:val="24"/>
        </w:rPr>
        <w:t>（3）对于占用动植物生境的，施工结束后应结合水土保持方案对区域进行绿化，减缓施工对动植物生境的影响。</w:t>
      </w:r>
    </w:p>
    <w:p w14:paraId="47A6F398">
      <w:pPr>
        <w:spacing w:line="360" w:lineRule="auto"/>
        <w:ind w:firstLine="480" w:firstLineChars="200"/>
        <w:jc w:val="left"/>
        <w:rPr>
          <w:color w:val="auto"/>
          <w:kern w:val="0"/>
          <w:sz w:val="24"/>
        </w:rPr>
      </w:pPr>
      <w:r>
        <w:rPr>
          <w:color w:val="auto"/>
          <w:kern w:val="0"/>
          <w:sz w:val="24"/>
        </w:rPr>
        <w:t>（4）合理安排施工时序，优化施工组织。对于同一片区域有多项施工内容的，应分段分次进行施工，避免同一区域出现大规模的施工，减少施工对生物多样性的影响。</w:t>
      </w:r>
    </w:p>
    <w:p w14:paraId="6ADBF77E">
      <w:pPr>
        <w:spacing w:line="360" w:lineRule="auto"/>
        <w:ind w:firstLine="480" w:firstLineChars="200"/>
        <w:jc w:val="left"/>
        <w:rPr>
          <w:color w:val="auto"/>
          <w:kern w:val="0"/>
          <w:sz w:val="24"/>
        </w:rPr>
      </w:pPr>
      <w:r>
        <w:rPr>
          <w:color w:val="auto"/>
          <w:kern w:val="0"/>
          <w:sz w:val="24"/>
        </w:rPr>
        <w:t>（5）工程施工避开鱼类繁殖期，尽量缩短水中作业时间，减少对水生生物栖息环境的影响。</w:t>
      </w:r>
    </w:p>
    <w:p w14:paraId="13B27E7C">
      <w:pPr>
        <w:spacing w:line="360" w:lineRule="auto"/>
        <w:ind w:firstLine="480" w:firstLineChars="200"/>
        <w:jc w:val="left"/>
        <w:rPr>
          <w:color w:val="auto"/>
          <w:kern w:val="0"/>
          <w:sz w:val="24"/>
        </w:rPr>
      </w:pPr>
      <w:r>
        <w:rPr>
          <w:color w:val="auto"/>
          <w:kern w:val="0"/>
          <w:sz w:val="24"/>
        </w:rPr>
        <w:t>（6）在施工期采取标语、广播等形式，广泛开展生态红线保护的意义、管护要求、生态意识等方面的宣传教育活动。施工期制定严格的施工纪律和规章制度，规范施工行为，严格控制施工人员数量、设备和施工作业时间，开展施工期的工程环境监理工作，切实保障各项措施的落实。</w:t>
      </w:r>
    </w:p>
    <w:p w14:paraId="41AB0921">
      <w:pPr>
        <w:pStyle w:val="81"/>
        <w:widowControl w:val="0"/>
        <w:spacing w:beforeLines="0" w:afterLines="0"/>
        <w:ind w:left="0"/>
        <w:rPr>
          <w:rFonts w:ascii="Times New Roman" w:hAnsi="Times New Roman" w:eastAsia="宋体" w:cs="Times New Roman"/>
          <w:color w:val="auto"/>
        </w:rPr>
        <w:sectPr>
          <w:headerReference r:id="rId19" w:type="default"/>
          <w:footerReference r:id="rId20" w:type="default"/>
          <w:pgSz w:w="11907" w:h="16840"/>
          <w:pgMar w:top="1440" w:right="1803" w:bottom="1440" w:left="1803" w:header="794" w:footer="992" w:gutter="0"/>
          <w:cols w:space="720" w:num="1"/>
          <w:docGrid w:linePitch="312" w:charSpace="0"/>
        </w:sectPr>
      </w:pPr>
      <w:bookmarkStart w:id="189" w:name="_Toc40364424"/>
      <w:bookmarkStart w:id="190" w:name="_Toc472494287"/>
    </w:p>
    <w:p w14:paraId="598A05A9">
      <w:pPr>
        <w:pStyle w:val="81"/>
        <w:widowControl w:val="0"/>
        <w:spacing w:beforeLines="0" w:afterLines="0"/>
        <w:ind w:left="0"/>
        <w:rPr>
          <w:rFonts w:ascii="Times New Roman" w:hAnsi="Times New Roman" w:eastAsia="宋体" w:cs="Times New Roman"/>
          <w:color w:val="auto"/>
        </w:rPr>
      </w:pPr>
      <w:bookmarkStart w:id="191" w:name="_Toc19040"/>
      <w:bookmarkStart w:id="192" w:name="_Toc18654"/>
      <w:r>
        <w:rPr>
          <w:rFonts w:hint="eastAsia" w:ascii="Times New Roman" w:hAnsi="Times New Roman" w:eastAsia="宋体" w:cs="Times New Roman"/>
          <w:color w:val="auto"/>
        </w:rPr>
        <w:t>6</w:t>
      </w:r>
      <w:r>
        <w:rPr>
          <w:rFonts w:ascii="Times New Roman" w:hAnsi="Times New Roman" w:eastAsia="宋体" w:cs="Times New Roman"/>
          <w:color w:val="auto"/>
        </w:rPr>
        <w:t>生态监测</w:t>
      </w:r>
      <w:bookmarkEnd w:id="189"/>
      <w:bookmarkEnd w:id="190"/>
      <w:bookmarkEnd w:id="191"/>
      <w:bookmarkEnd w:id="192"/>
    </w:p>
    <w:p w14:paraId="1F0819F6">
      <w:pPr>
        <w:pStyle w:val="82"/>
        <w:widowControl w:val="0"/>
        <w:spacing w:line="360" w:lineRule="auto"/>
        <w:outlineLvl w:val="1"/>
        <w:rPr>
          <w:rFonts w:ascii="Times New Roman" w:hAnsi="Times New Roman" w:eastAsia="宋体" w:cs="Times New Roman"/>
          <w:b/>
          <w:color w:val="auto"/>
          <w:sz w:val="30"/>
          <w:szCs w:val="30"/>
        </w:rPr>
      </w:pPr>
      <w:bookmarkStart w:id="193" w:name="_Toc32417"/>
      <w:bookmarkStart w:id="194" w:name="_Toc32280"/>
      <w:bookmarkStart w:id="195" w:name="_Toc472494288"/>
      <w:r>
        <w:rPr>
          <w:rFonts w:hint="eastAsia" w:ascii="Times New Roman" w:hAnsi="Times New Roman" w:eastAsia="宋体" w:cs="Times New Roman"/>
          <w:b/>
          <w:color w:val="auto"/>
          <w:sz w:val="30"/>
          <w:szCs w:val="30"/>
        </w:rPr>
        <w:t>6.</w:t>
      </w:r>
      <w:r>
        <w:rPr>
          <w:rFonts w:ascii="Times New Roman" w:hAnsi="Times New Roman" w:eastAsia="宋体" w:cs="Times New Roman"/>
          <w:b/>
          <w:color w:val="auto"/>
          <w:sz w:val="30"/>
          <w:szCs w:val="30"/>
        </w:rPr>
        <w:t>1陆生生态监测</w:t>
      </w:r>
      <w:bookmarkEnd w:id="193"/>
      <w:bookmarkEnd w:id="194"/>
      <w:bookmarkEnd w:id="195"/>
    </w:p>
    <w:p w14:paraId="14D8A59F">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1.1监测目的</w:t>
      </w:r>
    </w:p>
    <w:p w14:paraId="56568187">
      <w:pPr>
        <w:spacing w:line="360" w:lineRule="auto"/>
        <w:ind w:firstLine="480" w:firstLineChars="200"/>
        <w:rPr>
          <w:color w:val="auto"/>
          <w:kern w:val="0"/>
          <w:sz w:val="24"/>
        </w:rPr>
      </w:pPr>
      <w:r>
        <w:rPr>
          <w:color w:val="auto"/>
          <w:kern w:val="0"/>
          <w:sz w:val="24"/>
        </w:rPr>
        <w:t>通过对陆生野生动植物的监测，了解工程施工和建成运营对陆生生态的影响，掌握陆生生态修复及其它保护措施的实际效果，加强对生态的管理，使区域生态环境向良性或有利方向发展。</w:t>
      </w:r>
    </w:p>
    <w:p w14:paraId="4FB3FDCC">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1.2监测内容</w:t>
      </w:r>
    </w:p>
    <w:p w14:paraId="471C4836">
      <w:pPr>
        <w:spacing w:line="360" w:lineRule="auto"/>
        <w:ind w:firstLine="480" w:firstLineChars="200"/>
        <w:rPr>
          <w:color w:val="auto"/>
          <w:kern w:val="0"/>
          <w:sz w:val="24"/>
        </w:rPr>
      </w:pPr>
      <w:r>
        <w:rPr>
          <w:color w:val="auto"/>
          <w:kern w:val="0"/>
          <w:sz w:val="24"/>
        </w:rPr>
        <w:t>在施工期，主要对涉及敏感物种的施工区域进行监测；此外，还应加强对区域性分布的重点保护野生动植物的调查，在施工过程中若发现有重点保护对象，优先避让。</w:t>
      </w:r>
    </w:p>
    <w:p w14:paraId="230B15F0">
      <w:pPr>
        <w:spacing w:line="360" w:lineRule="auto"/>
        <w:ind w:firstLine="480" w:firstLineChars="200"/>
        <w:rPr>
          <w:color w:val="auto"/>
          <w:kern w:val="0"/>
          <w:sz w:val="24"/>
        </w:rPr>
      </w:pPr>
      <w:r>
        <w:rPr>
          <w:color w:val="auto"/>
          <w:kern w:val="0"/>
          <w:sz w:val="24"/>
        </w:rPr>
        <w:t>运营期主要监测生态环境的变化，植被的变化以及生态系统整体性变化、植被恢复效果等。包括主要物种组成和数量。</w:t>
      </w:r>
    </w:p>
    <w:p w14:paraId="7B555540">
      <w:pPr>
        <w:spacing w:line="360" w:lineRule="auto"/>
        <w:ind w:firstLine="480" w:firstLineChars="200"/>
        <w:rPr>
          <w:color w:val="auto"/>
          <w:kern w:val="0"/>
          <w:sz w:val="24"/>
        </w:rPr>
      </w:pPr>
      <w:r>
        <w:rPr>
          <w:color w:val="auto"/>
          <w:kern w:val="0"/>
          <w:sz w:val="24"/>
        </w:rPr>
        <w:t>陆生植物：种类及组成、主要植被分布以及变化情况；外来入侵种的入侵情况；临时占地处植被恢复状况等；</w:t>
      </w:r>
    </w:p>
    <w:p w14:paraId="13B479E1">
      <w:pPr>
        <w:spacing w:line="360" w:lineRule="auto"/>
        <w:ind w:firstLine="480" w:firstLineChars="200"/>
        <w:rPr>
          <w:color w:val="auto"/>
          <w:kern w:val="0"/>
          <w:sz w:val="24"/>
        </w:rPr>
      </w:pPr>
      <w:r>
        <w:rPr>
          <w:color w:val="auto"/>
          <w:kern w:val="0"/>
          <w:sz w:val="24"/>
        </w:rPr>
        <w:t>陆生动物：种类、生态类群、分布和季节动态变化；重点保护野生动物的种类、数量、分布及生长情况。</w:t>
      </w:r>
    </w:p>
    <w:p w14:paraId="0DB46982">
      <w:pPr>
        <w:spacing w:line="360" w:lineRule="auto"/>
        <w:ind w:firstLine="480" w:firstLineChars="200"/>
        <w:rPr>
          <w:color w:val="auto"/>
          <w:kern w:val="0"/>
          <w:sz w:val="24"/>
        </w:rPr>
      </w:pPr>
      <w:r>
        <w:rPr>
          <w:color w:val="auto"/>
          <w:kern w:val="0"/>
          <w:sz w:val="24"/>
        </w:rPr>
        <w:t>1、陆生植物及植被</w:t>
      </w:r>
    </w:p>
    <w:p w14:paraId="5D405F9D">
      <w:pPr>
        <w:spacing w:line="360" w:lineRule="auto"/>
        <w:ind w:firstLine="480" w:firstLineChars="200"/>
        <w:rPr>
          <w:color w:val="auto"/>
          <w:kern w:val="0"/>
          <w:sz w:val="24"/>
        </w:rPr>
      </w:pPr>
      <w:r>
        <w:rPr>
          <w:color w:val="auto"/>
          <w:kern w:val="0"/>
          <w:sz w:val="24"/>
        </w:rPr>
        <w:t>（1）植被：调查区域内的植被类型及其优势种、建群种、植被覆盖率，应采用样地调查法对各生态系统分别调查1~2个样地，样方面积可按乔木群落20m×20m、灌木群落10m×10m或5m×5m、草本群落1m×1m或2m×2m考虑，可现场根据植株大小和密度进行调整。主要在重点调查范围内采集样方。样方数量视群落面积大小而定，一般取3~5个样方。</w:t>
      </w:r>
    </w:p>
    <w:p w14:paraId="09A0FD81">
      <w:pPr>
        <w:spacing w:line="360" w:lineRule="auto"/>
        <w:ind w:firstLine="480" w:firstLineChars="200"/>
        <w:rPr>
          <w:color w:val="auto"/>
          <w:kern w:val="0"/>
          <w:sz w:val="24"/>
        </w:rPr>
      </w:pPr>
      <w:r>
        <w:rPr>
          <w:color w:val="auto"/>
          <w:kern w:val="0"/>
          <w:sz w:val="24"/>
        </w:rPr>
        <w:t>（2）植物多样性：调查区域内的主要植物资源及其分布特点，国家和湖南省级保护野生植物、名木古树等。</w:t>
      </w:r>
    </w:p>
    <w:p w14:paraId="0029EDD2">
      <w:pPr>
        <w:spacing w:line="360" w:lineRule="auto"/>
        <w:ind w:firstLine="480" w:firstLineChars="200"/>
        <w:rPr>
          <w:color w:val="auto"/>
          <w:kern w:val="0"/>
          <w:sz w:val="24"/>
        </w:rPr>
      </w:pPr>
      <w:r>
        <w:rPr>
          <w:color w:val="auto"/>
          <w:kern w:val="0"/>
          <w:sz w:val="24"/>
        </w:rPr>
        <w:t>（3）土地利用现状：根据遥感卫星影像判读植被类型和土地利用类型，结合现场调查结果进行核实，重点调查范围内的植物类型全面调查确定，一般调查范围内的植物种类要结合已有历史资料进行现场典型调查复核，对珍稀保护植物进行重点调查。</w:t>
      </w:r>
    </w:p>
    <w:p w14:paraId="63954E5B">
      <w:pPr>
        <w:spacing w:line="360" w:lineRule="auto"/>
        <w:ind w:firstLine="480" w:firstLineChars="200"/>
        <w:rPr>
          <w:color w:val="auto"/>
          <w:kern w:val="0"/>
          <w:sz w:val="24"/>
        </w:rPr>
      </w:pPr>
      <w:r>
        <w:rPr>
          <w:color w:val="auto"/>
          <w:kern w:val="0"/>
          <w:sz w:val="24"/>
        </w:rPr>
        <w:t>对于陆地生态调查区域内的植被类型和植物物种列表详细说明情况，并绘制植被现状图和土地利用现状图等。土地利用现状图的分类标准主要依据《土地利用现状分类》（GB/T21010-2017）中的二级类。</w:t>
      </w:r>
    </w:p>
    <w:p w14:paraId="71EBD452">
      <w:pPr>
        <w:spacing w:line="360" w:lineRule="auto"/>
        <w:ind w:firstLine="480" w:firstLineChars="200"/>
        <w:rPr>
          <w:color w:val="auto"/>
          <w:kern w:val="0"/>
          <w:sz w:val="24"/>
        </w:rPr>
      </w:pPr>
      <w:r>
        <w:rPr>
          <w:color w:val="auto"/>
          <w:kern w:val="0"/>
          <w:sz w:val="24"/>
        </w:rPr>
        <w:t>2、陆生动物</w:t>
      </w:r>
    </w:p>
    <w:p w14:paraId="7F3D3F27">
      <w:pPr>
        <w:spacing w:line="360" w:lineRule="auto"/>
        <w:ind w:firstLine="480" w:firstLineChars="200"/>
        <w:rPr>
          <w:color w:val="auto"/>
          <w:kern w:val="0"/>
          <w:sz w:val="24"/>
        </w:rPr>
      </w:pPr>
      <w:r>
        <w:rPr>
          <w:color w:val="auto"/>
          <w:kern w:val="0"/>
          <w:sz w:val="24"/>
        </w:rPr>
        <w:t>监测统计哺乳动物、鸟类、两栖动物类、爬行动物的物种组成、生态习性、生境状况、分布特征。对监测区分布的珍稀保护物种进行监测，特别是重点保护野生动物（种群规模和结构、分布范围及栖息地特征等）、保护措施实施情况。</w:t>
      </w:r>
    </w:p>
    <w:p w14:paraId="6BACB4A0">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1.3监测方法</w:t>
      </w:r>
    </w:p>
    <w:p w14:paraId="5B9A48E5">
      <w:pPr>
        <w:spacing w:line="360" w:lineRule="auto"/>
        <w:ind w:firstLine="480" w:firstLineChars="200"/>
        <w:rPr>
          <w:color w:val="auto"/>
          <w:kern w:val="0"/>
          <w:sz w:val="24"/>
        </w:rPr>
      </w:pPr>
      <w:r>
        <w:rPr>
          <w:color w:val="auto"/>
          <w:kern w:val="0"/>
          <w:sz w:val="24"/>
        </w:rPr>
        <w:t>1、遥感监测</w:t>
      </w:r>
    </w:p>
    <w:p w14:paraId="48EB7340">
      <w:pPr>
        <w:spacing w:line="360" w:lineRule="auto"/>
        <w:ind w:firstLine="480" w:firstLineChars="200"/>
        <w:rPr>
          <w:color w:val="auto"/>
          <w:kern w:val="0"/>
          <w:sz w:val="24"/>
        </w:rPr>
      </w:pPr>
      <w:r>
        <w:rPr>
          <w:color w:val="auto"/>
          <w:kern w:val="0"/>
          <w:sz w:val="24"/>
        </w:rPr>
        <w:t>利用ArcGIS Engine技术和Visual Basic开发平台，以基础地理信息、生态专业数据和属性信息为基础建立数据库，依托GIS的空间分析性能进行监测，得到生物丰度指数、植物盖度指数、景观多样性值和优势度值等，来判断植物和植被的变化。</w:t>
      </w:r>
    </w:p>
    <w:p w14:paraId="0BB133F9">
      <w:pPr>
        <w:spacing w:line="360" w:lineRule="auto"/>
        <w:ind w:firstLine="480" w:firstLineChars="200"/>
        <w:rPr>
          <w:color w:val="auto"/>
          <w:kern w:val="0"/>
          <w:sz w:val="24"/>
        </w:rPr>
      </w:pPr>
      <w:r>
        <w:rPr>
          <w:color w:val="auto"/>
          <w:kern w:val="0"/>
          <w:sz w:val="24"/>
        </w:rPr>
        <w:t>2）植物监测</w:t>
      </w:r>
    </w:p>
    <w:p w14:paraId="28238324">
      <w:pPr>
        <w:spacing w:line="360" w:lineRule="auto"/>
        <w:ind w:firstLine="480" w:firstLineChars="200"/>
        <w:rPr>
          <w:color w:val="auto"/>
          <w:kern w:val="0"/>
          <w:sz w:val="24"/>
        </w:rPr>
      </w:pPr>
      <w:r>
        <w:rPr>
          <w:color w:val="auto"/>
          <w:kern w:val="0"/>
          <w:sz w:val="24"/>
        </w:rPr>
        <w:t>根据《生物多样性观测技术导则 陆生维管植物》等有关要求进行监测。</w:t>
      </w:r>
    </w:p>
    <w:p w14:paraId="756AD1F1">
      <w:pPr>
        <w:spacing w:line="360" w:lineRule="auto"/>
        <w:ind w:firstLine="480" w:firstLineChars="200"/>
        <w:rPr>
          <w:color w:val="auto"/>
          <w:kern w:val="0"/>
          <w:sz w:val="24"/>
        </w:rPr>
      </w:pPr>
      <w:r>
        <w:rPr>
          <w:color w:val="auto"/>
          <w:kern w:val="0"/>
          <w:sz w:val="24"/>
        </w:rPr>
        <w:t>3）动物监测</w:t>
      </w:r>
    </w:p>
    <w:p w14:paraId="1E0510E6">
      <w:pPr>
        <w:spacing w:line="360" w:lineRule="auto"/>
        <w:ind w:firstLine="480" w:firstLineChars="200"/>
        <w:rPr>
          <w:color w:val="auto"/>
          <w:kern w:val="0"/>
          <w:sz w:val="24"/>
        </w:rPr>
      </w:pPr>
      <w:r>
        <w:rPr>
          <w:color w:val="auto"/>
          <w:kern w:val="0"/>
          <w:sz w:val="24"/>
        </w:rPr>
        <w:t>根据《生物多样性观测技术导则 两栖动物》、《生物多样性观测技术导则 陆生哺乳动物》、《生物多样性观测技术导则 爬行动物》、《生物多样性观测技术导则 鸟类》等相关要求进行监测。</w:t>
      </w:r>
    </w:p>
    <w:p w14:paraId="43661541">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1.4监测时间及频次</w:t>
      </w:r>
    </w:p>
    <w:p w14:paraId="3E4A4651">
      <w:pPr>
        <w:spacing w:line="360" w:lineRule="auto"/>
        <w:ind w:firstLine="480" w:firstLineChars="200"/>
        <w:rPr>
          <w:color w:val="auto"/>
          <w:kern w:val="0"/>
          <w:sz w:val="24"/>
        </w:rPr>
      </w:pPr>
      <w:r>
        <w:rPr>
          <w:color w:val="auto"/>
          <w:kern w:val="0"/>
          <w:sz w:val="24"/>
        </w:rPr>
        <w:t>根据《环境影响评价技术导则生态影响》（HJ19-2022），本项目属于内陆养殖（0412）项目，可开展常规生态监测。监测频次为施工高峰期1次，运行期第一年、第三年、第五年各1次，运行中后期按实际运行情况制定监测计划。陆生植物每年监测1次，以5至8月为最佳；陆生脊椎动物每年监测2次，其中两栖爬行类监测时间为3到10月；鸟类每年监测分为春秋两季，春季为3至5月、秋季为9至11月，重点在越冬侯鸟栖息时间段11月~次年4月补充监测，监测时间为晨昏期间。</w:t>
      </w:r>
    </w:p>
    <w:p w14:paraId="427853E3">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1.5监测点位</w:t>
      </w:r>
    </w:p>
    <w:p w14:paraId="1D3709BA">
      <w:pPr>
        <w:spacing w:line="360" w:lineRule="auto"/>
        <w:ind w:firstLine="480" w:firstLineChars="200"/>
        <w:rPr>
          <w:color w:val="auto"/>
          <w:kern w:val="0"/>
          <w:sz w:val="24"/>
        </w:rPr>
      </w:pPr>
      <w:r>
        <w:rPr>
          <w:color w:val="auto"/>
          <w:kern w:val="0"/>
          <w:sz w:val="24"/>
        </w:rPr>
        <w:t>根据工程施工的影响范围、工程类型以及工程与区域生态敏感区（自然保护区、重要湿地等）的位置关系，在项目区设置陆生监测点。</w:t>
      </w:r>
    </w:p>
    <w:p w14:paraId="637CEB60">
      <w:pPr>
        <w:spacing w:line="360" w:lineRule="auto"/>
        <w:ind w:firstLine="480" w:firstLineChars="200"/>
        <w:rPr>
          <w:color w:val="auto"/>
          <w:kern w:val="0"/>
          <w:sz w:val="24"/>
        </w:rPr>
      </w:pPr>
      <w:r>
        <w:rPr>
          <w:color w:val="auto"/>
          <w:kern w:val="0"/>
          <w:sz w:val="24"/>
        </w:rPr>
        <w:t>监测点位如下表所示：</w:t>
      </w:r>
    </w:p>
    <w:p w14:paraId="4A5EB4AA">
      <w:pPr>
        <w:autoSpaceDE w:val="0"/>
        <w:autoSpaceDN w:val="0"/>
        <w:adjustRightInd w:val="0"/>
        <w:snapToGrid w:val="0"/>
        <w:jc w:val="center"/>
        <w:rPr>
          <w:b/>
          <w:bCs/>
          <w:color w:val="auto"/>
          <w:kern w:val="0"/>
          <w:szCs w:val="21"/>
        </w:rPr>
      </w:pPr>
      <w:r>
        <w:rPr>
          <w:b/>
          <w:bCs/>
          <w:color w:val="auto"/>
          <w:kern w:val="0"/>
          <w:szCs w:val="21"/>
        </w:rPr>
        <w:t>表</w:t>
      </w:r>
      <w:r>
        <w:rPr>
          <w:rFonts w:hint="eastAsia"/>
          <w:b/>
          <w:bCs/>
          <w:color w:val="auto"/>
          <w:kern w:val="0"/>
          <w:szCs w:val="21"/>
        </w:rPr>
        <w:t>6.</w:t>
      </w:r>
      <w:r>
        <w:rPr>
          <w:b/>
          <w:bCs/>
          <w:color w:val="auto"/>
          <w:kern w:val="0"/>
          <w:szCs w:val="21"/>
        </w:rPr>
        <w:t>1-1  陆生生态监测点位一览表</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475"/>
        <w:gridCol w:w="1761"/>
        <w:gridCol w:w="4392"/>
      </w:tblGrid>
      <w:tr w14:paraId="2BB38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tcBorders>
              <w:tl2br w:val="nil"/>
              <w:tr2bl w:val="nil"/>
            </w:tcBorders>
            <w:vAlign w:val="center"/>
          </w:tcPr>
          <w:p w14:paraId="2E45C217">
            <w:pPr>
              <w:widowControl/>
              <w:jc w:val="center"/>
              <w:rPr>
                <w:b/>
                <w:bCs/>
                <w:snapToGrid w:val="0"/>
                <w:color w:val="auto"/>
                <w:kern w:val="0"/>
                <w:position w:val="-12"/>
                <w:szCs w:val="21"/>
              </w:rPr>
            </w:pPr>
            <w:bookmarkStart w:id="196" w:name="_Toc418860136"/>
            <w:r>
              <w:rPr>
                <w:b/>
                <w:bCs/>
                <w:snapToGrid w:val="0"/>
                <w:color w:val="auto"/>
                <w:kern w:val="0"/>
                <w:position w:val="-12"/>
                <w:szCs w:val="21"/>
              </w:rPr>
              <w:t>编号</w:t>
            </w:r>
          </w:p>
        </w:tc>
        <w:tc>
          <w:tcPr>
            <w:tcW w:w="866" w:type="pct"/>
            <w:tcBorders>
              <w:tl2br w:val="nil"/>
              <w:tr2bl w:val="nil"/>
            </w:tcBorders>
            <w:vAlign w:val="center"/>
          </w:tcPr>
          <w:p w14:paraId="4533A826">
            <w:pPr>
              <w:widowControl/>
              <w:jc w:val="center"/>
              <w:rPr>
                <w:b/>
                <w:bCs/>
                <w:snapToGrid w:val="0"/>
                <w:color w:val="auto"/>
                <w:kern w:val="0"/>
                <w:position w:val="-12"/>
                <w:szCs w:val="21"/>
              </w:rPr>
            </w:pPr>
            <w:r>
              <w:rPr>
                <w:b/>
                <w:bCs/>
                <w:snapToGrid w:val="0"/>
                <w:color w:val="auto"/>
                <w:kern w:val="0"/>
                <w:position w:val="-12"/>
                <w:szCs w:val="21"/>
              </w:rPr>
              <w:t>点位位置</w:t>
            </w:r>
          </w:p>
        </w:tc>
        <w:tc>
          <w:tcPr>
            <w:tcW w:w="1034" w:type="pct"/>
            <w:tcBorders>
              <w:tl2br w:val="nil"/>
              <w:tr2bl w:val="nil"/>
            </w:tcBorders>
            <w:vAlign w:val="center"/>
          </w:tcPr>
          <w:p w14:paraId="69C691B1">
            <w:pPr>
              <w:widowControl/>
              <w:jc w:val="center"/>
              <w:rPr>
                <w:b/>
                <w:bCs/>
                <w:snapToGrid w:val="0"/>
                <w:color w:val="auto"/>
                <w:kern w:val="0"/>
                <w:position w:val="-12"/>
                <w:szCs w:val="21"/>
              </w:rPr>
            </w:pPr>
            <w:r>
              <w:rPr>
                <w:b/>
                <w:bCs/>
                <w:snapToGrid w:val="0"/>
                <w:color w:val="auto"/>
                <w:kern w:val="0"/>
                <w:position w:val="-12"/>
                <w:szCs w:val="21"/>
              </w:rPr>
              <w:t>布设原由</w:t>
            </w:r>
          </w:p>
        </w:tc>
        <w:tc>
          <w:tcPr>
            <w:tcW w:w="2578" w:type="pct"/>
            <w:tcBorders>
              <w:tl2br w:val="nil"/>
              <w:tr2bl w:val="nil"/>
            </w:tcBorders>
            <w:vAlign w:val="center"/>
          </w:tcPr>
          <w:p w14:paraId="01D035FB">
            <w:pPr>
              <w:widowControl/>
              <w:jc w:val="center"/>
              <w:rPr>
                <w:b/>
                <w:bCs/>
                <w:snapToGrid w:val="0"/>
                <w:color w:val="auto"/>
                <w:kern w:val="0"/>
                <w:position w:val="-12"/>
                <w:szCs w:val="21"/>
              </w:rPr>
            </w:pPr>
            <w:r>
              <w:rPr>
                <w:b/>
                <w:bCs/>
                <w:snapToGrid w:val="0"/>
                <w:color w:val="auto"/>
                <w:kern w:val="0"/>
                <w:position w:val="-12"/>
                <w:szCs w:val="21"/>
              </w:rPr>
              <w:t>关注重点</w:t>
            </w:r>
          </w:p>
        </w:tc>
      </w:tr>
      <w:tr w14:paraId="6339B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tcBorders>
              <w:tl2br w:val="nil"/>
              <w:tr2bl w:val="nil"/>
            </w:tcBorders>
            <w:vAlign w:val="center"/>
          </w:tcPr>
          <w:p w14:paraId="21A5E08E">
            <w:pPr>
              <w:widowControl/>
              <w:jc w:val="center"/>
              <w:rPr>
                <w:snapToGrid w:val="0"/>
                <w:color w:val="auto"/>
                <w:kern w:val="0"/>
                <w:position w:val="-12"/>
                <w:szCs w:val="21"/>
              </w:rPr>
            </w:pPr>
            <w:r>
              <w:rPr>
                <w:snapToGrid w:val="0"/>
                <w:color w:val="auto"/>
                <w:kern w:val="0"/>
                <w:position w:val="-12"/>
                <w:szCs w:val="21"/>
              </w:rPr>
              <w:t>1</w:t>
            </w:r>
          </w:p>
        </w:tc>
        <w:tc>
          <w:tcPr>
            <w:tcW w:w="866" w:type="pct"/>
            <w:vMerge w:val="restart"/>
            <w:tcBorders>
              <w:tl2br w:val="nil"/>
              <w:tr2bl w:val="nil"/>
            </w:tcBorders>
            <w:vAlign w:val="center"/>
          </w:tcPr>
          <w:p w14:paraId="73A472D0">
            <w:pPr>
              <w:widowControl/>
              <w:jc w:val="center"/>
              <w:rPr>
                <w:snapToGrid w:val="0"/>
                <w:color w:val="auto"/>
                <w:kern w:val="0"/>
                <w:position w:val="-12"/>
                <w:szCs w:val="21"/>
              </w:rPr>
            </w:pPr>
            <w:r>
              <w:rPr>
                <w:snapToGrid w:val="0"/>
                <w:color w:val="auto"/>
                <w:kern w:val="0"/>
                <w:position w:val="-12"/>
                <w:szCs w:val="21"/>
              </w:rPr>
              <w:t>项目区</w:t>
            </w:r>
          </w:p>
        </w:tc>
        <w:tc>
          <w:tcPr>
            <w:tcW w:w="1034" w:type="pct"/>
            <w:tcBorders>
              <w:tl2br w:val="nil"/>
              <w:tr2bl w:val="nil"/>
            </w:tcBorders>
            <w:vAlign w:val="center"/>
          </w:tcPr>
          <w:p w14:paraId="06D57D7E">
            <w:pPr>
              <w:widowControl/>
              <w:jc w:val="center"/>
              <w:rPr>
                <w:snapToGrid w:val="0"/>
                <w:color w:val="auto"/>
                <w:kern w:val="0"/>
                <w:position w:val="-12"/>
                <w:szCs w:val="21"/>
              </w:rPr>
            </w:pPr>
            <w:r>
              <w:rPr>
                <w:snapToGrid w:val="0"/>
                <w:color w:val="auto"/>
                <w:kern w:val="0"/>
                <w:position w:val="-12"/>
                <w:szCs w:val="21"/>
              </w:rPr>
              <w:t>临时占地</w:t>
            </w:r>
          </w:p>
        </w:tc>
        <w:tc>
          <w:tcPr>
            <w:tcW w:w="2578" w:type="pct"/>
            <w:tcBorders>
              <w:tl2br w:val="nil"/>
              <w:tr2bl w:val="nil"/>
            </w:tcBorders>
            <w:vAlign w:val="center"/>
          </w:tcPr>
          <w:p w14:paraId="473BFBDA">
            <w:pPr>
              <w:widowControl/>
              <w:jc w:val="center"/>
              <w:rPr>
                <w:snapToGrid w:val="0"/>
                <w:color w:val="auto"/>
                <w:kern w:val="0"/>
                <w:position w:val="-12"/>
                <w:szCs w:val="21"/>
              </w:rPr>
            </w:pPr>
            <w:r>
              <w:rPr>
                <w:snapToGrid w:val="0"/>
                <w:color w:val="auto"/>
                <w:kern w:val="0"/>
                <w:position w:val="-12"/>
                <w:szCs w:val="21"/>
              </w:rPr>
              <w:t>湿地动物、湿地植被、施工影响</w:t>
            </w:r>
          </w:p>
        </w:tc>
      </w:tr>
      <w:tr w14:paraId="13EAD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tcBorders>
              <w:tl2br w:val="nil"/>
              <w:tr2bl w:val="nil"/>
            </w:tcBorders>
            <w:vAlign w:val="center"/>
          </w:tcPr>
          <w:p w14:paraId="379730A0">
            <w:pPr>
              <w:widowControl/>
              <w:jc w:val="center"/>
              <w:rPr>
                <w:snapToGrid w:val="0"/>
                <w:color w:val="auto"/>
                <w:kern w:val="0"/>
                <w:position w:val="-12"/>
                <w:szCs w:val="21"/>
              </w:rPr>
            </w:pPr>
            <w:r>
              <w:rPr>
                <w:snapToGrid w:val="0"/>
                <w:color w:val="auto"/>
                <w:kern w:val="0"/>
                <w:position w:val="-12"/>
                <w:szCs w:val="21"/>
              </w:rPr>
              <w:t>2</w:t>
            </w:r>
          </w:p>
        </w:tc>
        <w:tc>
          <w:tcPr>
            <w:tcW w:w="866" w:type="pct"/>
            <w:vMerge w:val="continue"/>
            <w:tcBorders>
              <w:tl2br w:val="nil"/>
              <w:tr2bl w:val="nil"/>
            </w:tcBorders>
            <w:vAlign w:val="center"/>
          </w:tcPr>
          <w:p w14:paraId="3E312C5D">
            <w:pPr>
              <w:widowControl/>
              <w:jc w:val="center"/>
              <w:rPr>
                <w:snapToGrid w:val="0"/>
                <w:color w:val="auto"/>
                <w:kern w:val="0"/>
                <w:position w:val="-12"/>
                <w:szCs w:val="21"/>
              </w:rPr>
            </w:pPr>
          </w:p>
        </w:tc>
        <w:tc>
          <w:tcPr>
            <w:tcW w:w="1034" w:type="pct"/>
            <w:tcBorders>
              <w:tl2br w:val="nil"/>
              <w:tr2bl w:val="nil"/>
            </w:tcBorders>
            <w:vAlign w:val="center"/>
          </w:tcPr>
          <w:p w14:paraId="7F7FB523">
            <w:pPr>
              <w:widowControl/>
              <w:jc w:val="center"/>
              <w:rPr>
                <w:snapToGrid w:val="0"/>
                <w:color w:val="auto"/>
                <w:kern w:val="0"/>
                <w:position w:val="-12"/>
                <w:szCs w:val="21"/>
              </w:rPr>
            </w:pPr>
            <w:r>
              <w:rPr>
                <w:snapToGrid w:val="0"/>
                <w:color w:val="auto"/>
                <w:kern w:val="0"/>
                <w:position w:val="-12"/>
                <w:szCs w:val="21"/>
              </w:rPr>
              <w:t>改建建筑物</w:t>
            </w:r>
          </w:p>
        </w:tc>
        <w:tc>
          <w:tcPr>
            <w:tcW w:w="2578" w:type="pct"/>
            <w:tcBorders>
              <w:tl2br w:val="nil"/>
              <w:tr2bl w:val="nil"/>
            </w:tcBorders>
            <w:vAlign w:val="center"/>
          </w:tcPr>
          <w:p w14:paraId="6154F93F">
            <w:pPr>
              <w:widowControl/>
              <w:jc w:val="center"/>
              <w:rPr>
                <w:snapToGrid w:val="0"/>
                <w:color w:val="auto"/>
                <w:kern w:val="0"/>
                <w:position w:val="-12"/>
                <w:szCs w:val="21"/>
              </w:rPr>
            </w:pPr>
            <w:r>
              <w:rPr>
                <w:snapToGrid w:val="0"/>
                <w:color w:val="auto"/>
                <w:kern w:val="0"/>
                <w:position w:val="-12"/>
                <w:szCs w:val="21"/>
              </w:rPr>
              <w:t>湿地动物、湿地植被、施工影响</w:t>
            </w:r>
          </w:p>
        </w:tc>
      </w:tr>
      <w:tr w14:paraId="3CBBA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tcBorders>
              <w:tl2br w:val="nil"/>
              <w:tr2bl w:val="nil"/>
            </w:tcBorders>
            <w:vAlign w:val="center"/>
          </w:tcPr>
          <w:p w14:paraId="3361EADC">
            <w:pPr>
              <w:widowControl/>
              <w:jc w:val="center"/>
              <w:rPr>
                <w:snapToGrid w:val="0"/>
                <w:color w:val="auto"/>
                <w:kern w:val="0"/>
                <w:position w:val="-12"/>
                <w:szCs w:val="21"/>
              </w:rPr>
            </w:pPr>
            <w:r>
              <w:rPr>
                <w:snapToGrid w:val="0"/>
                <w:color w:val="auto"/>
                <w:kern w:val="0"/>
                <w:position w:val="-12"/>
                <w:szCs w:val="21"/>
              </w:rPr>
              <w:t>3</w:t>
            </w:r>
          </w:p>
        </w:tc>
        <w:tc>
          <w:tcPr>
            <w:tcW w:w="866" w:type="pct"/>
            <w:vMerge w:val="continue"/>
            <w:tcBorders>
              <w:tl2br w:val="nil"/>
              <w:tr2bl w:val="nil"/>
            </w:tcBorders>
            <w:vAlign w:val="center"/>
          </w:tcPr>
          <w:p w14:paraId="4E7BC4ED">
            <w:pPr>
              <w:widowControl/>
              <w:jc w:val="center"/>
              <w:rPr>
                <w:snapToGrid w:val="0"/>
                <w:color w:val="auto"/>
                <w:kern w:val="0"/>
                <w:position w:val="-12"/>
                <w:szCs w:val="21"/>
              </w:rPr>
            </w:pPr>
          </w:p>
        </w:tc>
        <w:tc>
          <w:tcPr>
            <w:tcW w:w="1034" w:type="pct"/>
            <w:tcBorders>
              <w:tl2br w:val="nil"/>
              <w:tr2bl w:val="nil"/>
            </w:tcBorders>
            <w:vAlign w:val="center"/>
          </w:tcPr>
          <w:p w14:paraId="7D3E8B1D">
            <w:pPr>
              <w:widowControl/>
              <w:jc w:val="center"/>
              <w:rPr>
                <w:snapToGrid w:val="0"/>
                <w:color w:val="auto"/>
                <w:kern w:val="0"/>
                <w:position w:val="-12"/>
                <w:szCs w:val="21"/>
              </w:rPr>
            </w:pPr>
            <w:r>
              <w:rPr>
                <w:snapToGrid w:val="0"/>
                <w:color w:val="auto"/>
                <w:kern w:val="0"/>
                <w:position w:val="-12"/>
                <w:szCs w:val="21"/>
              </w:rPr>
              <w:t>清淤</w:t>
            </w:r>
          </w:p>
        </w:tc>
        <w:tc>
          <w:tcPr>
            <w:tcW w:w="2578" w:type="pct"/>
            <w:tcBorders>
              <w:tl2br w:val="nil"/>
              <w:tr2bl w:val="nil"/>
            </w:tcBorders>
            <w:vAlign w:val="center"/>
          </w:tcPr>
          <w:p w14:paraId="636BE1A0">
            <w:pPr>
              <w:widowControl/>
              <w:jc w:val="center"/>
              <w:rPr>
                <w:snapToGrid w:val="0"/>
                <w:color w:val="auto"/>
                <w:kern w:val="0"/>
                <w:position w:val="-12"/>
                <w:szCs w:val="21"/>
              </w:rPr>
            </w:pPr>
            <w:r>
              <w:rPr>
                <w:snapToGrid w:val="0"/>
                <w:color w:val="auto"/>
                <w:kern w:val="0"/>
                <w:position w:val="-12"/>
                <w:szCs w:val="21"/>
              </w:rPr>
              <w:t>施工影响、植被恢复</w:t>
            </w:r>
          </w:p>
        </w:tc>
      </w:tr>
      <w:bookmarkEnd w:id="196"/>
    </w:tbl>
    <w:p w14:paraId="071BF2B6">
      <w:pPr>
        <w:pStyle w:val="82"/>
        <w:widowControl w:val="0"/>
        <w:spacing w:line="360" w:lineRule="auto"/>
        <w:outlineLvl w:val="1"/>
        <w:rPr>
          <w:rFonts w:ascii="Times New Roman" w:hAnsi="Times New Roman" w:eastAsia="宋体" w:cs="Times New Roman"/>
          <w:b/>
          <w:color w:val="auto"/>
          <w:sz w:val="30"/>
          <w:szCs w:val="30"/>
        </w:rPr>
      </w:pPr>
      <w:bookmarkStart w:id="197" w:name="_Toc21788"/>
      <w:bookmarkStart w:id="198" w:name="_Toc18500"/>
      <w:r>
        <w:rPr>
          <w:rFonts w:hint="eastAsia" w:ascii="Times New Roman" w:hAnsi="Times New Roman" w:eastAsia="宋体" w:cs="Times New Roman"/>
          <w:b/>
          <w:color w:val="auto"/>
          <w:sz w:val="30"/>
          <w:szCs w:val="30"/>
        </w:rPr>
        <w:t>6.</w:t>
      </w:r>
      <w:r>
        <w:rPr>
          <w:rFonts w:ascii="Times New Roman" w:hAnsi="Times New Roman" w:eastAsia="宋体" w:cs="Times New Roman"/>
          <w:b/>
          <w:color w:val="auto"/>
          <w:sz w:val="30"/>
          <w:szCs w:val="30"/>
        </w:rPr>
        <w:t>2水生生态监测</w:t>
      </w:r>
      <w:bookmarkEnd w:id="197"/>
      <w:bookmarkEnd w:id="198"/>
    </w:p>
    <w:p w14:paraId="563ADEF2">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2.1监测内容与监侧要素</w:t>
      </w:r>
    </w:p>
    <w:p w14:paraId="2B87D7E9">
      <w:pPr>
        <w:spacing w:line="360" w:lineRule="auto"/>
        <w:ind w:firstLine="480" w:firstLineChars="200"/>
        <w:rPr>
          <w:color w:val="auto"/>
          <w:kern w:val="0"/>
          <w:sz w:val="24"/>
        </w:rPr>
      </w:pPr>
      <w:r>
        <w:rPr>
          <w:color w:val="auto"/>
          <w:kern w:val="0"/>
          <w:sz w:val="24"/>
        </w:rPr>
        <w:t>1）水生生态要素监测：水文、水动力学特征，水体理化性质（主要为：N、P各种形式组分动态及浓度分布；石油类及挥发酚等石油化工因子</w:t>
      </w:r>
      <w:r>
        <w:rPr>
          <w:rFonts w:hint="eastAsia"/>
          <w:color w:val="auto"/>
          <w:kern w:val="0"/>
          <w:sz w:val="24"/>
        </w:rPr>
        <w:t>；抗生素种类（</w:t>
      </w:r>
      <w:r>
        <w:rPr>
          <w:rFonts w:ascii="Arial" w:hAnsi="Arial" w:cs="Arial"/>
          <w:color w:val="auto"/>
          <w:kern w:val="0"/>
          <w:sz w:val="24"/>
          <w:shd w:val="clear" w:color="auto" w:fill="FFFFFF"/>
        </w:rPr>
        <w:t>四环素、磺胺类、大环内酯类</w:t>
      </w:r>
      <w:r>
        <w:rPr>
          <w:rFonts w:hint="eastAsia"/>
          <w:color w:val="auto"/>
          <w:kern w:val="0"/>
          <w:sz w:val="24"/>
        </w:rPr>
        <w:t>）、抗生素浓度、pH值、溶解氧、电导率、浊度等</w:t>
      </w:r>
      <w:r>
        <w:rPr>
          <w:color w:val="auto"/>
          <w:kern w:val="0"/>
          <w:sz w:val="24"/>
        </w:rPr>
        <w:t>）；浮游植物、浮游动物、底栖动物、周丛生物的种类、现存量及时空分布等监测。</w:t>
      </w:r>
    </w:p>
    <w:p w14:paraId="1572D200">
      <w:pPr>
        <w:spacing w:line="360" w:lineRule="auto"/>
        <w:ind w:firstLine="480" w:firstLineChars="200"/>
        <w:rPr>
          <w:color w:val="auto"/>
          <w:kern w:val="0"/>
          <w:sz w:val="24"/>
        </w:rPr>
      </w:pPr>
      <w:r>
        <w:rPr>
          <w:color w:val="auto"/>
          <w:kern w:val="0"/>
          <w:sz w:val="24"/>
        </w:rPr>
        <w:t>2）渔获物监测，包括渔获物组成、年龄分布、鱼类生物学测定等。</w:t>
      </w:r>
    </w:p>
    <w:p w14:paraId="70EF00FF">
      <w:pPr>
        <w:spacing w:line="360" w:lineRule="auto"/>
        <w:ind w:firstLine="480" w:firstLineChars="200"/>
        <w:rPr>
          <w:color w:val="auto"/>
          <w:kern w:val="0"/>
          <w:sz w:val="24"/>
        </w:rPr>
      </w:pPr>
      <w:r>
        <w:rPr>
          <w:color w:val="auto"/>
          <w:kern w:val="0"/>
          <w:sz w:val="24"/>
        </w:rPr>
        <w:t>3）保护区鱼类产卵场、索饵场、越冬场、洄游通道等重要栖息地及其变化情况监测。</w:t>
      </w:r>
    </w:p>
    <w:p w14:paraId="1C061CEB">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2.2监测时间与频次</w:t>
      </w:r>
    </w:p>
    <w:p w14:paraId="3190149A">
      <w:pPr>
        <w:spacing w:line="360" w:lineRule="auto"/>
        <w:ind w:firstLine="480" w:firstLineChars="200"/>
        <w:rPr>
          <w:color w:val="auto"/>
          <w:kern w:val="0"/>
          <w:sz w:val="24"/>
        </w:rPr>
      </w:pPr>
      <w:r>
        <w:rPr>
          <w:color w:val="auto"/>
          <w:kern w:val="0"/>
          <w:sz w:val="24"/>
        </w:rPr>
        <w:t>根据施工进度安排，所有项目均安排在枯水季节施工，并按照</w:t>
      </w:r>
      <w:r>
        <w:rPr>
          <w:rFonts w:hint="eastAsia"/>
          <w:color w:val="auto"/>
          <w:kern w:val="0"/>
          <w:sz w:val="24"/>
        </w:rPr>
        <w:t>“</w:t>
      </w:r>
      <w:r>
        <w:rPr>
          <w:color w:val="auto"/>
          <w:kern w:val="0"/>
          <w:sz w:val="24"/>
        </w:rPr>
        <w:t>开工一段，完成一段</w:t>
      </w:r>
      <w:r>
        <w:rPr>
          <w:rFonts w:hint="eastAsia"/>
          <w:color w:val="auto"/>
          <w:kern w:val="0"/>
          <w:sz w:val="24"/>
        </w:rPr>
        <w:t>”</w:t>
      </w:r>
      <w:r>
        <w:rPr>
          <w:color w:val="auto"/>
          <w:kern w:val="0"/>
          <w:sz w:val="24"/>
        </w:rPr>
        <w:t>的原则实施；根据以上原则及各重点垸规模，确定工程按枯水期进行安排，相应施工总工期为12个月。根据以上原则安排，确定工程监测时间定为3年，包括施工期1年，运行期2年。分别在鱼类产卵期、索饵期各进行一次监测，分别为：4～5月、9～11月各监测一次。</w:t>
      </w:r>
    </w:p>
    <w:p w14:paraId="7F731861">
      <w:pPr>
        <w:pStyle w:val="77"/>
        <w:widowControl w:val="0"/>
        <w:tabs>
          <w:tab w:val="left" w:pos="567"/>
          <w:tab w:val="left" w:pos="851"/>
        </w:tabs>
        <w:adjustRightInd w:val="0"/>
        <w:spacing w:line="360" w:lineRule="auto"/>
        <w:outlineLvl w:val="2"/>
        <w:rPr>
          <w:rFonts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rPr>
        <w:t>6.</w:t>
      </w:r>
      <w:r>
        <w:rPr>
          <w:rFonts w:ascii="Times New Roman" w:hAnsi="Times New Roman" w:eastAsia="宋体" w:cs="Times New Roman"/>
          <w:b/>
          <w:color w:val="auto"/>
          <w:sz w:val="28"/>
          <w:szCs w:val="28"/>
        </w:rPr>
        <w:t>2.3监测点位</w:t>
      </w:r>
    </w:p>
    <w:p w14:paraId="7D7B4988">
      <w:pPr>
        <w:spacing w:line="360" w:lineRule="auto"/>
        <w:ind w:firstLine="480" w:firstLineChars="200"/>
        <w:rPr>
          <w:color w:val="auto"/>
          <w:kern w:val="0"/>
          <w:sz w:val="24"/>
        </w:rPr>
      </w:pPr>
      <w:r>
        <w:rPr>
          <w:color w:val="auto"/>
          <w:kern w:val="0"/>
          <w:sz w:val="24"/>
        </w:rPr>
        <w:t>根据评价区涉及的水系、工程类型，以及工程施工总布置，综合施工进度、工程布局及工程与区域生态敏感区（自然保护区、重要湿地等）的位置关系，设置水生监测点。</w:t>
      </w:r>
    </w:p>
    <w:p w14:paraId="7DC0CFD4">
      <w:pPr>
        <w:spacing w:line="360" w:lineRule="auto"/>
        <w:ind w:firstLine="480" w:firstLineChars="200"/>
        <w:rPr>
          <w:color w:val="auto"/>
          <w:kern w:val="0"/>
          <w:sz w:val="24"/>
        </w:rPr>
      </w:pPr>
      <w:r>
        <w:rPr>
          <w:color w:val="auto"/>
          <w:kern w:val="0"/>
          <w:sz w:val="24"/>
        </w:rPr>
        <w:t>监测点位如下表所示：</w:t>
      </w:r>
    </w:p>
    <w:p w14:paraId="68F1E7BB">
      <w:pPr>
        <w:autoSpaceDE w:val="0"/>
        <w:autoSpaceDN w:val="0"/>
        <w:adjustRightInd w:val="0"/>
        <w:snapToGrid w:val="0"/>
        <w:jc w:val="center"/>
        <w:rPr>
          <w:b/>
          <w:bCs/>
          <w:color w:val="auto"/>
          <w:kern w:val="0"/>
          <w:szCs w:val="21"/>
        </w:rPr>
      </w:pPr>
      <w:r>
        <w:rPr>
          <w:b/>
          <w:bCs/>
          <w:color w:val="auto"/>
          <w:kern w:val="0"/>
          <w:szCs w:val="21"/>
        </w:rPr>
        <w:t>表</w:t>
      </w:r>
      <w:r>
        <w:rPr>
          <w:rFonts w:hint="eastAsia"/>
          <w:b/>
          <w:bCs/>
          <w:color w:val="auto"/>
          <w:kern w:val="0"/>
          <w:szCs w:val="21"/>
        </w:rPr>
        <w:t>6.</w:t>
      </w:r>
      <w:r>
        <w:rPr>
          <w:b/>
          <w:bCs/>
          <w:color w:val="auto"/>
          <w:kern w:val="0"/>
          <w:szCs w:val="21"/>
        </w:rPr>
        <w:t>2-1  水生生态监测点信息表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2783"/>
        <w:gridCol w:w="1153"/>
        <w:gridCol w:w="2997"/>
        <w:gridCol w:w="975"/>
      </w:tblGrid>
      <w:tr w14:paraId="1CCAE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tcBorders>
              <w:tl2br w:val="nil"/>
              <w:tr2bl w:val="nil"/>
            </w:tcBorders>
            <w:vAlign w:val="center"/>
          </w:tcPr>
          <w:p w14:paraId="2353EA8B">
            <w:pPr>
              <w:widowControl/>
              <w:jc w:val="center"/>
              <w:rPr>
                <w:b/>
                <w:bCs/>
                <w:snapToGrid w:val="0"/>
                <w:color w:val="auto"/>
                <w:kern w:val="0"/>
                <w:position w:val="-12"/>
                <w:szCs w:val="21"/>
              </w:rPr>
            </w:pPr>
            <w:r>
              <w:rPr>
                <w:b/>
                <w:bCs/>
                <w:snapToGrid w:val="0"/>
                <w:color w:val="auto"/>
                <w:kern w:val="0"/>
                <w:position w:val="-12"/>
                <w:szCs w:val="21"/>
              </w:rPr>
              <w:t>编号</w:t>
            </w:r>
          </w:p>
        </w:tc>
        <w:tc>
          <w:tcPr>
            <w:tcW w:w="0" w:type="auto"/>
            <w:tcBorders>
              <w:tl2br w:val="nil"/>
              <w:tr2bl w:val="nil"/>
            </w:tcBorders>
            <w:vAlign w:val="center"/>
          </w:tcPr>
          <w:p w14:paraId="6559A8C4">
            <w:pPr>
              <w:widowControl/>
              <w:jc w:val="center"/>
              <w:rPr>
                <w:b/>
                <w:bCs/>
                <w:snapToGrid w:val="0"/>
                <w:color w:val="auto"/>
                <w:kern w:val="0"/>
                <w:position w:val="-12"/>
                <w:szCs w:val="21"/>
              </w:rPr>
            </w:pPr>
            <w:r>
              <w:rPr>
                <w:b/>
                <w:bCs/>
                <w:snapToGrid w:val="0"/>
                <w:color w:val="auto"/>
                <w:kern w:val="0"/>
                <w:position w:val="-12"/>
                <w:szCs w:val="21"/>
              </w:rPr>
              <w:t>经纬度</w:t>
            </w:r>
          </w:p>
        </w:tc>
        <w:tc>
          <w:tcPr>
            <w:tcW w:w="0" w:type="auto"/>
            <w:tcBorders>
              <w:tl2br w:val="nil"/>
              <w:tr2bl w:val="nil"/>
            </w:tcBorders>
            <w:vAlign w:val="center"/>
          </w:tcPr>
          <w:p w14:paraId="3BAC51FA">
            <w:pPr>
              <w:widowControl/>
              <w:jc w:val="center"/>
              <w:rPr>
                <w:b/>
                <w:bCs/>
                <w:snapToGrid w:val="0"/>
                <w:color w:val="auto"/>
                <w:kern w:val="0"/>
                <w:position w:val="-12"/>
                <w:szCs w:val="21"/>
              </w:rPr>
            </w:pPr>
            <w:r>
              <w:rPr>
                <w:b/>
                <w:bCs/>
                <w:snapToGrid w:val="0"/>
                <w:color w:val="auto"/>
                <w:kern w:val="0"/>
                <w:position w:val="-12"/>
                <w:szCs w:val="21"/>
              </w:rPr>
              <w:t>地理位置</w:t>
            </w:r>
          </w:p>
        </w:tc>
        <w:tc>
          <w:tcPr>
            <w:tcW w:w="0" w:type="auto"/>
            <w:tcBorders>
              <w:tl2br w:val="nil"/>
              <w:tr2bl w:val="nil"/>
            </w:tcBorders>
            <w:vAlign w:val="center"/>
          </w:tcPr>
          <w:p w14:paraId="5CD1B770">
            <w:pPr>
              <w:widowControl/>
              <w:jc w:val="center"/>
              <w:rPr>
                <w:b/>
                <w:bCs/>
                <w:snapToGrid w:val="0"/>
                <w:color w:val="auto"/>
                <w:kern w:val="0"/>
                <w:position w:val="-12"/>
                <w:szCs w:val="21"/>
              </w:rPr>
            </w:pPr>
            <w:r>
              <w:rPr>
                <w:b/>
                <w:bCs/>
                <w:snapToGrid w:val="0"/>
                <w:color w:val="auto"/>
                <w:kern w:val="0"/>
                <w:position w:val="-12"/>
                <w:szCs w:val="21"/>
              </w:rPr>
              <w:t>工程</w:t>
            </w:r>
          </w:p>
        </w:tc>
        <w:tc>
          <w:tcPr>
            <w:tcW w:w="0" w:type="auto"/>
            <w:tcBorders>
              <w:tl2br w:val="nil"/>
              <w:tr2bl w:val="nil"/>
            </w:tcBorders>
            <w:vAlign w:val="center"/>
          </w:tcPr>
          <w:p w14:paraId="747738CC">
            <w:pPr>
              <w:widowControl/>
              <w:jc w:val="center"/>
              <w:rPr>
                <w:b/>
                <w:bCs/>
                <w:snapToGrid w:val="0"/>
                <w:color w:val="auto"/>
                <w:kern w:val="0"/>
                <w:position w:val="-12"/>
                <w:szCs w:val="21"/>
              </w:rPr>
            </w:pPr>
            <w:r>
              <w:rPr>
                <w:b/>
                <w:bCs/>
                <w:snapToGrid w:val="0"/>
                <w:color w:val="auto"/>
                <w:kern w:val="0"/>
                <w:position w:val="-12"/>
                <w:szCs w:val="21"/>
              </w:rPr>
              <w:t>所属河流</w:t>
            </w:r>
          </w:p>
        </w:tc>
      </w:tr>
      <w:tr w14:paraId="5768A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2EFEF739">
            <w:pPr>
              <w:widowControl/>
              <w:jc w:val="center"/>
              <w:rPr>
                <w:snapToGrid w:val="0"/>
                <w:color w:val="auto"/>
                <w:kern w:val="0"/>
                <w:position w:val="-12"/>
                <w:szCs w:val="21"/>
              </w:rPr>
            </w:pPr>
            <w:r>
              <w:rPr>
                <w:snapToGrid w:val="0"/>
                <w:color w:val="auto"/>
                <w:kern w:val="0"/>
                <w:position w:val="-12"/>
                <w:szCs w:val="21"/>
              </w:rPr>
              <w:t>1</w:t>
            </w:r>
          </w:p>
        </w:tc>
        <w:tc>
          <w:tcPr>
            <w:tcW w:w="0" w:type="auto"/>
            <w:tcBorders>
              <w:tl2br w:val="nil"/>
              <w:tr2bl w:val="nil"/>
            </w:tcBorders>
            <w:vAlign w:val="center"/>
          </w:tcPr>
          <w:p w14:paraId="065F10CA">
            <w:pPr>
              <w:widowControl/>
              <w:jc w:val="center"/>
              <w:rPr>
                <w:snapToGrid w:val="0"/>
                <w:color w:val="auto"/>
                <w:kern w:val="0"/>
                <w:position w:val="-12"/>
                <w:szCs w:val="21"/>
              </w:rPr>
            </w:pPr>
            <w:r>
              <w:rPr>
                <w:snapToGrid w:val="0"/>
                <w:color w:val="auto"/>
                <w:kern w:val="0"/>
                <w:position w:val="-12"/>
                <w:szCs w:val="21"/>
              </w:rPr>
              <w:t>112.791857737，29.498417492</w:t>
            </w:r>
          </w:p>
        </w:tc>
        <w:tc>
          <w:tcPr>
            <w:tcW w:w="0" w:type="auto"/>
            <w:tcBorders>
              <w:tl2br w:val="nil"/>
              <w:tr2bl w:val="nil"/>
            </w:tcBorders>
            <w:vAlign w:val="center"/>
          </w:tcPr>
          <w:p w14:paraId="0813C903">
            <w:pPr>
              <w:widowControl/>
              <w:jc w:val="center"/>
              <w:rPr>
                <w:snapToGrid w:val="0"/>
                <w:color w:val="auto"/>
                <w:kern w:val="0"/>
                <w:position w:val="-12"/>
                <w:szCs w:val="21"/>
              </w:rPr>
            </w:pPr>
            <w:r>
              <w:rPr>
                <w:snapToGrid w:val="0"/>
                <w:color w:val="auto"/>
                <w:kern w:val="0"/>
                <w:position w:val="-12"/>
                <w:szCs w:val="21"/>
              </w:rPr>
              <w:t>项目区水塘</w:t>
            </w:r>
          </w:p>
        </w:tc>
        <w:tc>
          <w:tcPr>
            <w:tcW w:w="0" w:type="auto"/>
            <w:tcBorders>
              <w:tl2br w:val="nil"/>
              <w:tr2bl w:val="nil"/>
            </w:tcBorders>
            <w:vAlign w:val="center"/>
          </w:tcPr>
          <w:p w14:paraId="7A133155">
            <w:pPr>
              <w:widowControl/>
              <w:jc w:val="center"/>
              <w:rPr>
                <w:snapToGrid w:val="0"/>
                <w:color w:val="auto"/>
                <w:kern w:val="0"/>
                <w:position w:val="-12"/>
                <w:szCs w:val="21"/>
              </w:rPr>
            </w:pPr>
            <w:r>
              <w:rPr>
                <w:snapToGrid w:val="0"/>
                <w:color w:val="auto"/>
                <w:kern w:val="0"/>
                <w:position w:val="-12"/>
                <w:szCs w:val="21"/>
              </w:rPr>
              <w:t>清淤、圈养桶安装、人工湿地构建</w:t>
            </w:r>
          </w:p>
        </w:tc>
        <w:tc>
          <w:tcPr>
            <w:tcW w:w="0" w:type="auto"/>
            <w:tcBorders>
              <w:tl2br w:val="nil"/>
              <w:tr2bl w:val="nil"/>
            </w:tcBorders>
            <w:vAlign w:val="center"/>
          </w:tcPr>
          <w:p w14:paraId="4D588164">
            <w:pPr>
              <w:widowControl/>
              <w:jc w:val="center"/>
              <w:rPr>
                <w:snapToGrid w:val="0"/>
                <w:color w:val="auto"/>
                <w:kern w:val="0"/>
                <w:position w:val="-12"/>
                <w:szCs w:val="21"/>
              </w:rPr>
            </w:pPr>
            <w:r>
              <w:rPr>
                <w:snapToGrid w:val="0"/>
                <w:color w:val="auto"/>
                <w:kern w:val="0"/>
                <w:position w:val="-12"/>
                <w:szCs w:val="21"/>
              </w:rPr>
              <w:t>洞庭湖</w:t>
            </w:r>
          </w:p>
        </w:tc>
      </w:tr>
    </w:tbl>
    <w:p w14:paraId="65105CEA">
      <w:pPr>
        <w:pStyle w:val="82"/>
        <w:widowControl w:val="0"/>
        <w:spacing w:line="360" w:lineRule="auto"/>
        <w:outlineLvl w:val="1"/>
        <w:rPr>
          <w:rFonts w:ascii="Times New Roman" w:hAnsi="Times New Roman" w:eastAsia="宋体" w:cs="Times New Roman"/>
          <w:b/>
          <w:color w:val="auto"/>
          <w:sz w:val="30"/>
          <w:szCs w:val="30"/>
        </w:rPr>
      </w:pPr>
      <w:bookmarkStart w:id="199" w:name="_Toc17337"/>
      <w:bookmarkStart w:id="200" w:name="_Toc4485"/>
      <w:bookmarkStart w:id="201" w:name="_Toc20418"/>
      <w:r>
        <w:rPr>
          <w:rFonts w:hint="eastAsia" w:ascii="Times New Roman" w:hAnsi="Times New Roman" w:eastAsia="宋体" w:cs="Times New Roman"/>
          <w:b/>
          <w:color w:val="auto"/>
          <w:sz w:val="30"/>
          <w:szCs w:val="30"/>
        </w:rPr>
        <w:t>6.</w:t>
      </w:r>
      <w:r>
        <w:rPr>
          <w:rFonts w:ascii="Times New Roman" w:hAnsi="Times New Roman" w:eastAsia="宋体" w:cs="Times New Roman"/>
          <w:b/>
          <w:color w:val="auto"/>
          <w:sz w:val="30"/>
          <w:szCs w:val="30"/>
        </w:rPr>
        <w:t>3生态环境保护经费预算</w:t>
      </w:r>
      <w:bookmarkEnd w:id="199"/>
      <w:bookmarkEnd w:id="200"/>
      <w:bookmarkEnd w:id="201"/>
    </w:p>
    <w:p w14:paraId="3FC96861">
      <w:pPr>
        <w:widowControl/>
        <w:spacing w:line="360" w:lineRule="auto"/>
        <w:ind w:firstLine="480" w:firstLineChars="200"/>
        <w:jc w:val="left"/>
        <w:rPr>
          <w:color w:val="auto"/>
          <w:sz w:val="24"/>
        </w:rPr>
      </w:pPr>
      <w:r>
        <w:rPr>
          <w:color w:val="auto"/>
          <w:sz w:val="24"/>
        </w:rPr>
        <w:t>工程对评价区所在的洞庭湖流域影响的生态环境保护经费包括水生生物增殖放流、生态监测等。经过估算，生态环境保护经费用共120万元。详细预算见表</w:t>
      </w:r>
      <w:r>
        <w:rPr>
          <w:rFonts w:hint="eastAsia"/>
          <w:color w:val="auto"/>
          <w:sz w:val="24"/>
        </w:rPr>
        <w:t>6.</w:t>
      </w:r>
      <w:r>
        <w:rPr>
          <w:color w:val="auto"/>
          <w:sz w:val="24"/>
        </w:rPr>
        <w:t>3-1。</w:t>
      </w:r>
    </w:p>
    <w:p w14:paraId="2CB6363E">
      <w:pPr>
        <w:autoSpaceDE w:val="0"/>
        <w:autoSpaceDN w:val="0"/>
        <w:adjustRightInd w:val="0"/>
        <w:snapToGrid w:val="0"/>
        <w:jc w:val="center"/>
        <w:rPr>
          <w:b/>
          <w:bCs/>
          <w:color w:val="auto"/>
          <w:kern w:val="0"/>
          <w:szCs w:val="21"/>
        </w:rPr>
      </w:pPr>
      <w:r>
        <w:rPr>
          <w:b/>
          <w:bCs/>
          <w:color w:val="auto"/>
          <w:kern w:val="0"/>
          <w:szCs w:val="21"/>
        </w:rPr>
        <w:t>表</w:t>
      </w:r>
      <w:r>
        <w:rPr>
          <w:rFonts w:hint="eastAsia"/>
          <w:b/>
          <w:bCs/>
          <w:color w:val="auto"/>
          <w:kern w:val="0"/>
          <w:szCs w:val="21"/>
        </w:rPr>
        <w:t>6.</w:t>
      </w:r>
      <w:r>
        <w:rPr>
          <w:b/>
          <w:bCs/>
          <w:color w:val="auto"/>
          <w:kern w:val="0"/>
          <w:szCs w:val="21"/>
        </w:rPr>
        <w:t>3-1  工程生态保护经费预算表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050"/>
        <w:gridCol w:w="1323"/>
        <w:gridCol w:w="4361"/>
      </w:tblGrid>
      <w:tr w14:paraId="08C17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654BBCAA">
            <w:pPr>
              <w:widowControl/>
              <w:jc w:val="center"/>
              <w:rPr>
                <w:b/>
                <w:bCs/>
                <w:color w:val="auto"/>
                <w:kern w:val="0"/>
                <w:szCs w:val="21"/>
              </w:rPr>
            </w:pPr>
            <w:r>
              <w:rPr>
                <w:b/>
                <w:bCs/>
                <w:color w:val="auto"/>
                <w:kern w:val="0"/>
                <w:szCs w:val="21"/>
              </w:rPr>
              <w:t>项目</w:t>
            </w:r>
          </w:p>
        </w:tc>
        <w:tc>
          <w:tcPr>
            <w:tcW w:w="1050" w:type="dxa"/>
            <w:tcBorders>
              <w:tl2br w:val="nil"/>
              <w:tr2bl w:val="nil"/>
            </w:tcBorders>
            <w:vAlign w:val="center"/>
          </w:tcPr>
          <w:p w14:paraId="2591C54A">
            <w:pPr>
              <w:widowControl/>
              <w:jc w:val="center"/>
              <w:rPr>
                <w:b/>
                <w:bCs/>
                <w:color w:val="auto"/>
                <w:kern w:val="0"/>
                <w:szCs w:val="21"/>
              </w:rPr>
            </w:pPr>
            <w:r>
              <w:rPr>
                <w:b/>
                <w:bCs/>
                <w:color w:val="auto"/>
                <w:kern w:val="0"/>
                <w:szCs w:val="21"/>
              </w:rPr>
              <w:t>实施年限（年）</w:t>
            </w:r>
          </w:p>
        </w:tc>
        <w:tc>
          <w:tcPr>
            <w:tcW w:w="1323" w:type="dxa"/>
            <w:tcBorders>
              <w:tl2br w:val="nil"/>
              <w:tr2bl w:val="nil"/>
            </w:tcBorders>
            <w:vAlign w:val="center"/>
          </w:tcPr>
          <w:p w14:paraId="644A6133">
            <w:pPr>
              <w:widowControl/>
              <w:jc w:val="center"/>
              <w:rPr>
                <w:b/>
                <w:bCs/>
                <w:color w:val="auto"/>
                <w:kern w:val="0"/>
                <w:szCs w:val="21"/>
              </w:rPr>
            </w:pPr>
            <w:r>
              <w:rPr>
                <w:b/>
                <w:bCs/>
                <w:color w:val="auto"/>
                <w:kern w:val="0"/>
                <w:szCs w:val="21"/>
              </w:rPr>
              <w:t>预算经费（万元）</w:t>
            </w:r>
          </w:p>
        </w:tc>
        <w:tc>
          <w:tcPr>
            <w:tcW w:w="4361" w:type="dxa"/>
            <w:tcBorders>
              <w:tl2br w:val="nil"/>
              <w:tr2bl w:val="nil"/>
            </w:tcBorders>
            <w:vAlign w:val="center"/>
          </w:tcPr>
          <w:p w14:paraId="147FE002">
            <w:pPr>
              <w:widowControl/>
              <w:jc w:val="center"/>
              <w:rPr>
                <w:b/>
                <w:bCs/>
                <w:color w:val="auto"/>
                <w:kern w:val="0"/>
                <w:szCs w:val="21"/>
              </w:rPr>
            </w:pPr>
            <w:r>
              <w:rPr>
                <w:b/>
                <w:bCs/>
                <w:color w:val="auto"/>
                <w:kern w:val="0"/>
                <w:szCs w:val="21"/>
              </w:rPr>
              <w:t>备注</w:t>
            </w:r>
          </w:p>
        </w:tc>
      </w:tr>
      <w:tr w14:paraId="50BAF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01155438">
            <w:pPr>
              <w:widowControl/>
              <w:jc w:val="center"/>
              <w:rPr>
                <w:b/>
                <w:bCs/>
                <w:color w:val="auto"/>
                <w:kern w:val="0"/>
                <w:szCs w:val="21"/>
              </w:rPr>
            </w:pPr>
            <w:r>
              <w:rPr>
                <w:b/>
                <w:bCs/>
                <w:color w:val="auto"/>
                <w:kern w:val="0"/>
                <w:szCs w:val="21"/>
              </w:rPr>
              <w:t>一、水域生态修复</w:t>
            </w:r>
          </w:p>
        </w:tc>
        <w:tc>
          <w:tcPr>
            <w:tcW w:w="1050" w:type="dxa"/>
            <w:tcBorders>
              <w:tl2br w:val="nil"/>
              <w:tr2bl w:val="nil"/>
            </w:tcBorders>
            <w:vAlign w:val="center"/>
          </w:tcPr>
          <w:p w14:paraId="2A4C8797">
            <w:pPr>
              <w:widowControl/>
              <w:jc w:val="center"/>
              <w:rPr>
                <w:color w:val="auto"/>
                <w:kern w:val="0"/>
                <w:szCs w:val="21"/>
              </w:rPr>
            </w:pPr>
          </w:p>
        </w:tc>
        <w:tc>
          <w:tcPr>
            <w:tcW w:w="1323" w:type="dxa"/>
            <w:tcBorders>
              <w:tl2br w:val="nil"/>
              <w:tr2bl w:val="nil"/>
            </w:tcBorders>
            <w:vAlign w:val="center"/>
          </w:tcPr>
          <w:p w14:paraId="54FA7BE1">
            <w:pPr>
              <w:widowControl/>
              <w:jc w:val="center"/>
              <w:rPr>
                <w:b/>
                <w:bCs/>
                <w:color w:val="auto"/>
                <w:kern w:val="0"/>
                <w:szCs w:val="21"/>
              </w:rPr>
            </w:pPr>
            <w:r>
              <w:rPr>
                <w:b/>
                <w:bCs/>
                <w:color w:val="auto"/>
                <w:kern w:val="0"/>
                <w:szCs w:val="21"/>
              </w:rPr>
              <w:t>20</w:t>
            </w:r>
          </w:p>
        </w:tc>
        <w:tc>
          <w:tcPr>
            <w:tcW w:w="4361" w:type="dxa"/>
            <w:tcBorders>
              <w:tl2br w:val="nil"/>
              <w:tr2bl w:val="nil"/>
            </w:tcBorders>
            <w:vAlign w:val="center"/>
          </w:tcPr>
          <w:p w14:paraId="286F4BC8">
            <w:pPr>
              <w:widowControl/>
              <w:jc w:val="center"/>
              <w:rPr>
                <w:color w:val="auto"/>
                <w:kern w:val="0"/>
                <w:szCs w:val="21"/>
              </w:rPr>
            </w:pPr>
          </w:p>
        </w:tc>
      </w:tr>
      <w:tr w14:paraId="04DDE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3067CBAB">
            <w:pPr>
              <w:widowControl/>
              <w:jc w:val="center"/>
              <w:rPr>
                <w:color w:val="auto"/>
                <w:kern w:val="0"/>
                <w:szCs w:val="21"/>
              </w:rPr>
            </w:pPr>
            <w:r>
              <w:rPr>
                <w:color w:val="auto"/>
                <w:kern w:val="0"/>
                <w:szCs w:val="21"/>
              </w:rPr>
              <w:t>1.生态修复</w:t>
            </w:r>
          </w:p>
        </w:tc>
        <w:tc>
          <w:tcPr>
            <w:tcW w:w="1050" w:type="dxa"/>
            <w:tcBorders>
              <w:tl2br w:val="nil"/>
              <w:tr2bl w:val="nil"/>
            </w:tcBorders>
            <w:vAlign w:val="center"/>
          </w:tcPr>
          <w:p w14:paraId="18FD29C1">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4337814B">
            <w:pPr>
              <w:widowControl/>
              <w:jc w:val="center"/>
              <w:rPr>
                <w:color w:val="auto"/>
                <w:kern w:val="0"/>
                <w:szCs w:val="21"/>
              </w:rPr>
            </w:pPr>
            <w:r>
              <w:rPr>
                <w:color w:val="auto"/>
                <w:kern w:val="0"/>
                <w:szCs w:val="21"/>
              </w:rPr>
              <w:t>10</w:t>
            </w:r>
          </w:p>
        </w:tc>
        <w:tc>
          <w:tcPr>
            <w:tcW w:w="4361" w:type="dxa"/>
            <w:tcBorders>
              <w:tl2br w:val="nil"/>
              <w:tr2bl w:val="nil"/>
            </w:tcBorders>
            <w:vAlign w:val="center"/>
          </w:tcPr>
          <w:p w14:paraId="4367EC38">
            <w:pPr>
              <w:widowControl/>
              <w:ind w:firstLine="420" w:firstLineChars="200"/>
              <w:rPr>
                <w:color w:val="auto"/>
                <w:kern w:val="0"/>
                <w:szCs w:val="21"/>
              </w:rPr>
            </w:pPr>
            <w:r>
              <w:rPr>
                <w:color w:val="auto"/>
                <w:kern w:val="0"/>
                <w:szCs w:val="21"/>
              </w:rPr>
              <w:t>对项目区所在的鱼塘两侧，建议该段采取植被修复。</w:t>
            </w:r>
          </w:p>
        </w:tc>
      </w:tr>
      <w:tr w14:paraId="1336E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513001A0">
            <w:pPr>
              <w:widowControl/>
              <w:jc w:val="center"/>
              <w:rPr>
                <w:color w:val="auto"/>
                <w:kern w:val="0"/>
                <w:szCs w:val="21"/>
              </w:rPr>
            </w:pPr>
            <w:r>
              <w:rPr>
                <w:color w:val="auto"/>
                <w:kern w:val="0"/>
                <w:szCs w:val="21"/>
              </w:rPr>
              <w:t>2.栖息地修复</w:t>
            </w:r>
          </w:p>
        </w:tc>
        <w:tc>
          <w:tcPr>
            <w:tcW w:w="1050" w:type="dxa"/>
            <w:tcBorders>
              <w:tl2br w:val="nil"/>
              <w:tr2bl w:val="nil"/>
            </w:tcBorders>
            <w:vAlign w:val="center"/>
          </w:tcPr>
          <w:p w14:paraId="39BB4ABD">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612F18EA">
            <w:pPr>
              <w:widowControl/>
              <w:jc w:val="center"/>
              <w:rPr>
                <w:color w:val="auto"/>
                <w:kern w:val="0"/>
                <w:szCs w:val="21"/>
              </w:rPr>
            </w:pPr>
            <w:r>
              <w:rPr>
                <w:color w:val="auto"/>
                <w:kern w:val="0"/>
                <w:szCs w:val="21"/>
              </w:rPr>
              <w:t>10</w:t>
            </w:r>
          </w:p>
        </w:tc>
        <w:tc>
          <w:tcPr>
            <w:tcW w:w="4361" w:type="dxa"/>
            <w:tcBorders>
              <w:tl2br w:val="nil"/>
              <w:tr2bl w:val="nil"/>
            </w:tcBorders>
            <w:vAlign w:val="center"/>
          </w:tcPr>
          <w:p w14:paraId="66DBA432">
            <w:pPr>
              <w:widowControl/>
              <w:ind w:firstLine="420" w:firstLineChars="200"/>
              <w:rPr>
                <w:color w:val="auto"/>
                <w:kern w:val="0"/>
                <w:szCs w:val="21"/>
              </w:rPr>
            </w:pPr>
            <w:r>
              <w:rPr>
                <w:color w:val="auto"/>
                <w:kern w:val="0"/>
                <w:szCs w:val="21"/>
              </w:rPr>
              <w:t>对临近保护区河道附近水域范围内</w:t>
            </w:r>
          </w:p>
        </w:tc>
      </w:tr>
      <w:tr w14:paraId="59C8C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3D5C1049">
            <w:pPr>
              <w:widowControl/>
              <w:jc w:val="center"/>
              <w:rPr>
                <w:b/>
                <w:bCs/>
                <w:color w:val="auto"/>
                <w:kern w:val="0"/>
                <w:szCs w:val="21"/>
              </w:rPr>
            </w:pPr>
            <w:r>
              <w:rPr>
                <w:b/>
                <w:bCs/>
                <w:color w:val="auto"/>
                <w:kern w:val="0"/>
                <w:szCs w:val="21"/>
              </w:rPr>
              <w:t>二、人工增殖放流</w:t>
            </w:r>
          </w:p>
        </w:tc>
        <w:tc>
          <w:tcPr>
            <w:tcW w:w="1050" w:type="dxa"/>
            <w:tcBorders>
              <w:tl2br w:val="nil"/>
              <w:tr2bl w:val="nil"/>
            </w:tcBorders>
            <w:vAlign w:val="center"/>
          </w:tcPr>
          <w:p w14:paraId="0FE9957E">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0F18B581">
            <w:pPr>
              <w:widowControl/>
              <w:jc w:val="center"/>
              <w:rPr>
                <w:b/>
                <w:bCs/>
                <w:color w:val="auto"/>
                <w:kern w:val="0"/>
                <w:szCs w:val="21"/>
              </w:rPr>
            </w:pPr>
            <w:r>
              <w:rPr>
                <w:b/>
                <w:bCs/>
                <w:color w:val="auto"/>
                <w:kern w:val="0"/>
                <w:szCs w:val="21"/>
              </w:rPr>
              <w:t>40</w:t>
            </w:r>
          </w:p>
        </w:tc>
        <w:tc>
          <w:tcPr>
            <w:tcW w:w="4361" w:type="dxa"/>
            <w:tcBorders>
              <w:tl2br w:val="nil"/>
              <w:tr2bl w:val="nil"/>
            </w:tcBorders>
            <w:vAlign w:val="center"/>
          </w:tcPr>
          <w:p w14:paraId="41F7C837">
            <w:pPr>
              <w:widowControl/>
              <w:ind w:firstLine="420" w:firstLineChars="200"/>
              <w:rPr>
                <w:color w:val="auto"/>
                <w:kern w:val="0"/>
                <w:szCs w:val="21"/>
              </w:rPr>
            </w:pPr>
            <w:r>
              <w:rPr>
                <w:color w:val="auto"/>
                <w:kern w:val="0"/>
                <w:szCs w:val="21"/>
              </w:rPr>
              <w:t>建议对已有成熟人工繁育技术的国家Ⅱ级保护野生水生动物胭脂鱼，重要经济鱼类长吻鮠、鮎、黄颡鱼、鳜、草鱼、鲢、鳙、青鱼以及重要饵料生物中华绒螯蟹等实施人工增殖放流，此后根据监测情况作适当调整。</w:t>
            </w:r>
          </w:p>
        </w:tc>
      </w:tr>
      <w:tr w14:paraId="28981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05CFA8D4">
            <w:pPr>
              <w:widowControl/>
              <w:jc w:val="center"/>
              <w:rPr>
                <w:b/>
                <w:bCs/>
                <w:color w:val="auto"/>
                <w:kern w:val="0"/>
                <w:szCs w:val="21"/>
              </w:rPr>
            </w:pPr>
            <w:r>
              <w:rPr>
                <w:b/>
                <w:bCs/>
                <w:color w:val="auto"/>
                <w:kern w:val="0"/>
                <w:szCs w:val="21"/>
              </w:rPr>
              <w:t>三、生态监测</w:t>
            </w:r>
          </w:p>
        </w:tc>
        <w:tc>
          <w:tcPr>
            <w:tcW w:w="1050" w:type="dxa"/>
            <w:tcBorders>
              <w:tl2br w:val="nil"/>
              <w:tr2bl w:val="nil"/>
            </w:tcBorders>
            <w:vAlign w:val="center"/>
          </w:tcPr>
          <w:p w14:paraId="0A8C6F43">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48951131">
            <w:pPr>
              <w:widowControl/>
              <w:jc w:val="center"/>
              <w:rPr>
                <w:b/>
                <w:bCs/>
                <w:color w:val="auto"/>
                <w:kern w:val="0"/>
                <w:szCs w:val="21"/>
              </w:rPr>
            </w:pPr>
            <w:r>
              <w:rPr>
                <w:b/>
                <w:bCs/>
                <w:color w:val="auto"/>
                <w:kern w:val="0"/>
                <w:szCs w:val="21"/>
              </w:rPr>
              <w:t>50</w:t>
            </w:r>
          </w:p>
        </w:tc>
        <w:tc>
          <w:tcPr>
            <w:tcW w:w="4361" w:type="dxa"/>
            <w:tcBorders>
              <w:tl2br w:val="nil"/>
              <w:tr2bl w:val="nil"/>
            </w:tcBorders>
            <w:vAlign w:val="center"/>
          </w:tcPr>
          <w:p w14:paraId="19C152F4">
            <w:pPr>
              <w:widowControl/>
              <w:ind w:firstLine="420" w:firstLineChars="200"/>
              <w:rPr>
                <w:color w:val="auto"/>
                <w:kern w:val="0"/>
                <w:szCs w:val="21"/>
              </w:rPr>
            </w:pPr>
          </w:p>
        </w:tc>
      </w:tr>
      <w:tr w14:paraId="27296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6EFA68B2">
            <w:pPr>
              <w:widowControl/>
              <w:jc w:val="center"/>
              <w:rPr>
                <w:color w:val="auto"/>
                <w:kern w:val="0"/>
                <w:szCs w:val="21"/>
              </w:rPr>
            </w:pPr>
            <w:r>
              <w:rPr>
                <w:color w:val="auto"/>
                <w:kern w:val="0"/>
                <w:szCs w:val="21"/>
              </w:rPr>
              <w:t>1.陆生植物监测</w:t>
            </w:r>
          </w:p>
        </w:tc>
        <w:tc>
          <w:tcPr>
            <w:tcW w:w="1050" w:type="dxa"/>
            <w:tcBorders>
              <w:tl2br w:val="nil"/>
              <w:tr2bl w:val="nil"/>
            </w:tcBorders>
            <w:vAlign w:val="center"/>
          </w:tcPr>
          <w:p w14:paraId="178F552D">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70C35106">
            <w:pPr>
              <w:widowControl/>
              <w:jc w:val="center"/>
              <w:rPr>
                <w:color w:val="auto"/>
                <w:kern w:val="0"/>
                <w:szCs w:val="21"/>
              </w:rPr>
            </w:pPr>
            <w:r>
              <w:rPr>
                <w:color w:val="auto"/>
                <w:kern w:val="0"/>
                <w:szCs w:val="21"/>
              </w:rPr>
              <w:t>15</w:t>
            </w:r>
          </w:p>
        </w:tc>
        <w:tc>
          <w:tcPr>
            <w:tcW w:w="4361" w:type="dxa"/>
            <w:tcBorders>
              <w:tl2br w:val="nil"/>
              <w:tr2bl w:val="nil"/>
            </w:tcBorders>
            <w:vAlign w:val="center"/>
          </w:tcPr>
          <w:p w14:paraId="10083D6E">
            <w:pPr>
              <w:widowControl/>
              <w:ind w:firstLine="420" w:firstLineChars="200"/>
              <w:rPr>
                <w:color w:val="auto"/>
                <w:kern w:val="0"/>
                <w:szCs w:val="21"/>
              </w:rPr>
            </w:pPr>
            <w:r>
              <w:rPr>
                <w:color w:val="auto"/>
                <w:kern w:val="0"/>
                <w:szCs w:val="21"/>
              </w:rPr>
              <w:t>在工程占用的洲滩和河床两岸进行湿生植物监测。</w:t>
            </w:r>
          </w:p>
        </w:tc>
      </w:tr>
      <w:tr w14:paraId="0A9FC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7B79EC98">
            <w:pPr>
              <w:widowControl/>
              <w:jc w:val="center"/>
              <w:rPr>
                <w:color w:val="auto"/>
                <w:kern w:val="0"/>
                <w:szCs w:val="21"/>
              </w:rPr>
            </w:pPr>
            <w:r>
              <w:rPr>
                <w:color w:val="auto"/>
                <w:kern w:val="0"/>
                <w:szCs w:val="21"/>
              </w:rPr>
              <w:t>2.陆生动物监测</w:t>
            </w:r>
          </w:p>
        </w:tc>
        <w:tc>
          <w:tcPr>
            <w:tcW w:w="1050" w:type="dxa"/>
            <w:tcBorders>
              <w:tl2br w:val="nil"/>
              <w:tr2bl w:val="nil"/>
            </w:tcBorders>
            <w:vAlign w:val="center"/>
          </w:tcPr>
          <w:p w14:paraId="0F7674E3">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4E6EF112">
            <w:pPr>
              <w:widowControl/>
              <w:jc w:val="center"/>
              <w:rPr>
                <w:color w:val="auto"/>
                <w:kern w:val="0"/>
                <w:szCs w:val="21"/>
              </w:rPr>
            </w:pPr>
            <w:r>
              <w:rPr>
                <w:color w:val="auto"/>
                <w:kern w:val="0"/>
                <w:szCs w:val="21"/>
              </w:rPr>
              <w:t>15</w:t>
            </w:r>
          </w:p>
        </w:tc>
        <w:tc>
          <w:tcPr>
            <w:tcW w:w="4361" w:type="dxa"/>
            <w:tcBorders>
              <w:tl2br w:val="nil"/>
              <w:tr2bl w:val="nil"/>
            </w:tcBorders>
            <w:vAlign w:val="center"/>
          </w:tcPr>
          <w:p w14:paraId="112319C2">
            <w:pPr>
              <w:widowControl/>
              <w:ind w:firstLine="420" w:firstLineChars="200"/>
              <w:rPr>
                <w:color w:val="auto"/>
                <w:kern w:val="0"/>
                <w:szCs w:val="21"/>
              </w:rPr>
            </w:pPr>
            <w:r>
              <w:rPr>
                <w:color w:val="auto"/>
                <w:kern w:val="0"/>
                <w:szCs w:val="21"/>
              </w:rPr>
              <w:t>在工程占用的洲滩附近沿岸进行陆生动物监测。</w:t>
            </w:r>
          </w:p>
        </w:tc>
      </w:tr>
      <w:tr w14:paraId="3FAC1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2FDF287D">
            <w:pPr>
              <w:widowControl/>
              <w:jc w:val="center"/>
              <w:rPr>
                <w:color w:val="auto"/>
                <w:kern w:val="0"/>
                <w:szCs w:val="21"/>
              </w:rPr>
            </w:pPr>
            <w:r>
              <w:rPr>
                <w:color w:val="auto"/>
                <w:kern w:val="0"/>
                <w:szCs w:val="21"/>
              </w:rPr>
              <w:t>3.水生生物监测</w:t>
            </w:r>
          </w:p>
        </w:tc>
        <w:tc>
          <w:tcPr>
            <w:tcW w:w="1050" w:type="dxa"/>
            <w:tcBorders>
              <w:tl2br w:val="nil"/>
              <w:tr2bl w:val="nil"/>
            </w:tcBorders>
            <w:vAlign w:val="center"/>
          </w:tcPr>
          <w:p w14:paraId="1F211383">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52F642BC">
            <w:pPr>
              <w:widowControl/>
              <w:jc w:val="center"/>
              <w:rPr>
                <w:color w:val="auto"/>
                <w:kern w:val="0"/>
                <w:szCs w:val="21"/>
              </w:rPr>
            </w:pPr>
            <w:r>
              <w:rPr>
                <w:color w:val="auto"/>
                <w:kern w:val="0"/>
                <w:szCs w:val="21"/>
              </w:rPr>
              <w:t>20</w:t>
            </w:r>
          </w:p>
        </w:tc>
        <w:tc>
          <w:tcPr>
            <w:tcW w:w="4361" w:type="dxa"/>
            <w:tcBorders>
              <w:tl2br w:val="nil"/>
              <w:tr2bl w:val="nil"/>
            </w:tcBorders>
            <w:vAlign w:val="center"/>
          </w:tcPr>
          <w:p w14:paraId="4C6AFE56">
            <w:pPr>
              <w:widowControl/>
              <w:ind w:firstLine="420" w:firstLineChars="200"/>
              <w:rPr>
                <w:color w:val="auto"/>
                <w:kern w:val="0"/>
                <w:szCs w:val="21"/>
              </w:rPr>
            </w:pPr>
            <w:r>
              <w:rPr>
                <w:color w:val="auto"/>
                <w:kern w:val="0"/>
                <w:szCs w:val="21"/>
              </w:rPr>
              <w:t>施工期和运营期应在鱼塘进行浮游生物、底栖动物、水生维管植物、鱼类种群动态、鱼类产卵场等动态监测。</w:t>
            </w:r>
          </w:p>
        </w:tc>
      </w:tr>
      <w:tr w14:paraId="7E9F7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477491FA">
            <w:pPr>
              <w:widowControl/>
              <w:jc w:val="center"/>
              <w:rPr>
                <w:b/>
                <w:bCs/>
                <w:color w:val="auto"/>
                <w:kern w:val="0"/>
                <w:szCs w:val="21"/>
              </w:rPr>
            </w:pPr>
            <w:r>
              <w:rPr>
                <w:b/>
                <w:bCs/>
                <w:color w:val="auto"/>
                <w:kern w:val="0"/>
                <w:szCs w:val="21"/>
              </w:rPr>
              <w:t>四、施工期管理</w:t>
            </w:r>
          </w:p>
        </w:tc>
        <w:tc>
          <w:tcPr>
            <w:tcW w:w="1050" w:type="dxa"/>
            <w:tcBorders>
              <w:tl2br w:val="nil"/>
              <w:tr2bl w:val="nil"/>
            </w:tcBorders>
            <w:vAlign w:val="center"/>
          </w:tcPr>
          <w:p w14:paraId="5E110F6A">
            <w:pPr>
              <w:widowControl/>
              <w:jc w:val="center"/>
              <w:rPr>
                <w:color w:val="auto"/>
                <w:kern w:val="0"/>
                <w:szCs w:val="21"/>
              </w:rPr>
            </w:pPr>
          </w:p>
        </w:tc>
        <w:tc>
          <w:tcPr>
            <w:tcW w:w="1323" w:type="dxa"/>
            <w:tcBorders>
              <w:tl2br w:val="nil"/>
              <w:tr2bl w:val="nil"/>
            </w:tcBorders>
            <w:vAlign w:val="center"/>
          </w:tcPr>
          <w:p w14:paraId="4F894F6A">
            <w:pPr>
              <w:widowControl/>
              <w:jc w:val="center"/>
              <w:rPr>
                <w:b/>
                <w:bCs/>
                <w:color w:val="auto"/>
                <w:kern w:val="0"/>
                <w:szCs w:val="21"/>
              </w:rPr>
            </w:pPr>
            <w:r>
              <w:rPr>
                <w:b/>
                <w:bCs/>
                <w:color w:val="auto"/>
                <w:kern w:val="0"/>
                <w:szCs w:val="21"/>
              </w:rPr>
              <w:t>10</w:t>
            </w:r>
          </w:p>
        </w:tc>
        <w:tc>
          <w:tcPr>
            <w:tcW w:w="4361" w:type="dxa"/>
            <w:tcBorders>
              <w:tl2br w:val="nil"/>
              <w:tr2bl w:val="nil"/>
            </w:tcBorders>
            <w:vAlign w:val="center"/>
          </w:tcPr>
          <w:p w14:paraId="61B883A7">
            <w:pPr>
              <w:widowControl/>
              <w:ind w:firstLine="420" w:firstLineChars="200"/>
              <w:rPr>
                <w:color w:val="auto"/>
                <w:kern w:val="0"/>
                <w:szCs w:val="21"/>
              </w:rPr>
            </w:pPr>
          </w:p>
        </w:tc>
      </w:tr>
      <w:tr w14:paraId="2182A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46C9C71F">
            <w:pPr>
              <w:widowControl/>
              <w:jc w:val="center"/>
              <w:rPr>
                <w:color w:val="auto"/>
                <w:kern w:val="0"/>
                <w:szCs w:val="21"/>
              </w:rPr>
            </w:pPr>
            <w:r>
              <w:rPr>
                <w:color w:val="auto"/>
                <w:kern w:val="0"/>
                <w:szCs w:val="21"/>
              </w:rPr>
              <w:t>1.施工期管理</w:t>
            </w:r>
          </w:p>
        </w:tc>
        <w:tc>
          <w:tcPr>
            <w:tcW w:w="1050" w:type="dxa"/>
            <w:tcBorders>
              <w:tl2br w:val="nil"/>
              <w:tr2bl w:val="nil"/>
            </w:tcBorders>
            <w:vAlign w:val="center"/>
          </w:tcPr>
          <w:p w14:paraId="45E8D74A">
            <w:pPr>
              <w:widowControl/>
              <w:jc w:val="center"/>
              <w:rPr>
                <w:color w:val="auto"/>
                <w:kern w:val="0"/>
                <w:szCs w:val="21"/>
              </w:rPr>
            </w:pPr>
            <w:r>
              <w:rPr>
                <w:color w:val="auto"/>
                <w:kern w:val="0"/>
                <w:szCs w:val="21"/>
              </w:rPr>
              <w:t>4</w:t>
            </w:r>
          </w:p>
        </w:tc>
        <w:tc>
          <w:tcPr>
            <w:tcW w:w="1323" w:type="dxa"/>
            <w:tcBorders>
              <w:tl2br w:val="nil"/>
              <w:tr2bl w:val="nil"/>
            </w:tcBorders>
            <w:vAlign w:val="center"/>
          </w:tcPr>
          <w:p w14:paraId="1098025C">
            <w:pPr>
              <w:widowControl/>
              <w:jc w:val="center"/>
              <w:rPr>
                <w:color w:val="auto"/>
                <w:kern w:val="0"/>
                <w:szCs w:val="21"/>
              </w:rPr>
            </w:pPr>
            <w:r>
              <w:rPr>
                <w:color w:val="auto"/>
                <w:kern w:val="0"/>
                <w:szCs w:val="21"/>
              </w:rPr>
              <w:t>4</w:t>
            </w:r>
          </w:p>
        </w:tc>
        <w:tc>
          <w:tcPr>
            <w:tcW w:w="4361" w:type="dxa"/>
            <w:tcBorders>
              <w:tl2br w:val="nil"/>
              <w:tr2bl w:val="nil"/>
            </w:tcBorders>
            <w:vAlign w:val="center"/>
          </w:tcPr>
          <w:p w14:paraId="329F3A0C">
            <w:pPr>
              <w:widowControl/>
              <w:ind w:firstLine="420" w:firstLineChars="200"/>
              <w:rPr>
                <w:color w:val="auto"/>
                <w:kern w:val="0"/>
                <w:szCs w:val="21"/>
              </w:rPr>
            </w:pPr>
            <w:r>
              <w:rPr>
                <w:color w:val="auto"/>
                <w:kern w:val="0"/>
                <w:szCs w:val="21"/>
              </w:rPr>
              <w:t>设置宣传栏、印刷宣传单、宣传海报等</w:t>
            </w:r>
          </w:p>
        </w:tc>
      </w:tr>
      <w:tr w14:paraId="78DFC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2B85D4DF">
            <w:pPr>
              <w:widowControl/>
              <w:jc w:val="center"/>
              <w:rPr>
                <w:color w:val="auto"/>
                <w:kern w:val="0"/>
                <w:szCs w:val="21"/>
              </w:rPr>
            </w:pPr>
            <w:r>
              <w:rPr>
                <w:color w:val="auto"/>
                <w:kern w:val="0"/>
                <w:szCs w:val="21"/>
              </w:rPr>
              <w:t>2.渔政管理</w:t>
            </w:r>
          </w:p>
        </w:tc>
        <w:tc>
          <w:tcPr>
            <w:tcW w:w="1050" w:type="dxa"/>
            <w:tcBorders>
              <w:tl2br w:val="nil"/>
              <w:tr2bl w:val="nil"/>
            </w:tcBorders>
            <w:vAlign w:val="center"/>
          </w:tcPr>
          <w:p w14:paraId="4844269C">
            <w:pPr>
              <w:widowControl/>
              <w:jc w:val="center"/>
              <w:rPr>
                <w:color w:val="auto"/>
                <w:kern w:val="0"/>
                <w:szCs w:val="21"/>
              </w:rPr>
            </w:pPr>
            <w:r>
              <w:rPr>
                <w:color w:val="auto"/>
                <w:kern w:val="0"/>
                <w:szCs w:val="21"/>
              </w:rPr>
              <w:t>5</w:t>
            </w:r>
          </w:p>
        </w:tc>
        <w:tc>
          <w:tcPr>
            <w:tcW w:w="1323" w:type="dxa"/>
            <w:tcBorders>
              <w:tl2br w:val="nil"/>
              <w:tr2bl w:val="nil"/>
            </w:tcBorders>
            <w:vAlign w:val="center"/>
          </w:tcPr>
          <w:p w14:paraId="7989FFF7">
            <w:pPr>
              <w:widowControl/>
              <w:jc w:val="center"/>
              <w:rPr>
                <w:color w:val="auto"/>
                <w:kern w:val="0"/>
                <w:szCs w:val="21"/>
              </w:rPr>
            </w:pPr>
            <w:r>
              <w:rPr>
                <w:color w:val="auto"/>
                <w:kern w:val="0"/>
                <w:szCs w:val="21"/>
              </w:rPr>
              <w:t>6</w:t>
            </w:r>
          </w:p>
        </w:tc>
        <w:tc>
          <w:tcPr>
            <w:tcW w:w="4361" w:type="dxa"/>
            <w:tcBorders>
              <w:tl2br w:val="nil"/>
              <w:tr2bl w:val="nil"/>
            </w:tcBorders>
            <w:vAlign w:val="center"/>
          </w:tcPr>
          <w:p w14:paraId="3E2DAA01">
            <w:pPr>
              <w:widowControl/>
              <w:ind w:firstLine="420" w:firstLineChars="200"/>
              <w:rPr>
                <w:color w:val="auto"/>
                <w:kern w:val="0"/>
                <w:szCs w:val="21"/>
              </w:rPr>
            </w:pPr>
            <w:r>
              <w:rPr>
                <w:color w:val="auto"/>
                <w:kern w:val="0"/>
                <w:szCs w:val="21"/>
              </w:rPr>
              <w:t>配备必要的救护设备。临时救护设备包括：运输设备、增氧设备、药品等医疗卫生设备、各种网具等。</w:t>
            </w:r>
          </w:p>
        </w:tc>
      </w:tr>
      <w:tr w14:paraId="4100E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tcBorders>
              <w:tl2br w:val="nil"/>
              <w:tr2bl w:val="nil"/>
            </w:tcBorders>
            <w:vAlign w:val="center"/>
          </w:tcPr>
          <w:p w14:paraId="3C83070B">
            <w:pPr>
              <w:widowControl/>
              <w:jc w:val="center"/>
              <w:rPr>
                <w:b/>
                <w:bCs/>
                <w:color w:val="auto"/>
                <w:kern w:val="0"/>
                <w:szCs w:val="21"/>
              </w:rPr>
            </w:pPr>
            <w:r>
              <w:rPr>
                <w:b/>
                <w:bCs/>
                <w:color w:val="auto"/>
                <w:kern w:val="0"/>
                <w:szCs w:val="21"/>
              </w:rPr>
              <w:t>合计</w:t>
            </w:r>
          </w:p>
        </w:tc>
        <w:tc>
          <w:tcPr>
            <w:tcW w:w="1050" w:type="dxa"/>
            <w:tcBorders>
              <w:tl2br w:val="nil"/>
              <w:tr2bl w:val="nil"/>
            </w:tcBorders>
            <w:vAlign w:val="center"/>
          </w:tcPr>
          <w:p w14:paraId="09B20EBC">
            <w:pPr>
              <w:widowControl/>
              <w:jc w:val="center"/>
              <w:rPr>
                <w:color w:val="auto"/>
                <w:kern w:val="0"/>
                <w:szCs w:val="21"/>
              </w:rPr>
            </w:pPr>
          </w:p>
        </w:tc>
        <w:tc>
          <w:tcPr>
            <w:tcW w:w="1323" w:type="dxa"/>
            <w:tcBorders>
              <w:tl2br w:val="nil"/>
              <w:tr2bl w:val="nil"/>
            </w:tcBorders>
            <w:vAlign w:val="center"/>
          </w:tcPr>
          <w:p w14:paraId="0EEBFEB1">
            <w:pPr>
              <w:widowControl/>
              <w:jc w:val="center"/>
              <w:rPr>
                <w:b/>
                <w:bCs/>
                <w:color w:val="auto"/>
                <w:kern w:val="0"/>
                <w:szCs w:val="21"/>
              </w:rPr>
            </w:pPr>
            <w:r>
              <w:rPr>
                <w:b/>
                <w:bCs/>
                <w:color w:val="auto"/>
                <w:kern w:val="0"/>
                <w:szCs w:val="21"/>
              </w:rPr>
              <w:t>120</w:t>
            </w:r>
          </w:p>
        </w:tc>
        <w:tc>
          <w:tcPr>
            <w:tcW w:w="4361" w:type="dxa"/>
            <w:tcBorders>
              <w:tl2br w:val="nil"/>
              <w:tr2bl w:val="nil"/>
            </w:tcBorders>
            <w:vAlign w:val="center"/>
          </w:tcPr>
          <w:p w14:paraId="0E968F37">
            <w:pPr>
              <w:widowControl/>
              <w:ind w:firstLine="420" w:firstLineChars="200"/>
              <w:rPr>
                <w:color w:val="auto"/>
                <w:kern w:val="0"/>
                <w:szCs w:val="21"/>
              </w:rPr>
            </w:pPr>
            <w:r>
              <w:rPr>
                <w:color w:val="auto"/>
                <w:kern w:val="0"/>
                <w:szCs w:val="21"/>
              </w:rPr>
              <w:t>项目生态环境影响的生态保护经费包括水域生态修复、增殖放流、生态监测、强化管理等。</w:t>
            </w:r>
          </w:p>
        </w:tc>
      </w:tr>
    </w:tbl>
    <w:p w14:paraId="5B770098">
      <w:pPr>
        <w:spacing w:line="360" w:lineRule="auto"/>
        <w:ind w:firstLine="480" w:firstLineChars="200"/>
        <w:rPr>
          <w:rFonts w:eastAsiaTheme="minorEastAsia"/>
          <w:color w:val="auto"/>
          <w:kern w:val="0"/>
          <w:sz w:val="24"/>
        </w:rPr>
      </w:pPr>
    </w:p>
    <w:p w14:paraId="7F5EBC41">
      <w:pPr>
        <w:spacing w:line="360" w:lineRule="auto"/>
        <w:ind w:firstLine="480" w:firstLineChars="200"/>
        <w:jc w:val="left"/>
        <w:rPr>
          <w:rFonts w:eastAsiaTheme="minorEastAsia"/>
          <w:color w:val="auto"/>
          <w:kern w:val="0"/>
          <w:sz w:val="24"/>
        </w:rPr>
      </w:pPr>
    </w:p>
    <w:p w14:paraId="7068FF2C">
      <w:pPr>
        <w:pStyle w:val="81"/>
        <w:widowControl w:val="0"/>
        <w:spacing w:beforeLines="0" w:afterLines="0"/>
        <w:ind w:left="0"/>
        <w:rPr>
          <w:rFonts w:ascii="Times New Roman" w:hAnsi="Times New Roman" w:cs="Times New Roman"/>
          <w:color w:val="auto"/>
        </w:rPr>
        <w:sectPr>
          <w:headerReference r:id="rId21" w:type="default"/>
          <w:footerReference r:id="rId22" w:type="default"/>
          <w:pgSz w:w="11907" w:h="16840"/>
          <w:pgMar w:top="1440" w:right="1803" w:bottom="1440" w:left="1803" w:header="851" w:footer="992" w:gutter="0"/>
          <w:cols w:space="720" w:num="1"/>
          <w:docGrid w:linePitch="312" w:charSpace="0"/>
        </w:sectPr>
      </w:pPr>
    </w:p>
    <w:p w14:paraId="07123B0A">
      <w:pPr>
        <w:pStyle w:val="81"/>
        <w:widowControl w:val="0"/>
        <w:spacing w:beforeLines="0" w:afterLines="0" w:line="240" w:lineRule="auto"/>
        <w:ind w:left="0"/>
        <w:rPr>
          <w:rFonts w:ascii="Times New Roman" w:hAnsi="Times New Roman" w:cs="Times New Roman"/>
          <w:color w:val="auto"/>
        </w:rPr>
      </w:pPr>
      <w:bookmarkStart w:id="202" w:name="_Toc32342"/>
      <w:r>
        <w:rPr>
          <w:rFonts w:hint="eastAsia" w:ascii="Times New Roman" w:hAnsi="Times New Roman" w:cs="Times New Roman"/>
          <w:color w:val="auto"/>
        </w:rPr>
        <w:t>7</w:t>
      </w:r>
      <w:r>
        <w:rPr>
          <w:rFonts w:ascii="Times New Roman" w:hAnsi="Times New Roman" w:cs="Times New Roman"/>
          <w:color w:val="auto"/>
        </w:rPr>
        <w:t>结论与建议</w:t>
      </w:r>
      <w:bookmarkEnd w:id="202"/>
    </w:p>
    <w:p w14:paraId="616FB271">
      <w:pPr>
        <w:pStyle w:val="82"/>
        <w:widowControl w:val="0"/>
        <w:spacing w:line="360" w:lineRule="auto"/>
        <w:outlineLvl w:val="1"/>
        <w:rPr>
          <w:rFonts w:ascii="Times New Roman" w:hAnsi="Times New Roman" w:eastAsia="宋体" w:cs="Times New Roman"/>
          <w:b/>
          <w:color w:val="auto"/>
          <w:sz w:val="30"/>
          <w:szCs w:val="30"/>
        </w:rPr>
      </w:pPr>
      <w:bookmarkStart w:id="203" w:name="_Toc27638"/>
      <w:bookmarkStart w:id="204" w:name="_Toc472494293"/>
      <w:bookmarkStart w:id="205" w:name="_Toc40364428"/>
      <w:bookmarkStart w:id="206" w:name="_Toc22230"/>
      <w:bookmarkStart w:id="207" w:name="_Toc31702"/>
      <w:bookmarkStart w:id="208" w:name="_Toc128081802"/>
      <w:bookmarkStart w:id="209" w:name="_Toc19282"/>
      <w:bookmarkStart w:id="210" w:name="_Toc19447"/>
      <w:r>
        <w:rPr>
          <w:rFonts w:hint="eastAsia" w:ascii="Times New Roman" w:hAnsi="Times New Roman" w:eastAsia="宋体" w:cs="Times New Roman"/>
          <w:b/>
          <w:color w:val="auto"/>
          <w:sz w:val="30"/>
          <w:szCs w:val="30"/>
        </w:rPr>
        <w:t>7</w:t>
      </w:r>
      <w:r>
        <w:rPr>
          <w:rFonts w:ascii="Times New Roman" w:hAnsi="Times New Roman" w:eastAsia="宋体" w:cs="Times New Roman"/>
          <w:b/>
          <w:color w:val="auto"/>
          <w:sz w:val="30"/>
          <w:szCs w:val="30"/>
        </w:rPr>
        <w:t>.1结论</w:t>
      </w:r>
      <w:bookmarkEnd w:id="203"/>
      <w:bookmarkEnd w:id="204"/>
      <w:bookmarkEnd w:id="205"/>
      <w:bookmarkEnd w:id="206"/>
    </w:p>
    <w:p w14:paraId="151D81A7">
      <w:pPr>
        <w:spacing w:line="360" w:lineRule="auto"/>
        <w:ind w:firstLine="480" w:firstLineChars="200"/>
        <w:rPr>
          <w:color w:val="auto"/>
          <w:kern w:val="0"/>
          <w:sz w:val="24"/>
        </w:rPr>
      </w:pPr>
      <w:bookmarkStart w:id="211" w:name="_Toc472494295"/>
      <w:r>
        <w:rPr>
          <w:color w:val="auto"/>
          <w:kern w:val="0"/>
          <w:sz w:val="24"/>
        </w:rPr>
        <w:t>评价区生态系统可分为自然的森林生态系统、草地生态系统、湿地生态系统及半自然的农田生态系统和人工的城镇生态系统。评价区植物区系属东亚植物区—中国-日本森林植物亚区—华东地区—江汉平原亚地区。整个评价区内共有维管植物72科182属243种（含种下单位），其中蕨类植物6科7属8种；裸子植物2科3属3种（均系引种栽培）；被子植物64科172属232种。</w:t>
      </w:r>
    </w:p>
    <w:p w14:paraId="2803AD06">
      <w:pPr>
        <w:widowControl/>
        <w:spacing w:line="360" w:lineRule="auto"/>
        <w:ind w:firstLine="480" w:firstLineChars="200"/>
        <w:jc w:val="left"/>
        <w:rPr>
          <w:color w:val="auto"/>
          <w:kern w:val="0"/>
          <w:sz w:val="24"/>
        </w:rPr>
      </w:pPr>
      <w:r>
        <w:rPr>
          <w:color w:val="auto"/>
          <w:kern w:val="0"/>
          <w:sz w:val="24"/>
        </w:rPr>
        <w:t>评价区属于亚热带东部湿润常绿阔叶林区域——中亚热带常绿阔叶林地带——两湖平原，栽培植被、水生植被区，评价区内的自然植被可划分为4个植被型组、5个植被型和10个群系。根据实地调查，评价区内未发现国家重点保护野生植物，未发现珍稀濒危植物、未发现古树名木。</w:t>
      </w:r>
    </w:p>
    <w:p w14:paraId="3011925A">
      <w:pPr>
        <w:spacing w:line="360" w:lineRule="auto"/>
        <w:ind w:firstLine="480" w:firstLineChars="200"/>
        <w:rPr>
          <w:color w:val="auto"/>
          <w:kern w:val="0"/>
          <w:sz w:val="24"/>
        </w:rPr>
      </w:pPr>
      <w:r>
        <w:rPr>
          <w:color w:val="auto"/>
          <w:kern w:val="0"/>
          <w:sz w:val="24"/>
        </w:rPr>
        <w:t>本工程评价区动物地理区划属东洋界—华中区—东部丘陵平原亚区—长江沿岸平原省—农田湿地动物群。评价区内共记录野生动物218种，隶属于43目87科。其中，两栖类10种，隶属于1目5科；爬行类13种，隶属于1目8科；鸟类114种，隶属于14目39科；哺乳类12种，隶属于5目8科；鱼类25种，隶属于6目7科；底栖类44种，隶属于13目18科。</w:t>
      </w:r>
    </w:p>
    <w:p w14:paraId="2D285200">
      <w:pPr>
        <w:adjustRightInd w:val="0"/>
        <w:snapToGrid w:val="0"/>
        <w:spacing w:line="360" w:lineRule="auto"/>
        <w:ind w:firstLine="480" w:firstLineChars="200"/>
        <w:rPr>
          <w:color w:val="auto"/>
          <w:kern w:val="0"/>
          <w:sz w:val="24"/>
        </w:rPr>
      </w:pPr>
      <w:r>
        <w:rPr>
          <w:color w:val="auto"/>
          <w:kern w:val="0"/>
          <w:sz w:val="24"/>
        </w:rPr>
        <w:t>评价区检出底栖动物有4大类，共62种，其中水生昆虫和软体动物为优势种群，环节动物和甲壳动物次之。寡毛类及水生昆虫17种，其平均密度986.03个/m</w:t>
      </w:r>
      <w:r>
        <w:rPr>
          <w:color w:val="auto"/>
          <w:kern w:val="0"/>
          <w:sz w:val="24"/>
          <w:vertAlign w:val="superscript"/>
        </w:rPr>
        <w:t>2</w:t>
      </w:r>
      <w:r>
        <w:rPr>
          <w:color w:val="auto"/>
          <w:kern w:val="0"/>
          <w:sz w:val="24"/>
        </w:rPr>
        <w:t>，平均生物量为0.9398g/m</w:t>
      </w:r>
      <w:r>
        <w:rPr>
          <w:color w:val="auto"/>
          <w:kern w:val="0"/>
          <w:sz w:val="24"/>
          <w:vertAlign w:val="superscript"/>
        </w:rPr>
        <w:t>2</w:t>
      </w:r>
      <w:r>
        <w:rPr>
          <w:color w:val="auto"/>
          <w:kern w:val="0"/>
          <w:sz w:val="24"/>
        </w:rPr>
        <w:t>。有单壳类软体动物10种，分别隶属于腹足纲的3科6属，其优势种群为环棱螺；有双壳类软体动物25种，分别隶属于瓣鳃纲的3科13属，其优势种群为三角帆蚌、丽蚌、河蚬等，底栖软体动物平均生物量为38.92g/m</w:t>
      </w:r>
      <w:r>
        <w:rPr>
          <w:color w:val="auto"/>
          <w:kern w:val="0"/>
          <w:sz w:val="24"/>
          <w:vertAlign w:val="superscript"/>
        </w:rPr>
        <w:t>2</w:t>
      </w:r>
      <w:r>
        <w:rPr>
          <w:color w:val="auto"/>
          <w:kern w:val="0"/>
          <w:sz w:val="24"/>
        </w:rPr>
        <w:t>。虾蟹共10种，游泳亚目虾类6种，分属2科3属，其优势种群为青虾、秀丽白虾；爬行亚目虾类1种，即克氏螯虾，为优势种；有爬行亚目蟹类3种，分属2科2属，其中优势种群为锯齿溪蟹。</w:t>
      </w:r>
    </w:p>
    <w:p w14:paraId="7EDE9287">
      <w:pPr>
        <w:spacing w:line="360" w:lineRule="auto"/>
        <w:ind w:firstLine="480" w:firstLineChars="200"/>
        <w:rPr>
          <w:color w:val="auto"/>
          <w:kern w:val="0"/>
          <w:sz w:val="24"/>
        </w:rPr>
      </w:pPr>
      <w:r>
        <w:rPr>
          <w:color w:val="auto"/>
          <w:kern w:val="0"/>
          <w:sz w:val="24"/>
        </w:rPr>
        <w:t>评价区共记录鱼类25种，隶属于6目7科21属，其中鲤形目鱼类最多，共18种，占评价区鱼类总数的72%；攀鲈目和鰕鯱目次之，有2科2属2种，占总物种数的8%；鲇形目、合鳃鱼目和鲈形目各1种，各占总物种数的4%。</w:t>
      </w:r>
    </w:p>
    <w:p w14:paraId="3BA83EA7">
      <w:pPr>
        <w:widowControl/>
        <w:spacing w:line="360" w:lineRule="auto"/>
        <w:ind w:firstLine="480" w:firstLineChars="200"/>
        <w:jc w:val="left"/>
        <w:rPr>
          <w:color w:val="auto"/>
          <w:kern w:val="0"/>
          <w:sz w:val="24"/>
        </w:rPr>
      </w:pPr>
      <w:r>
        <w:rPr>
          <w:color w:val="auto"/>
          <w:kern w:val="0"/>
          <w:sz w:val="24"/>
        </w:rPr>
        <w:t>项目主要涉及2个生态敏感区，分别为湖南东洞庭湖国家级自然保护区、湖南东洞庭湖重要湿地，工程涉及湖南省生态保护红线。</w:t>
      </w:r>
    </w:p>
    <w:p w14:paraId="40785F04">
      <w:pPr>
        <w:widowControl/>
        <w:spacing w:line="360" w:lineRule="auto"/>
        <w:ind w:firstLine="480" w:firstLineChars="200"/>
        <w:jc w:val="left"/>
        <w:rPr>
          <w:color w:val="auto"/>
          <w:kern w:val="0"/>
          <w:sz w:val="24"/>
        </w:rPr>
      </w:pPr>
      <w:r>
        <w:rPr>
          <w:color w:val="auto"/>
          <w:kern w:val="0"/>
          <w:sz w:val="24"/>
        </w:rPr>
        <w:t>本工程对生态环境的影响主要表现为：工程占地、人为干扰、施工活动及施工活动产生的弃渣、废水、扬尘等，总体而言，工程对动植物的影响均较小。本工程在设计、施工期及与运营期间如采取积极有效的环境保护措施，落实本报告提出的意见和建议，可有效减小工程施工带来的负面影响。因此，从生态影响的角度分析，本项目是可行的。</w:t>
      </w:r>
    </w:p>
    <w:bookmarkEnd w:id="211"/>
    <w:p w14:paraId="64E1E7D4">
      <w:pPr>
        <w:pStyle w:val="82"/>
        <w:widowControl w:val="0"/>
        <w:spacing w:line="360" w:lineRule="auto"/>
        <w:outlineLvl w:val="1"/>
        <w:rPr>
          <w:rFonts w:ascii="Times New Roman" w:hAnsi="Times New Roman" w:eastAsia="宋体" w:cs="Times New Roman"/>
          <w:b/>
          <w:color w:val="auto"/>
          <w:sz w:val="30"/>
          <w:szCs w:val="30"/>
        </w:rPr>
      </w:pPr>
      <w:bookmarkStart w:id="212" w:name="_Toc40364429"/>
      <w:bookmarkStart w:id="213" w:name="_Toc31535"/>
      <w:bookmarkStart w:id="214" w:name="_Toc472494299"/>
      <w:bookmarkStart w:id="215" w:name="_Toc8514"/>
      <w:r>
        <w:rPr>
          <w:rFonts w:hint="eastAsia" w:ascii="Times New Roman" w:hAnsi="Times New Roman" w:eastAsia="宋体" w:cs="Times New Roman"/>
          <w:b/>
          <w:color w:val="auto"/>
          <w:sz w:val="30"/>
          <w:szCs w:val="30"/>
        </w:rPr>
        <w:t>7</w:t>
      </w:r>
      <w:r>
        <w:rPr>
          <w:rFonts w:ascii="Times New Roman" w:hAnsi="Times New Roman" w:eastAsia="宋体" w:cs="Times New Roman"/>
          <w:b/>
          <w:color w:val="auto"/>
          <w:sz w:val="30"/>
          <w:szCs w:val="30"/>
        </w:rPr>
        <w:t>.2建议</w:t>
      </w:r>
      <w:bookmarkEnd w:id="212"/>
      <w:bookmarkEnd w:id="213"/>
      <w:bookmarkEnd w:id="214"/>
      <w:bookmarkEnd w:id="215"/>
    </w:p>
    <w:p w14:paraId="4987A5E1">
      <w:pPr>
        <w:numPr>
          <w:ilvl w:val="0"/>
          <w:numId w:val="17"/>
        </w:numPr>
        <w:spacing w:line="360" w:lineRule="auto"/>
        <w:ind w:firstLine="480" w:firstLineChars="200"/>
        <w:jc w:val="left"/>
        <w:rPr>
          <w:color w:val="auto"/>
          <w:kern w:val="0"/>
          <w:sz w:val="24"/>
        </w:rPr>
      </w:pPr>
      <w:bookmarkStart w:id="216" w:name="_Toc435133876"/>
      <w:r>
        <w:rPr>
          <w:color w:val="auto"/>
          <w:kern w:val="0"/>
          <w:sz w:val="24"/>
        </w:rPr>
        <w:t>制定重要湿地修复方案，须采用乡土树草种，严禁使用外来物种。</w:t>
      </w:r>
    </w:p>
    <w:p w14:paraId="73F377DC">
      <w:pPr>
        <w:numPr>
          <w:ilvl w:val="0"/>
          <w:numId w:val="17"/>
        </w:numPr>
        <w:spacing w:line="360" w:lineRule="auto"/>
        <w:ind w:firstLine="480" w:firstLineChars="200"/>
        <w:jc w:val="left"/>
        <w:rPr>
          <w:color w:val="auto"/>
          <w:kern w:val="0"/>
          <w:sz w:val="24"/>
        </w:rPr>
      </w:pPr>
      <w:r>
        <w:rPr>
          <w:color w:val="auto"/>
          <w:kern w:val="0"/>
          <w:sz w:val="24"/>
        </w:rPr>
        <w:t>项目建成后，制定挺水植物、沉水植物收割方案，防止大量的腐烂植物残体对水域造成二次污染。</w:t>
      </w:r>
    </w:p>
    <w:p w14:paraId="5E4A2BEE">
      <w:pPr>
        <w:numPr>
          <w:ilvl w:val="0"/>
          <w:numId w:val="17"/>
        </w:numPr>
        <w:spacing w:line="360" w:lineRule="auto"/>
        <w:ind w:firstLine="480" w:firstLineChars="200"/>
        <w:jc w:val="left"/>
        <w:rPr>
          <w:color w:val="auto"/>
          <w:kern w:val="0"/>
          <w:sz w:val="24"/>
        </w:rPr>
      </w:pPr>
      <w:r>
        <w:rPr>
          <w:color w:val="auto"/>
          <w:kern w:val="0"/>
          <w:sz w:val="24"/>
        </w:rPr>
        <w:t>建设单位应在本工程实施后三至五年内组织开展生态调查评估，对工程实施后生态环境质量现状和变化趋势，实际产生的环境影响以及生态保护措施的有效性进行跟踪监测和验证评价，并提出补救方案或者改进措施。</w:t>
      </w:r>
    </w:p>
    <w:p w14:paraId="5E8430C9">
      <w:pPr>
        <w:spacing w:line="360" w:lineRule="auto"/>
        <w:ind w:firstLine="480" w:firstLineChars="200"/>
        <w:jc w:val="left"/>
        <w:rPr>
          <w:color w:val="auto"/>
          <w:kern w:val="0"/>
          <w:sz w:val="24"/>
        </w:rPr>
      </w:pPr>
      <w:r>
        <w:rPr>
          <w:color w:val="auto"/>
          <w:kern w:val="0"/>
          <w:sz w:val="24"/>
        </w:rPr>
        <w:t>（</w:t>
      </w:r>
      <w:r>
        <w:rPr>
          <w:rFonts w:hint="eastAsia"/>
          <w:color w:val="auto"/>
          <w:kern w:val="0"/>
          <w:sz w:val="24"/>
        </w:rPr>
        <w:t>4</w:t>
      </w:r>
      <w:r>
        <w:rPr>
          <w:color w:val="auto"/>
          <w:kern w:val="0"/>
          <w:sz w:val="24"/>
        </w:rPr>
        <w:t>）在项目建设过程中严格落实环保的各项要求的基础上，认真落实本报告的保护措施，及时做好生态恢复和生态保护措施资金到位，有序推进生态监测和监理工作。</w:t>
      </w:r>
      <w:bookmarkEnd w:id="216"/>
    </w:p>
    <w:bookmarkEnd w:id="207"/>
    <w:bookmarkEnd w:id="208"/>
    <w:bookmarkEnd w:id="209"/>
    <w:bookmarkEnd w:id="210"/>
    <w:p w14:paraId="10507B5E">
      <w:pPr>
        <w:rPr>
          <w:color w:val="auto"/>
        </w:rPr>
        <w:sectPr>
          <w:pgSz w:w="11906" w:h="16838"/>
          <w:pgMar w:top="1440" w:right="1800" w:bottom="1440" w:left="1800" w:header="851" w:footer="992" w:gutter="0"/>
          <w:cols w:space="425" w:num="1"/>
          <w:docGrid w:linePitch="312" w:charSpace="0"/>
        </w:sectPr>
      </w:pPr>
    </w:p>
    <w:p w14:paraId="70757899">
      <w:pPr>
        <w:widowControl/>
        <w:kinsoku w:val="0"/>
        <w:autoSpaceDE w:val="0"/>
        <w:autoSpaceDN w:val="0"/>
        <w:adjustRightInd w:val="0"/>
        <w:snapToGrid w:val="0"/>
        <w:spacing w:before="133" w:line="223" w:lineRule="auto"/>
        <w:ind w:left="129"/>
        <w:jc w:val="center"/>
        <w:textAlignment w:val="baseline"/>
        <w:outlineLvl w:val="2"/>
        <w:rPr>
          <w:rFonts w:ascii="Arial" w:hAnsi="Arial" w:eastAsia="Arial" w:cs="Arial"/>
          <w:snapToGrid w:val="0"/>
          <w:color w:val="auto"/>
          <w:kern w:val="0"/>
          <w:szCs w:val="21"/>
          <w:lang w:eastAsia="en-US"/>
        </w:rPr>
      </w:pPr>
      <w:r>
        <w:rPr>
          <w:rFonts w:hint="eastAsia" w:ascii="宋体" w:hAnsi="宋体" w:cs="宋体"/>
          <w:b/>
          <w:bCs/>
          <w:snapToGrid w:val="0"/>
          <w:color w:val="auto"/>
          <w:spacing w:val="5"/>
          <w:kern w:val="0"/>
          <w:sz w:val="35"/>
          <w:szCs w:val="35"/>
          <w:lang w:val="en-US" w:eastAsia="zh-CN"/>
        </w:rPr>
        <w:t>附表1：</w:t>
      </w:r>
      <w:r>
        <w:rPr>
          <w:rFonts w:ascii="宋体" w:hAnsi="宋体" w:cs="宋体"/>
          <w:b/>
          <w:bCs/>
          <w:snapToGrid w:val="0"/>
          <w:color w:val="auto"/>
          <w:spacing w:val="5"/>
          <w:kern w:val="0"/>
          <w:sz w:val="35"/>
          <w:szCs w:val="35"/>
          <w:lang w:eastAsia="en-US"/>
        </w:rPr>
        <w:t>生态影响评价自查表</w:t>
      </w:r>
    </w:p>
    <w:tbl>
      <w:tblPr>
        <w:tblStyle w:val="54"/>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6"/>
        <w:gridCol w:w="1438"/>
        <w:gridCol w:w="5946"/>
      </w:tblGrid>
      <w:tr w14:paraId="0104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22" w:type="pct"/>
            <w:gridSpan w:val="2"/>
            <w:vAlign w:val="center"/>
          </w:tcPr>
          <w:p w14:paraId="65A089FA">
            <w:pPr>
              <w:widowControl/>
              <w:jc w:val="center"/>
              <w:rPr>
                <w:b/>
                <w:bCs/>
                <w:color w:val="auto"/>
                <w:kern w:val="0"/>
                <w:szCs w:val="21"/>
                <w:lang w:eastAsia="en-US"/>
              </w:rPr>
            </w:pPr>
            <w:r>
              <w:rPr>
                <w:b/>
                <w:bCs/>
                <w:color w:val="auto"/>
                <w:kern w:val="0"/>
                <w:szCs w:val="21"/>
                <w:lang w:eastAsia="en-US"/>
              </w:rPr>
              <w:t>工作内容</w:t>
            </w:r>
          </w:p>
        </w:tc>
        <w:tc>
          <w:tcPr>
            <w:tcW w:w="3577" w:type="pct"/>
            <w:vAlign w:val="center"/>
          </w:tcPr>
          <w:p w14:paraId="5ADA3A86">
            <w:pPr>
              <w:widowControl/>
              <w:jc w:val="center"/>
              <w:rPr>
                <w:b/>
                <w:bCs/>
                <w:color w:val="auto"/>
                <w:kern w:val="0"/>
                <w:szCs w:val="21"/>
                <w:lang w:eastAsia="en-US"/>
              </w:rPr>
            </w:pPr>
            <w:r>
              <w:rPr>
                <w:b/>
                <w:bCs/>
                <w:color w:val="auto"/>
                <w:kern w:val="0"/>
                <w:szCs w:val="21"/>
                <w:lang w:eastAsia="en-US"/>
              </w:rPr>
              <w:t>自查项目</w:t>
            </w:r>
          </w:p>
        </w:tc>
      </w:tr>
      <w:tr w14:paraId="549F3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557" w:type="pct"/>
            <w:vMerge w:val="restart"/>
            <w:tcBorders>
              <w:bottom w:val="nil"/>
            </w:tcBorders>
            <w:vAlign w:val="center"/>
          </w:tcPr>
          <w:p w14:paraId="1277D5C6">
            <w:pPr>
              <w:widowControl/>
              <w:jc w:val="center"/>
              <w:rPr>
                <w:color w:val="auto"/>
                <w:kern w:val="0"/>
                <w:szCs w:val="21"/>
                <w:lang w:eastAsia="en-US"/>
              </w:rPr>
            </w:pPr>
            <w:r>
              <w:rPr>
                <w:color w:val="auto"/>
                <w:kern w:val="0"/>
                <w:szCs w:val="21"/>
                <w:lang w:eastAsia="en-US"/>
              </w:rPr>
              <w:t>生态影响</w:t>
            </w:r>
          </w:p>
          <w:p w14:paraId="1A50D3AA">
            <w:pPr>
              <w:widowControl/>
              <w:jc w:val="center"/>
              <w:rPr>
                <w:color w:val="auto"/>
                <w:kern w:val="0"/>
                <w:szCs w:val="21"/>
                <w:lang w:eastAsia="en-US"/>
              </w:rPr>
            </w:pPr>
            <w:r>
              <w:rPr>
                <w:color w:val="auto"/>
                <w:kern w:val="0"/>
                <w:szCs w:val="21"/>
                <w:lang w:eastAsia="en-US"/>
              </w:rPr>
              <w:t>识别</w:t>
            </w:r>
          </w:p>
        </w:tc>
        <w:tc>
          <w:tcPr>
            <w:tcW w:w="864" w:type="pct"/>
            <w:vAlign w:val="center"/>
          </w:tcPr>
          <w:p w14:paraId="29D4F1B8">
            <w:pPr>
              <w:widowControl/>
              <w:jc w:val="center"/>
              <w:rPr>
                <w:color w:val="auto"/>
                <w:kern w:val="0"/>
                <w:szCs w:val="21"/>
                <w:lang w:eastAsia="en-US"/>
              </w:rPr>
            </w:pPr>
            <w:r>
              <w:rPr>
                <w:color w:val="auto"/>
                <w:kern w:val="0"/>
                <w:szCs w:val="21"/>
                <w:lang w:eastAsia="en-US"/>
              </w:rPr>
              <w:t>生态保护目标</w:t>
            </w:r>
          </w:p>
        </w:tc>
        <w:tc>
          <w:tcPr>
            <w:tcW w:w="3577" w:type="pct"/>
            <w:vAlign w:val="center"/>
          </w:tcPr>
          <w:p w14:paraId="6949F094">
            <w:pPr>
              <w:widowControl/>
              <w:rPr>
                <w:color w:val="auto"/>
                <w:kern w:val="0"/>
                <w:szCs w:val="21"/>
              </w:rPr>
            </w:pPr>
            <w:r>
              <w:rPr>
                <w:color w:val="auto"/>
                <w:kern w:val="0"/>
                <w:szCs w:val="21"/>
              </w:rPr>
              <w:t>重要物种</w:t>
            </w:r>
            <w:r>
              <w:rPr>
                <w:rFonts w:hint="eastAsia"/>
                <w:color w:val="auto"/>
                <w:kern w:val="0"/>
                <w:szCs w:val="21"/>
              </w:rPr>
              <w:t>☑</w:t>
            </w:r>
            <w:r>
              <w:rPr>
                <w:color w:val="auto"/>
                <w:kern w:val="0"/>
                <w:szCs w:val="21"/>
              </w:rPr>
              <w:t>；国家公园□；自然保护区</w:t>
            </w:r>
            <w:r>
              <w:rPr>
                <w:rFonts w:hint="eastAsia"/>
                <w:color w:val="auto"/>
                <w:kern w:val="0"/>
                <w:szCs w:val="21"/>
              </w:rPr>
              <w:t>☑</w:t>
            </w:r>
            <w:r>
              <w:rPr>
                <w:color w:val="auto"/>
                <w:kern w:val="0"/>
                <w:szCs w:val="21"/>
              </w:rPr>
              <w:t>；自然公园□；世界自然遗产</w:t>
            </w:r>
            <w:r>
              <w:rPr>
                <w:rFonts w:hint="eastAsia"/>
                <w:color w:val="auto"/>
                <w:kern w:val="0"/>
                <w:szCs w:val="21"/>
              </w:rPr>
              <w:t>□</w:t>
            </w:r>
            <w:r>
              <w:rPr>
                <w:color w:val="auto"/>
                <w:kern w:val="0"/>
                <w:szCs w:val="21"/>
              </w:rPr>
              <w:t>；生态保护红线</w:t>
            </w:r>
            <w:r>
              <w:rPr>
                <w:rFonts w:hint="eastAsia"/>
                <w:color w:val="auto"/>
                <w:kern w:val="0"/>
                <w:szCs w:val="21"/>
              </w:rPr>
              <w:t>☑</w:t>
            </w:r>
            <w:r>
              <w:rPr>
                <w:color w:val="auto"/>
                <w:kern w:val="0"/>
                <w:szCs w:val="21"/>
              </w:rPr>
              <w:t>；重要生境</w:t>
            </w:r>
            <w:r>
              <w:rPr>
                <w:rFonts w:hint="eastAsia"/>
                <w:color w:val="auto"/>
                <w:kern w:val="0"/>
                <w:szCs w:val="21"/>
              </w:rPr>
              <w:t>□</w:t>
            </w:r>
            <w:r>
              <w:rPr>
                <w:color w:val="auto"/>
                <w:kern w:val="0"/>
                <w:szCs w:val="21"/>
              </w:rPr>
              <w:t>；其他具有重要生态功能、对保护生物多样性具有重要意义的区域</w:t>
            </w:r>
            <w:r>
              <w:rPr>
                <w:rFonts w:hint="eastAsia"/>
                <w:color w:val="auto"/>
                <w:kern w:val="0"/>
                <w:szCs w:val="21"/>
              </w:rPr>
              <w:t>☑</w:t>
            </w:r>
            <w:r>
              <w:rPr>
                <w:color w:val="auto"/>
                <w:kern w:val="0"/>
                <w:szCs w:val="21"/>
              </w:rPr>
              <w:t>；其他</w:t>
            </w:r>
            <w:r>
              <w:rPr>
                <w:rFonts w:hint="eastAsia"/>
                <w:color w:val="auto"/>
                <w:kern w:val="0"/>
                <w:szCs w:val="21"/>
              </w:rPr>
              <w:t>☑</w:t>
            </w:r>
          </w:p>
        </w:tc>
      </w:tr>
      <w:tr w14:paraId="3346E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vMerge w:val="continue"/>
            <w:tcBorders>
              <w:top w:val="nil"/>
              <w:bottom w:val="nil"/>
            </w:tcBorders>
            <w:vAlign w:val="center"/>
          </w:tcPr>
          <w:p w14:paraId="7C658898">
            <w:pPr>
              <w:widowControl/>
              <w:jc w:val="center"/>
              <w:rPr>
                <w:color w:val="auto"/>
                <w:kern w:val="0"/>
                <w:szCs w:val="21"/>
              </w:rPr>
            </w:pPr>
          </w:p>
        </w:tc>
        <w:tc>
          <w:tcPr>
            <w:tcW w:w="864" w:type="pct"/>
            <w:vAlign w:val="center"/>
          </w:tcPr>
          <w:p w14:paraId="5E363351">
            <w:pPr>
              <w:widowControl/>
              <w:jc w:val="center"/>
              <w:rPr>
                <w:color w:val="auto"/>
                <w:kern w:val="0"/>
                <w:szCs w:val="21"/>
                <w:lang w:eastAsia="en-US"/>
              </w:rPr>
            </w:pPr>
            <w:r>
              <w:rPr>
                <w:color w:val="auto"/>
                <w:kern w:val="0"/>
                <w:szCs w:val="21"/>
                <w:lang w:eastAsia="en-US"/>
              </w:rPr>
              <w:t>影响方式</w:t>
            </w:r>
          </w:p>
        </w:tc>
        <w:tc>
          <w:tcPr>
            <w:tcW w:w="3577" w:type="pct"/>
            <w:vAlign w:val="center"/>
          </w:tcPr>
          <w:p w14:paraId="605B8D41">
            <w:pPr>
              <w:widowControl/>
              <w:rPr>
                <w:color w:val="auto"/>
                <w:kern w:val="0"/>
                <w:szCs w:val="21"/>
              </w:rPr>
            </w:pPr>
            <w:r>
              <w:rPr>
                <w:color w:val="auto"/>
                <w:kern w:val="0"/>
                <w:szCs w:val="21"/>
              </w:rPr>
              <w:t>工程占用</w:t>
            </w:r>
            <w:r>
              <w:rPr>
                <w:rFonts w:hint="eastAsia"/>
                <w:color w:val="auto"/>
                <w:kern w:val="0"/>
                <w:szCs w:val="21"/>
              </w:rPr>
              <w:t>☑</w:t>
            </w:r>
            <w:r>
              <w:rPr>
                <w:color w:val="auto"/>
                <w:kern w:val="0"/>
                <w:szCs w:val="21"/>
              </w:rPr>
              <w:t>；施工活动干扰</w:t>
            </w:r>
            <w:r>
              <w:rPr>
                <w:rFonts w:hint="eastAsia"/>
                <w:color w:val="auto"/>
                <w:kern w:val="0"/>
                <w:szCs w:val="21"/>
              </w:rPr>
              <w:t>☑</w:t>
            </w:r>
            <w:r>
              <w:rPr>
                <w:color w:val="auto"/>
                <w:kern w:val="0"/>
                <w:szCs w:val="21"/>
              </w:rPr>
              <w:t>；改变环境条件</w:t>
            </w:r>
            <w:r>
              <w:rPr>
                <w:rFonts w:hint="eastAsia"/>
                <w:color w:val="auto"/>
                <w:kern w:val="0"/>
                <w:szCs w:val="21"/>
              </w:rPr>
              <w:t>□</w:t>
            </w:r>
            <w:r>
              <w:rPr>
                <w:color w:val="auto"/>
                <w:kern w:val="0"/>
                <w:szCs w:val="21"/>
              </w:rPr>
              <w:t>；其他</w:t>
            </w:r>
            <w:r>
              <w:rPr>
                <w:rFonts w:hint="eastAsia"/>
                <w:color w:val="auto"/>
                <w:kern w:val="0"/>
                <w:szCs w:val="21"/>
              </w:rPr>
              <w:t>□</w:t>
            </w:r>
          </w:p>
        </w:tc>
      </w:tr>
      <w:tr w14:paraId="6B0A6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0" w:hRule="atLeast"/>
        </w:trPr>
        <w:tc>
          <w:tcPr>
            <w:tcW w:w="557" w:type="pct"/>
            <w:vMerge w:val="continue"/>
            <w:tcBorders>
              <w:top w:val="nil"/>
            </w:tcBorders>
            <w:vAlign w:val="center"/>
          </w:tcPr>
          <w:p w14:paraId="42133D25">
            <w:pPr>
              <w:widowControl/>
              <w:jc w:val="center"/>
              <w:rPr>
                <w:color w:val="auto"/>
                <w:kern w:val="0"/>
                <w:szCs w:val="21"/>
              </w:rPr>
            </w:pPr>
          </w:p>
        </w:tc>
        <w:tc>
          <w:tcPr>
            <w:tcW w:w="864" w:type="pct"/>
            <w:vAlign w:val="center"/>
          </w:tcPr>
          <w:p w14:paraId="771D8942">
            <w:pPr>
              <w:widowControl/>
              <w:jc w:val="center"/>
              <w:rPr>
                <w:color w:val="auto"/>
                <w:kern w:val="0"/>
                <w:szCs w:val="21"/>
                <w:lang w:eastAsia="en-US"/>
              </w:rPr>
            </w:pPr>
            <w:r>
              <w:rPr>
                <w:color w:val="auto"/>
                <w:kern w:val="0"/>
                <w:szCs w:val="21"/>
                <w:lang w:eastAsia="en-US"/>
              </w:rPr>
              <w:t>评价因子</w:t>
            </w:r>
          </w:p>
        </w:tc>
        <w:tc>
          <w:tcPr>
            <w:tcW w:w="3577" w:type="pct"/>
            <w:vAlign w:val="center"/>
          </w:tcPr>
          <w:p w14:paraId="43279A7E">
            <w:pPr>
              <w:widowControl/>
              <w:rPr>
                <w:color w:val="auto"/>
                <w:kern w:val="0"/>
                <w:szCs w:val="21"/>
              </w:rPr>
            </w:pPr>
            <w:r>
              <w:rPr>
                <w:color w:val="auto"/>
                <w:kern w:val="0"/>
                <w:szCs w:val="21"/>
              </w:rPr>
              <w:t>物种</w:t>
            </w:r>
            <w:r>
              <w:rPr>
                <w:rFonts w:hint="eastAsia"/>
                <w:color w:val="auto"/>
                <w:kern w:val="0"/>
                <w:szCs w:val="21"/>
              </w:rPr>
              <w:t>☑</w:t>
            </w:r>
            <w:r>
              <w:rPr>
                <w:color w:val="auto"/>
                <w:kern w:val="0"/>
                <w:szCs w:val="21"/>
              </w:rPr>
              <w:t>（评价区重要物种）</w:t>
            </w:r>
          </w:p>
          <w:p w14:paraId="615EB4CE">
            <w:pPr>
              <w:widowControl/>
              <w:rPr>
                <w:color w:val="auto"/>
                <w:kern w:val="0"/>
                <w:szCs w:val="21"/>
              </w:rPr>
            </w:pPr>
            <w:r>
              <w:rPr>
                <w:color w:val="auto"/>
                <w:kern w:val="0"/>
                <w:szCs w:val="21"/>
              </w:rPr>
              <w:t>生境</w:t>
            </w:r>
            <w:r>
              <w:rPr>
                <w:rFonts w:hint="eastAsia"/>
                <w:color w:val="auto"/>
                <w:kern w:val="0"/>
                <w:szCs w:val="21"/>
              </w:rPr>
              <w:t>☑</w:t>
            </w:r>
            <w:r>
              <w:rPr>
                <w:color w:val="auto"/>
                <w:kern w:val="0"/>
                <w:szCs w:val="21"/>
              </w:rPr>
              <w:t>（工程区、生态敏感区生境现状调查）</w:t>
            </w:r>
          </w:p>
          <w:p w14:paraId="094B254C">
            <w:pPr>
              <w:widowControl/>
              <w:rPr>
                <w:color w:val="auto"/>
                <w:kern w:val="0"/>
                <w:szCs w:val="21"/>
              </w:rPr>
            </w:pPr>
            <w:r>
              <w:rPr>
                <w:color w:val="auto"/>
                <w:kern w:val="0"/>
                <w:szCs w:val="21"/>
              </w:rPr>
              <w:t>生物群落</w:t>
            </w:r>
            <w:r>
              <w:rPr>
                <w:rFonts w:hint="eastAsia"/>
                <w:color w:val="auto"/>
                <w:kern w:val="0"/>
                <w:szCs w:val="21"/>
              </w:rPr>
              <w:t>☑</w:t>
            </w:r>
            <w:r>
              <w:rPr>
                <w:color w:val="auto"/>
                <w:kern w:val="0"/>
                <w:szCs w:val="21"/>
              </w:rPr>
              <w:t>（植物群落结构及演替规律，群落中的关键种、建群种、优势种，入侵物种）</w:t>
            </w:r>
          </w:p>
          <w:p w14:paraId="22E27BA6">
            <w:pPr>
              <w:widowControl/>
              <w:rPr>
                <w:color w:val="auto"/>
                <w:kern w:val="0"/>
                <w:szCs w:val="21"/>
              </w:rPr>
            </w:pPr>
            <w:r>
              <w:rPr>
                <w:color w:val="auto"/>
                <w:kern w:val="0"/>
                <w:szCs w:val="21"/>
              </w:rPr>
              <w:t>生态系统</w:t>
            </w:r>
            <w:r>
              <w:rPr>
                <w:rFonts w:hint="eastAsia"/>
                <w:color w:val="auto"/>
                <w:kern w:val="0"/>
                <w:szCs w:val="21"/>
              </w:rPr>
              <w:t>☑</w:t>
            </w:r>
            <w:r>
              <w:rPr>
                <w:color w:val="auto"/>
                <w:kern w:val="0"/>
                <w:szCs w:val="21"/>
              </w:rPr>
              <w:t>（生态系统类型、面积、分布等）</w:t>
            </w:r>
          </w:p>
          <w:p w14:paraId="65AE5B21">
            <w:pPr>
              <w:widowControl/>
              <w:rPr>
                <w:color w:val="auto"/>
                <w:kern w:val="0"/>
                <w:szCs w:val="21"/>
              </w:rPr>
            </w:pPr>
            <w:r>
              <w:rPr>
                <w:color w:val="auto"/>
                <w:kern w:val="0"/>
                <w:szCs w:val="21"/>
              </w:rPr>
              <w:t>生物多样性</w:t>
            </w:r>
            <w:r>
              <w:rPr>
                <w:rFonts w:hint="eastAsia"/>
                <w:color w:val="auto"/>
                <w:kern w:val="0"/>
                <w:szCs w:val="21"/>
              </w:rPr>
              <w:t>☑</w:t>
            </w:r>
            <w:r>
              <w:rPr>
                <w:color w:val="auto"/>
                <w:kern w:val="0"/>
                <w:szCs w:val="21"/>
              </w:rPr>
              <w:t>（植物区系、类型、分布；动物区系、物种组成及分布特征）</w:t>
            </w:r>
          </w:p>
          <w:p w14:paraId="6CEAFA4B">
            <w:pPr>
              <w:widowControl/>
              <w:rPr>
                <w:color w:val="auto"/>
                <w:kern w:val="0"/>
                <w:szCs w:val="21"/>
              </w:rPr>
            </w:pPr>
            <w:r>
              <w:rPr>
                <w:color w:val="auto"/>
                <w:kern w:val="0"/>
                <w:szCs w:val="21"/>
              </w:rPr>
              <w:t>生态敏感区</w:t>
            </w:r>
            <w:r>
              <w:rPr>
                <w:rFonts w:hint="eastAsia"/>
                <w:color w:val="auto"/>
                <w:kern w:val="0"/>
                <w:szCs w:val="21"/>
              </w:rPr>
              <w:t>☑</w:t>
            </w:r>
            <w:r>
              <w:rPr>
                <w:color w:val="auto"/>
                <w:kern w:val="0"/>
                <w:szCs w:val="21"/>
              </w:rPr>
              <w:t>（</w:t>
            </w:r>
            <w:r>
              <w:rPr>
                <w:rFonts w:hint="eastAsia"/>
                <w:color w:val="auto"/>
                <w:kern w:val="0"/>
                <w:szCs w:val="21"/>
              </w:rPr>
              <w:t>湖南东洞庭湖国家级自然保护区、东洞庭湖湖泊国际重要湿地</w:t>
            </w:r>
            <w:r>
              <w:rPr>
                <w:color w:val="auto"/>
                <w:kern w:val="0"/>
                <w:szCs w:val="21"/>
              </w:rPr>
              <w:t>）</w:t>
            </w:r>
          </w:p>
          <w:p w14:paraId="0D911260">
            <w:pPr>
              <w:widowControl/>
              <w:rPr>
                <w:color w:val="auto"/>
                <w:kern w:val="0"/>
                <w:szCs w:val="21"/>
              </w:rPr>
            </w:pPr>
            <w:r>
              <w:rPr>
                <w:color w:val="auto"/>
                <w:kern w:val="0"/>
                <w:szCs w:val="21"/>
              </w:rPr>
              <w:t>自然景观</w:t>
            </w:r>
            <w:r>
              <w:rPr>
                <w:rFonts w:hint="eastAsia"/>
                <w:color w:val="auto"/>
                <w:kern w:val="0"/>
                <w:szCs w:val="21"/>
              </w:rPr>
              <w:t>□</w:t>
            </w:r>
            <w:r>
              <w:rPr>
                <w:color w:val="auto"/>
                <w:kern w:val="0"/>
                <w:szCs w:val="21"/>
              </w:rPr>
              <w:t>(          )</w:t>
            </w:r>
          </w:p>
          <w:p w14:paraId="117A9B8F">
            <w:pPr>
              <w:widowControl/>
              <w:rPr>
                <w:color w:val="auto"/>
                <w:kern w:val="0"/>
                <w:szCs w:val="21"/>
              </w:rPr>
            </w:pPr>
            <w:r>
              <w:rPr>
                <w:color w:val="auto"/>
                <w:kern w:val="0"/>
                <w:szCs w:val="21"/>
              </w:rPr>
              <w:t>自然遗迹</w:t>
            </w:r>
            <w:r>
              <w:rPr>
                <w:rFonts w:hint="eastAsia"/>
                <w:color w:val="auto"/>
                <w:kern w:val="0"/>
                <w:szCs w:val="21"/>
              </w:rPr>
              <w:t>□</w:t>
            </w:r>
            <w:r>
              <w:rPr>
                <w:color w:val="auto"/>
                <w:kern w:val="0"/>
                <w:szCs w:val="21"/>
              </w:rPr>
              <w:t xml:space="preserve">(         </w:t>
            </w:r>
            <w:r>
              <w:rPr>
                <w:rFonts w:hint="eastAsia"/>
                <w:color w:val="auto"/>
                <w:kern w:val="0"/>
                <w:szCs w:val="21"/>
              </w:rPr>
              <w:t xml:space="preserve"> </w:t>
            </w:r>
            <w:r>
              <w:rPr>
                <w:color w:val="auto"/>
                <w:kern w:val="0"/>
                <w:szCs w:val="21"/>
              </w:rPr>
              <w:t>)</w:t>
            </w:r>
          </w:p>
          <w:p w14:paraId="27AE76A5">
            <w:pPr>
              <w:widowControl/>
              <w:rPr>
                <w:color w:val="auto"/>
                <w:kern w:val="0"/>
                <w:szCs w:val="21"/>
              </w:rPr>
            </w:pPr>
            <w:r>
              <w:rPr>
                <w:color w:val="auto"/>
                <w:kern w:val="0"/>
                <w:szCs w:val="21"/>
              </w:rPr>
              <w:t>其他</w:t>
            </w:r>
            <w:r>
              <w:rPr>
                <w:rFonts w:hint="eastAsia"/>
                <w:color w:val="auto"/>
                <w:kern w:val="0"/>
                <w:szCs w:val="21"/>
              </w:rPr>
              <w:t>☑</w:t>
            </w:r>
            <w:r>
              <w:rPr>
                <w:color w:val="auto"/>
                <w:kern w:val="0"/>
                <w:szCs w:val="21"/>
              </w:rPr>
              <w:t>（生态保护红线、湖南东洞庭湖国家级自然保护区越冬候鸟栖息地）</w:t>
            </w:r>
          </w:p>
        </w:tc>
      </w:tr>
      <w:tr w14:paraId="573FC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22" w:type="pct"/>
            <w:gridSpan w:val="2"/>
            <w:vAlign w:val="center"/>
          </w:tcPr>
          <w:p w14:paraId="09F2A062">
            <w:pPr>
              <w:widowControl/>
              <w:jc w:val="center"/>
              <w:rPr>
                <w:color w:val="auto"/>
                <w:kern w:val="0"/>
                <w:szCs w:val="21"/>
                <w:lang w:eastAsia="en-US"/>
              </w:rPr>
            </w:pPr>
            <w:r>
              <w:rPr>
                <w:color w:val="auto"/>
                <w:kern w:val="0"/>
                <w:szCs w:val="21"/>
                <w:lang w:eastAsia="en-US"/>
              </w:rPr>
              <w:t>评价等级</w:t>
            </w:r>
          </w:p>
        </w:tc>
        <w:tc>
          <w:tcPr>
            <w:tcW w:w="3577" w:type="pct"/>
            <w:vAlign w:val="center"/>
          </w:tcPr>
          <w:p w14:paraId="3BFF968F">
            <w:pPr>
              <w:widowControl/>
              <w:rPr>
                <w:color w:val="auto"/>
                <w:kern w:val="0"/>
                <w:szCs w:val="21"/>
              </w:rPr>
            </w:pPr>
            <w:r>
              <w:rPr>
                <w:color w:val="auto"/>
                <w:kern w:val="0"/>
                <w:szCs w:val="21"/>
              </w:rPr>
              <w:t>一级</w:t>
            </w:r>
            <w:r>
              <w:rPr>
                <w:rFonts w:hint="eastAsia"/>
                <w:color w:val="auto"/>
                <w:kern w:val="0"/>
                <w:szCs w:val="21"/>
              </w:rPr>
              <w:t>☑</w:t>
            </w:r>
            <w:r>
              <w:rPr>
                <w:color w:val="auto"/>
                <w:kern w:val="0"/>
                <w:szCs w:val="21"/>
              </w:rPr>
              <w:t xml:space="preserve">     二级</w:t>
            </w:r>
            <w:r>
              <w:rPr>
                <w:rFonts w:hint="eastAsia"/>
                <w:color w:val="auto"/>
                <w:kern w:val="0"/>
                <w:szCs w:val="21"/>
              </w:rPr>
              <w:t>□</w:t>
            </w:r>
            <w:r>
              <w:rPr>
                <w:color w:val="auto"/>
                <w:kern w:val="0"/>
                <w:szCs w:val="21"/>
              </w:rPr>
              <w:t xml:space="preserve">     三级</w:t>
            </w:r>
            <w:r>
              <w:rPr>
                <w:rFonts w:hint="eastAsia"/>
                <w:color w:val="auto"/>
                <w:kern w:val="0"/>
                <w:szCs w:val="21"/>
              </w:rPr>
              <w:t>□</w:t>
            </w:r>
            <w:r>
              <w:rPr>
                <w:color w:val="auto"/>
                <w:kern w:val="0"/>
                <w:szCs w:val="21"/>
              </w:rPr>
              <w:t xml:space="preserve">     生态影响简单分析</w:t>
            </w:r>
            <w:r>
              <w:rPr>
                <w:rFonts w:hint="eastAsia"/>
                <w:color w:val="auto"/>
                <w:kern w:val="0"/>
                <w:szCs w:val="21"/>
              </w:rPr>
              <w:t>□</w:t>
            </w:r>
          </w:p>
        </w:tc>
      </w:tr>
      <w:tr w14:paraId="71861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22" w:type="pct"/>
            <w:gridSpan w:val="2"/>
            <w:vAlign w:val="center"/>
          </w:tcPr>
          <w:p w14:paraId="44A7C726">
            <w:pPr>
              <w:widowControl/>
              <w:jc w:val="center"/>
              <w:rPr>
                <w:color w:val="auto"/>
                <w:kern w:val="0"/>
                <w:szCs w:val="21"/>
                <w:lang w:eastAsia="en-US"/>
              </w:rPr>
            </w:pPr>
            <w:r>
              <w:rPr>
                <w:color w:val="auto"/>
                <w:kern w:val="0"/>
                <w:szCs w:val="21"/>
                <w:lang w:eastAsia="en-US"/>
              </w:rPr>
              <w:t>评价范围</w:t>
            </w:r>
          </w:p>
        </w:tc>
        <w:tc>
          <w:tcPr>
            <w:tcW w:w="3577" w:type="pct"/>
            <w:vAlign w:val="center"/>
          </w:tcPr>
          <w:p w14:paraId="738FDFB5">
            <w:pPr>
              <w:widowControl/>
              <w:rPr>
                <w:color w:val="auto"/>
                <w:kern w:val="0"/>
                <w:szCs w:val="21"/>
              </w:rPr>
            </w:pPr>
            <w:r>
              <w:rPr>
                <w:color w:val="auto"/>
                <w:kern w:val="0"/>
                <w:szCs w:val="21"/>
              </w:rPr>
              <w:t>陆域面积：（</w:t>
            </w:r>
            <w:r>
              <w:rPr>
                <w:rFonts w:hint="eastAsia"/>
                <w:color w:val="auto"/>
                <w:kern w:val="0"/>
                <w:szCs w:val="21"/>
              </w:rPr>
              <w:t xml:space="preserve">    </w:t>
            </w:r>
            <w:r>
              <w:rPr>
                <w:color w:val="auto"/>
                <w:kern w:val="0"/>
                <w:szCs w:val="21"/>
              </w:rPr>
              <w:t>）km</w:t>
            </w:r>
            <w:r>
              <w:rPr>
                <w:color w:val="auto"/>
                <w:kern w:val="0"/>
                <w:szCs w:val="21"/>
                <w:vertAlign w:val="superscript"/>
              </w:rPr>
              <w:t>2</w:t>
            </w:r>
            <w:r>
              <w:rPr>
                <w:color w:val="auto"/>
                <w:kern w:val="0"/>
                <w:szCs w:val="21"/>
              </w:rPr>
              <w:t xml:space="preserve"> ；水域面积：（</w:t>
            </w:r>
            <w:r>
              <w:rPr>
                <w:rFonts w:hint="eastAsia"/>
                <w:color w:val="auto"/>
                <w:kern w:val="0"/>
                <w:szCs w:val="21"/>
              </w:rPr>
              <w:t>0.074</w:t>
            </w:r>
            <w:r>
              <w:rPr>
                <w:color w:val="auto"/>
                <w:kern w:val="0"/>
                <w:szCs w:val="21"/>
              </w:rPr>
              <w:t>）km</w:t>
            </w:r>
            <w:r>
              <w:rPr>
                <w:color w:val="auto"/>
                <w:kern w:val="0"/>
                <w:szCs w:val="21"/>
                <w:vertAlign w:val="superscript"/>
              </w:rPr>
              <w:t>2</w:t>
            </w:r>
          </w:p>
        </w:tc>
      </w:tr>
      <w:tr w14:paraId="40E98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7" w:type="pct"/>
            <w:vMerge w:val="restart"/>
            <w:tcBorders>
              <w:bottom w:val="nil"/>
            </w:tcBorders>
            <w:vAlign w:val="center"/>
          </w:tcPr>
          <w:p w14:paraId="409EF245">
            <w:pPr>
              <w:widowControl/>
              <w:jc w:val="center"/>
              <w:rPr>
                <w:color w:val="auto"/>
                <w:kern w:val="0"/>
                <w:szCs w:val="21"/>
                <w:lang w:eastAsia="en-US"/>
              </w:rPr>
            </w:pPr>
            <w:r>
              <w:rPr>
                <w:color w:val="auto"/>
                <w:kern w:val="0"/>
                <w:szCs w:val="21"/>
                <w:lang w:eastAsia="en-US"/>
              </w:rPr>
              <w:t>生态现状</w:t>
            </w:r>
          </w:p>
          <w:p w14:paraId="2CC11D4E">
            <w:pPr>
              <w:widowControl/>
              <w:jc w:val="center"/>
              <w:rPr>
                <w:color w:val="auto"/>
                <w:kern w:val="0"/>
                <w:szCs w:val="21"/>
                <w:lang w:eastAsia="en-US"/>
              </w:rPr>
            </w:pPr>
            <w:r>
              <w:rPr>
                <w:color w:val="auto"/>
                <w:kern w:val="0"/>
                <w:szCs w:val="21"/>
                <w:lang w:eastAsia="en-US"/>
              </w:rPr>
              <w:t>调查与</w:t>
            </w:r>
          </w:p>
          <w:p w14:paraId="078E03D2">
            <w:pPr>
              <w:widowControl/>
              <w:jc w:val="center"/>
              <w:rPr>
                <w:color w:val="auto"/>
                <w:kern w:val="0"/>
                <w:szCs w:val="21"/>
                <w:lang w:eastAsia="en-US"/>
              </w:rPr>
            </w:pPr>
            <w:r>
              <w:rPr>
                <w:color w:val="auto"/>
                <w:kern w:val="0"/>
                <w:szCs w:val="21"/>
                <w:lang w:eastAsia="en-US"/>
              </w:rPr>
              <w:t>评价</w:t>
            </w:r>
          </w:p>
        </w:tc>
        <w:tc>
          <w:tcPr>
            <w:tcW w:w="864" w:type="pct"/>
            <w:vAlign w:val="center"/>
          </w:tcPr>
          <w:p w14:paraId="6E353187">
            <w:pPr>
              <w:widowControl/>
              <w:jc w:val="center"/>
              <w:rPr>
                <w:color w:val="auto"/>
                <w:kern w:val="0"/>
                <w:szCs w:val="21"/>
                <w:lang w:eastAsia="en-US"/>
              </w:rPr>
            </w:pPr>
            <w:r>
              <w:rPr>
                <w:color w:val="auto"/>
                <w:kern w:val="0"/>
                <w:szCs w:val="21"/>
                <w:lang w:eastAsia="en-US"/>
              </w:rPr>
              <w:t>调查方法</w:t>
            </w:r>
          </w:p>
        </w:tc>
        <w:tc>
          <w:tcPr>
            <w:tcW w:w="3577" w:type="pct"/>
            <w:vAlign w:val="center"/>
          </w:tcPr>
          <w:p w14:paraId="09BA08A0">
            <w:pPr>
              <w:widowControl/>
              <w:rPr>
                <w:color w:val="auto"/>
                <w:kern w:val="0"/>
                <w:szCs w:val="21"/>
              </w:rPr>
            </w:pPr>
            <w:r>
              <w:rPr>
                <w:color w:val="auto"/>
                <w:kern w:val="0"/>
                <w:szCs w:val="21"/>
              </w:rPr>
              <w:t>资料收集</w:t>
            </w:r>
            <w:r>
              <w:rPr>
                <w:rFonts w:hint="eastAsia"/>
                <w:color w:val="auto"/>
                <w:kern w:val="0"/>
                <w:szCs w:val="21"/>
              </w:rPr>
              <w:t>☑</w:t>
            </w:r>
            <w:r>
              <w:rPr>
                <w:color w:val="auto"/>
                <w:kern w:val="0"/>
                <w:szCs w:val="21"/>
              </w:rPr>
              <w:t>；遥感调查</w:t>
            </w:r>
            <w:r>
              <w:rPr>
                <w:rFonts w:hint="eastAsia"/>
                <w:color w:val="auto"/>
                <w:kern w:val="0"/>
                <w:szCs w:val="21"/>
              </w:rPr>
              <w:t>□</w:t>
            </w:r>
            <w:r>
              <w:rPr>
                <w:color w:val="auto"/>
                <w:kern w:val="0"/>
                <w:szCs w:val="21"/>
              </w:rPr>
              <w:t>；调查样方</w:t>
            </w:r>
            <w:r>
              <w:rPr>
                <w:rFonts w:hint="eastAsia"/>
                <w:color w:val="auto"/>
                <w:kern w:val="0"/>
                <w:szCs w:val="21"/>
              </w:rPr>
              <w:t>☑</w:t>
            </w:r>
            <w:r>
              <w:rPr>
                <w:color w:val="auto"/>
                <w:kern w:val="0"/>
                <w:szCs w:val="21"/>
              </w:rPr>
              <w:t>、样线</w:t>
            </w:r>
            <w:r>
              <w:rPr>
                <w:rFonts w:hint="eastAsia"/>
                <w:color w:val="auto"/>
                <w:kern w:val="0"/>
                <w:szCs w:val="21"/>
              </w:rPr>
              <w:t>☑</w:t>
            </w:r>
            <w:r>
              <w:rPr>
                <w:color w:val="auto"/>
                <w:kern w:val="0"/>
                <w:szCs w:val="21"/>
              </w:rPr>
              <w:t>；调查点位</w:t>
            </w:r>
            <w:r>
              <w:rPr>
                <w:rFonts w:hint="eastAsia"/>
                <w:color w:val="auto"/>
                <w:kern w:val="0"/>
                <w:szCs w:val="21"/>
              </w:rPr>
              <w:t>☑</w:t>
            </w:r>
            <w:r>
              <w:rPr>
                <w:color w:val="auto"/>
                <w:kern w:val="0"/>
                <w:szCs w:val="21"/>
              </w:rPr>
              <w:t>、断面</w:t>
            </w:r>
            <w:r>
              <w:rPr>
                <w:rFonts w:hint="eastAsia"/>
                <w:color w:val="auto"/>
                <w:kern w:val="0"/>
                <w:szCs w:val="21"/>
              </w:rPr>
              <w:t>☑</w:t>
            </w:r>
            <w:r>
              <w:rPr>
                <w:color w:val="auto"/>
                <w:kern w:val="0"/>
                <w:szCs w:val="21"/>
              </w:rPr>
              <w:t>；专家和公众咨询法</w:t>
            </w:r>
            <w:r>
              <w:rPr>
                <w:rFonts w:hint="eastAsia"/>
                <w:color w:val="auto"/>
                <w:kern w:val="0"/>
                <w:szCs w:val="21"/>
              </w:rPr>
              <w:t>☑</w:t>
            </w:r>
            <w:r>
              <w:rPr>
                <w:color w:val="auto"/>
                <w:kern w:val="0"/>
                <w:szCs w:val="21"/>
              </w:rPr>
              <w:t>；其他</w:t>
            </w:r>
            <w:r>
              <w:rPr>
                <w:rFonts w:hint="eastAsia"/>
                <w:color w:val="auto"/>
                <w:kern w:val="0"/>
                <w:szCs w:val="21"/>
              </w:rPr>
              <w:t>□</w:t>
            </w:r>
          </w:p>
        </w:tc>
      </w:tr>
      <w:tr w14:paraId="00752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57" w:type="pct"/>
            <w:vMerge w:val="continue"/>
            <w:tcBorders>
              <w:top w:val="nil"/>
              <w:bottom w:val="nil"/>
            </w:tcBorders>
            <w:vAlign w:val="center"/>
          </w:tcPr>
          <w:p w14:paraId="5A5C9ACA">
            <w:pPr>
              <w:widowControl/>
              <w:jc w:val="center"/>
              <w:rPr>
                <w:color w:val="auto"/>
                <w:kern w:val="0"/>
                <w:szCs w:val="21"/>
              </w:rPr>
            </w:pPr>
          </w:p>
        </w:tc>
        <w:tc>
          <w:tcPr>
            <w:tcW w:w="864" w:type="pct"/>
            <w:vAlign w:val="center"/>
          </w:tcPr>
          <w:p w14:paraId="2DAB2DD9">
            <w:pPr>
              <w:widowControl/>
              <w:jc w:val="center"/>
              <w:rPr>
                <w:color w:val="auto"/>
                <w:kern w:val="0"/>
                <w:szCs w:val="21"/>
                <w:lang w:eastAsia="en-US"/>
              </w:rPr>
            </w:pPr>
            <w:r>
              <w:rPr>
                <w:color w:val="auto"/>
                <w:kern w:val="0"/>
                <w:szCs w:val="21"/>
                <w:lang w:eastAsia="en-US"/>
              </w:rPr>
              <w:t>调查时间</w:t>
            </w:r>
          </w:p>
        </w:tc>
        <w:tc>
          <w:tcPr>
            <w:tcW w:w="3577" w:type="pct"/>
            <w:vAlign w:val="center"/>
          </w:tcPr>
          <w:p w14:paraId="1B0A97FB">
            <w:pPr>
              <w:widowControl/>
              <w:rPr>
                <w:color w:val="auto"/>
                <w:kern w:val="0"/>
                <w:szCs w:val="21"/>
              </w:rPr>
            </w:pPr>
            <w:r>
              <w:rPr>
                <w:color w:val="auto"/>
                <w:kern w:val="0"/>
                <w:szCs w:val="21"/>
                <w:lang w:eastAsia="en-US"/>
              </w:rPr>
              <w:t>春季</w:t>
            </w:r>
            <w:r>
              <w:rPr>
                <w:rFonts w:hint="eastAsia"/>
                <w:color w:val="auto"/>
                <w:kern w:val="0"/>
                <w:szCs w:val="21"/>
              </w:rPr>
              <w:t>☑</w:t>
            </w:r>
            <w:r>
              <w:rPr>
                <w:color w:val="auto"/>
                <w:kern w:val="0"/>
                <w:szCs w:val="21"/>
                <w:lang w:eastAsia="en-US"/>
              </w:rPr>
              <w:t>；夏季</w:t>
            </w:r>
            <w:r>
              <w:rPr>
                <w:rFonts w:hint="eastAsia"/>
                <w:color w:val="auto"/>
                <w:kern w:val="0"/>
                <w:szCs w:val="21"/>
              </w:rPr>
              <w:t>□</w:t>
            </w:r>
            <w:r>
              <w:rPr>
                <w:color w:val="auto"/>
                <w:kern w:val="0"/>
                <w:szCs w:val="21"/>
                <w:lang w:eastAsia="en-US"/>
              </w:rPr>
              <w:t>；秋季</w:t>
            </w:r>
            <w:r>
              <w:rPr>
                <w:rFonts w:hint="eastAsia"/>
                <w:color w:val="auto"/>
                <w:kern w:val="0"/>
                <w:szCs w:val="21"/>
              </w:rPr>
              <w:t>☑</w:t>
            </w:r>
            <w:r>
              <w:rPr>
                <w:color w:val="auto"/>
                <w:kern w:val="0"/>
                <w:szCs w:val="21"/>
                <w:lang w:eastAsia="en-US"/>
              </w:rPr>
              <w:t>；冬季</w:t>
            </w:r>
            <w:r>
              <w:rPr>
                <w:rFonts w:hint="eastAsia"/>
                <w:color w:val="auto"/>
                <w:kern w:val="0"/>
                <w:szCs w:val="21"/>
              </w:rPr>
              <w:t>□；</w:t>
            </w:r>
            <w:r>
              <w:rPr>
                <w:color w:val="auto"/>
                <w:kern w:val="0"/>
                <w:szCs w:val="21"/>
                <w:lang w:eastAsia="en-US"/>
              </w:rPr>
              <w:t>丰水期</w:t>
            </w:r>
            <w:r>
              <w:rPr>
                <w:rFonts w:hint="eastAsia"/>
                <w:color w:val="auto"/>
                <w:kern w:val="0"/>
                <w:szCs w:val="21"/>
              </w:rPr>
              <w:t>□</w:t>
            </w:r>
            <w:r>
              <w:rPr>
                <w:color w:val="auto"/>
                <w:kern w:val="0"/>
                <w:szCs w:val="21"/>
                <w:lang w:eastAsia="en-US"/>
              </w:rPr>
              <w:t>；枯水期</w:t>
            </w:r>
            <w:r>
              <w:rPr>
                <w:rFonts w:hint="eastAsia"/>
                <w:color w:val="auto"/>
                <w:kern w:val="0"/>
                <w:szCs w:val="21"/>
              </w:rPr>
              <w:t>□；</w:t>
            </w:r>
            <w:r>
              <w:rPr>
                <w:color w:val="auto"/>
                <w:kern w:val="0"/>
                <w:szCs w:val="21"/>
                <w:lang w:eastAsia="en-US"/>
              </w:rPr>
              <w:t>平水期</w:t>
            </w:r>
            <w:r>
              <w:rPr>
                <w:rFonts w:hint="eastAsia"/>
                <w:color w:val="auto"/>
                <w:kern w:val="0"/>
                <w:szCs w:val="21"/>
              </w:rPr>
              <w:t>□</w:t>
            </w:r>
          </w:p>
        </w:tc>
      </w:tr>
      <w:tr w14:paraId="28D2F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7" w:type="pct"/>
            <w:vMerge w:val="continue"/>
            <w:tcBorders>
              <w:top w:val="nil"/>
              <w:bottom w:val="nil"/>
            </w:tcBorders>
            <w:vAlign w:val="center"/>
          </w:tcPr>
          <w:p w14:paraId="29D3C72C">
            <w:pPr>
              <w:widowControl/>
              <w:jc w:val="center"/>
              <w:rPr>
                <w:color w:val="auto"/>
                <w:kern w:val="0"/>
                <w:szCs w:val="21"/>
                <w:lang w:eastAsia="en-US"/>
              </w:rPr>
            </w:pPr>
          </w:p>
        </w:tc>
        <w:tc>
          <w:tcPr>
            <w:tcW w:w="864" w:type="pct"/>
            <w:vAlign w:val="center"/>
          </w:tcPr>
          <w:p w14:paraId="3C8CAC31">
            <w:pPr>
              <w:widowControl/>
              <w:jc w:val="center"/>
              <w:rPr>
                <w:color w:val="auto"/>
                <w:kern w:val="0"/>
                <w:szCs w:val="21"/>
                <w:lang w:eastAsia="en-US"/>
              </w:rPr>
            </w:pPr>
            <w:r>
              <w:rPr>
                <w:color w:val="auto"/>
                <w:kern w:val="0"/>
                <w:szCs w:val="21"/>
                <w:lang w:eastAsia="en-US"/>
              </w:rPr>
              <w:t>所在区域的生态问题</w:t>
            </w:r>
          </w:p>
        </w:tc>
        <w:tc>
          <w:tcPr>
            <w:tcW w:w="3577" w:type="pct"/>
            <w:vAlign w:val="center"/>
          </w:tcPr>
          <w:p w14:paraId="7BB6A488">
            <w:pPr>
              <w:widowControl/>
              <w:rPr>
                <w:color w:val="auto"/>
                <w:kern w:val="0"/>
                <w:szCs w:val="21"/>
              </w:rPr>
            </w:pPr>
            <w:r>
              <w:rPr>
                <w:color w:val="auto"/>
                <w:kern w:val="0"/>
                <w:szCs w:val="21"/>
              </w:rPr>
              <w:t>水土流失</w:t>
            </w:r>
            <w:r>
              <w:rPr>
                <w:rFonts w:hint="eastAsia"/>
                <w:color w:val="auto"/>
                <w:kern w:val="0"/>
                <w:szCs w:val="21"/>
              </w:rPr>
              <w:t>□</w:t>
            </w:r>
            <w:r>
              <w:rPr>
                <w:color w:val="auto"/>
                <w:kern w:val="0"/>
                <w:szCs w:val="21"/>
              </w:rPr>
              <w:t>；沙漠化</w:t>
            </w:r>
            <w:r>
              <w:rPr>
                <w:rFonts w:hint="eastAsia"/>
                <w:color w:val="auto"/>
                <w:kern w:val="0"/>
                <w:szCs w:val="21"/>
              </w:rPr>
              <w:t>□</w:t>
            </w:r>
            <w:r>
              <w:rPr>
                <w:color w:val="auto"/>
                <w:kern w:val="0"/>
                <w:szCs w:val="21"/>
              </w:rPr>
              <w:t>；石漠化</w:t>
            </w:r>
            <w:r>
              <w:rPr>
                <w:rFonts w:hint="eastAsia"/>
                <w:color w:val="auto"/>
                <w:kern w:val="0"/>
                <w:szCs w:val="21"/>
              </w:rPr>
              <w:t>□</w:t>
            </w:r>
            <w:r>
              <w:rPr>
                <w:color w:val="auto"/>
                <w:kern w:val="0"/>
                <w:szCs w:val="21"/>
              </w:rPr>
              <w:t>；盐渍化</w:t>
            </w:r>
            <w:r>
              <w:rPr>
                <w:rFonts w:hint="eastAsia"/>
                <w:color w:val="auto"/>
                <w:kern w:val="0"/>
                <w:szCs w:val="21"/>
              </w:rPr>
              <w:t>□</w:t>
            </w:r>
            <w:r>
              <w:rPr>
                <w:color w:val="auto"/>
                <w:kern w:val="0"/>
                <w:szCs w:val="21"/>
              </w:rPr>
              <w:t>；生物入侵</w:t>
            </w:r>
            <w:r>
              <w:rPr>
                <w:rFonts w:hint="eastAsia"/>
                <w:color w:val="auto"/>
                <w:kern w:val="0"/>
                <w:szCs w:val="21"/>
              </w:rPr>
              <w:t>□</w:t>
            </w:r>
            <w:r>
              <w:rPr>
                <w:color w:val="auto"/>
                <w:kern w:val="0"/>
                <w:szCs w:val="21"/>
              </w:rPr>
              <w:t>；污染危害</w:t>
            </w:r>
            <w:r>
              <w:rPr>
                <w:rFonts w:hint="eastAsia"/>
                <w:color w:val="auto"/>
                <w:kern w:val="0"/>
                <w:szCs w:val="21"/>
              </w:rPr>
              <w:t>□</w:t>
            </w:r>
            <w:r>
              <w:rPr>
                <w:color w:val="auto"/>
                <w:kern w:val="0"/>
                <w:szCs w:val="21"/>
              </w:rPr>
              <w:t>；其他</w:t>
            </w:r>
            <w:r>
              <w:rPr>
                <w:rFonts w:hint="eastAsia"/>
                <w:color w:val="auto"/>
                <w:kern w:val="0"/>
                <w:szCs w:val="21"/>
              </w:rPr>
              <w:t>☑</w:t>
            </w:r>
          </w:p>
        </w:tc>
      </w:tr>
      <w:tr w14:paraId="5D369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7" w:type="pct"/>
            <w:vMerge w:val="continue"/>
            <w:tcBorders>
              <w:top w:val="nil"/>
            </w:tcBorders>
            <w:vAlign w:val="center"/>
          </w:tcPr>
          <w:p w14:paraId="41644523">
            <w:pPr>
              <w:widowControl/>
              <w:jc w:val="center"/>
              <w:rPr>
                <w:color w:val="auto"/>
                <w:kern w:val="0"/>
                <w:szCs w:val="21"/>
              </w:rPr>
            </w:pPr>
          </w:p>
        </w:tc>
        <w:tc>
          <w:tcPr>
            <w:tcW w:w="864" w:type="pct"/>
            <w:vAlign w:val="center"/>
          </w:tcPr>
          <w:p w14:paraId="3EBD39F7">
            <w:pPr>
              <w:widowControl/>
              <w:jc w:val="center"/>
              <w:rPr>
                <w:color w:val="auto"/>
                <w:kern w:val="0"/>
                <w:szCs w:val="21"/>
                <w:lang w:eastAsia="en-US"/>
              </w:rPr>
            </w:pPr>
            <w:r>
              <w:rPr>
                <w:color w:val="auto"/>
                <w:kern w:val="0"/>
                <w:szCs w:val="21"/>
                <w:lang w:eastAsia="en-US"/>
              </w:rPr>
              <w:t>评价内容</w:t>
            </w:r>
          </w:p>
        </w:tc>
        <w:tc>
          <w:tcPr>
            <w:tcW w:w="3577" w:type="pct"/>
            <w:vAlign w:val="center"/>
          </w:tcPr>
          <w:p w14:paraId="7C6581EF">
            <w:pPr>
              <w:widowControl/>
              <w:rPr>
                <w:color w:val="auto"/>
                <w:kern w:val="0"/>
                <w:szCs w:val="21"/>
              </w:rPr>
            </w:pPr>
            <w:r>
              <w:rPr>
                <w:color w:val="auto"/>
                <w:kern w:val="0"/>
                <w:szCs w:val="21"/>
              </w:rPr>
              <w:t>植被/植物群落</w:t>
            </w:r>
            <w:r>
              <w:rPr>
                <w:rFonts w:hint="eastAsia"/>
                <w:color w:val="auto"/>
                <w:kern w:val="0"/>
                <w:szCs w:val="21"/>
              </w:rPr>
              <w:t>☑</w:t>
            </w:r>
            <w:r>
              <w:rPr>
                <w:color w:val="auto"/>
                <w:kern w:val="0"/>
                <w:szCs w:val="21"/>
              </w:rPr>
              <w:t>；土地利用</w:t>
            </w:r>
            <w:r>
              <w:rPr>
                <w:rFonts w:hint="eastAsia"/>
                <w:color w:val="auto"/>
                <w:kern w:val="0"/>
                <w:szCs w:val="21"/>
              </w:rPr>
              <w:t>□</w:t>
            </w:r>
            <w:r>
              <w:rPr>
                <w:color w:val="auto"/>
                <w:kern w:val="0"/>
                <w:szCs w:val="21"/>
              </w:rPr>
              <w:t>；生态系统</w:t>
            </w:r>
            <w:r>
              <w:rPr>
                <w:rFonts w:hint="eastAsia"/>
                <w:color w:val="auto"/>
                <w:kern w:val="0"/>
                <w:szCs w:val="21"/>
              </w:rPr>
              <w:t>☑</w:t>
            </w:r>
            <w:r>
              <w:rPr>
                <w:color w:val="auto"/>
                <w:kern w:val="0"/>
                <w:szCs w:val="21"/>
              </w:rPr>
              <w:t>；生物多样性</w:t>
            </w:r>
            <w:r>
              <w:rPr>
                <w:rFonts w:hint="eastAsia"/>
                <w:color w:val="auto"/>
                <w:kern w:val="0"/>
                <w:szCs w:val="21"/>
              </w:rPr>
              <w:t>☑</w:t>
            </w:r>
            <w:r>
              <w:rPr>
                <w:color w:val="auto"/>
                <w:kern w:val="0"/>
                <w:szCs w:val="21"/>
              </w:rPr>
              <w:t>；重要物种</w:t>
            </w:r>
            <w:r>
              <w:rPr>
                <w:rFonts w:hint="eastAsia"/>
                <w:color w:val="auto"/>
                <w:kern w:val="0"/>
                <w:szCs w:val="21"/>
              </w:rPr>
              <w:t>☑</w:t>
            </w:r>
            <w:r>
              <w:rPr>
                <w:color w:val="auto"/>
                <w:kern w:val="0"/>
                <w:szCs w:val="21"/>
              </w:rPr>
              <w:t>；生态敏感区</w:t>
            </w:r>
            <w:r>
              <w:rPr>
                <w:rFonts w:hint="eastAsia"/>
                <w:color w:val="auto"/>
                <w:kern w:val="0"/>
                <w:szCs w:val="21"/>
              </w:rPr>
              <w:t>☑</w:t>
            </w:r>
            <w:r>
              <w:rPr>
                <w:color w:val="auto"/>
                <w:kern w:val="0"/>
                <w:szCs w:val="21"/>
              </w:rPr>
              <w:t>；其他</w:t>
            </w:r>
            <w:r>
              <w:rPr>
                <w:rFonts w:hint="eastAsia"/>
                <w:color w:val="auto"/>
                <w:kern w:val="0"/>
                <w:szCs w:val="21"/>
              </w:rPr>
              <w:t>□</w:t>
            </w:r>
          </w:p>
        </w:tc>
      </w:tr>
      <w:tr w14:paraId="79E84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vMerge w:val="restart"/>
            <w:tcBorders>
              <w:bottom w:val="nil"/>
            </w:tcBorders>
            <w:vAlign w:val="center"/>
          </w:tcPr>
          <w:p w14:paraId="12A897C8">
            <w:pPr>
              <w:widowControl/>
              <w:jc w:val="center"/>
              <w:rPr>
                <w:color w:val="auto"/>
                <w:kern w:val="0"/>
                <w:szCs w:val="21"/>
                <w:lang w:eastAsia="en-US"/>
              </w:rPr>
            </w:pPr>
            <w:r>
              <w:rPr>
                <w:color w:val="auto"/>
                <w:kern w:val="0"/>
                <w:szCs w:val="21"/>
                <w:lang w:eastAsia="en-US"/>
              </w:rPr>
              <w:t>生态影响</w:t>
            </w:r>
          </w:p>
          <w:p w14:paraId="68D39B6F">
            <w:pPr>
              <w:widowControl/>
              <w:jc w:val="center"/>
              <w:rPr>
                <w:color w:val="auto"/>
                <w:kern w:val="0"/>
                <w:szCs w:val="21"/>
                <w:lang w:eastAsia="en-US"/>
              </w:rPr>
            </w:pPr>
            <w:r>
              <w:rPr>
                <w:color w:val="auto"/>
                <w:kern w:val="0"/>
                <w:szCs w:val="21"/>
                <w:lang w:eastAsia="en-US"/>
              </w:rPr>
              <w:t>预测与</w:t>
            </w:r>
          </w:p>
          <w:p w14:paraId="18FEF1FB">
            <w:pPr>
              <w:widowControl/>
              <w:jc w:val="center"/>
              <w:rPr>
                <w:color w:val="auto"/>
                <w:kern w:val="0"/>
                <w:szCs w:val="21"/>
                <w:lang w:eastAsia="en-US"/>
              </w:rPr>
            </w:pPr>
            <w:r>
              <w:rPr>
                <w:color w:val="auto"/>
                <w:kern w:val="0"/>
                <w:szCs w:val="21"/>
                <w:lang w:eastAsia="en-US"/>
              </w:rPr>
              <w:t>评价</w:t>
            </w:r>
          </w:p>
        </w:tc>
        <w:tc>
          <w:tcPr>
            <w:tcW w:w="864" w:type="pct"/>
            <w:vAlign w:val="center"/>
          </w:tcPr>
          <w:p w14:paraId="0795D8F1">
            <w:pPr>
              <w:widowControl/>
              <w:jc w:val="center"/>
              <w:rPr>
                <w:color w:val="auto"/>
                <w:kern w:val="0"/>
                <w:szCs w:val="21"/>
                <w:lang w:eastAsia="en-US"/>
              </w:rPr>
            </w:pPr>
            <w:r>
              <w:rPr>
                <w:color w:val="auto"/>
                <w:kern w:val="0"/>
                <w:szCs w:val="21"/>
                <w:lang w:eastAsia="en-US"/>
              </w:rPr>
              <w:t>评价方法</w:t>
            </w:r>
          </w:p>
        </w:tc>
        <w:tc>
          <w:tcPr>
            <w:tcW w:w="3577" w:type="pct"/>
            <w:vAlign w:val="center"/>
          </w:tcPr>
          <w:p w14:paraId="1AB05637">
            <w:pPr>
              <w:widowControl/>
              <w:rPr>
                <w:color w:val="auto"/>
                <w:kern w:val="0"/>
                <w:szCs w:val="21"/>
                <w:lang w:eastAsia="en-US"/>
              </w:rPr>
            </w:pPr>
            <w:r>
              <w:rPr>
                <w:color w:val="auto"/>
                <w:kern w:val="0"/>
                <w:szCs w:val="21"/>
                <w:lang w:eastAsia="en-US"/>
              </w:rPr>
              <w:t>定性</w:t>
            </w:r>
            <w:r>
              <w:rPr>
                <w:rFonts w:hint="eastAsia"/>
                <w:color w:val="auto"/>
                <w:kern w:val="0"/>
                <w:szCs w:val="21"/>
              </w:rPr>
              <w:t>□</w:t>
            </w:r>
            <w:r>
              <w:rPr>
                <w:color w:val="auto"/>
                <w:kern w:val="0"/>
                <w:szCs w:val="21"/>
                <w:lang w:eastAsia="en-US"/>
              </w:rPr>
              <w:t>；定性和定量</w:t>
            </w:r>
            <w:r>
              <w:rPr>
                <w:rFonts w:hint="eastAsia"/>
                <w:color w:val="auto"/>
                <w:kern w:val="0"/>
                <w:szCs w:val="21"/>
              </w:rPr>
              <w:t>☑</w:t>
            </w:r>
          </w:p>
        </w:tc>
      </w:tr>
      <w:tr w14:paraId="26871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57" w:type="pct"/>
            <w:vMerge w:val="continue"/>
            <w:tcBorders>
              <w:top w:val="nil"/>
            </w:tcBorders>
            <w:vAlign w:val="center"/>
          </w:tcPr>
          <w:p w14:paraId="5FC9DB20">
            <w:pPr>
              <w:widowControl/>
              <w:jc w:val="center"/>
              <w:rPr>
                <w:color w:val="auto"/>
                <w:kern w:val="0"/>
                <w:szCs w:val="21"/>
                <w:lang w:eastAsia="en-US"/>
              </w:rPr>
            </w:pPr>
          </w:p>
        </w:tc>
        <w:tc>
          <w:tcPr>
            <w:tcW w:w="864" w:type="pct"/>
            <w:vAlign w:val="center"/>
          </w:tcPr>
          <w:p w14:paraId="5DE8447F">
            <w:pPr>
              <w:widowControl/>
              <w:jc w:val="center"/>
              <w:rPr>
                <w:color w:val="auto"/>
                <w:kern w:val="0"/>
                <w:szCs w:val="21"/>
                <w:lang w:eastAsia="en-US"/>
              </w:rPr>
            </w:pPr>
            <w:r>
              <w:rPr>
                <w:color w:val="auto"/>
                <w:kern w:val="0"/>
                <w:szCs w:val="21"/>
                <w:lang w:eastAsia="en-US"/>
              </w:rPr>
              <w:t>评价内容</w:t>
            </w:r>
          </w:p>
        </w:tc>
        <w:tc>
          <w:tcPr>
            <w:tcW w:w="3577" w:type="pct"/>
            <w:vAlign w:val="center"/>
          </w:tcPr>
          <w:p w14:paraId="3298AF3A">
            <w:pPr>
              <w:widowControl/>
              <w:rPr>
                <w:color w:val="auto"/>
                <w:kern w:val="0"/>
                <w:szCs w:val="21"/>
              </w:rPr>
            </w:pPr>
            <w:r>
              <w:rPr>
                <w:color w:val="auto"/>
                <w:kern w:val="0"/>
                <w:szCs w:val="21"/>
              </w:rPr>
              <w:t>植被/植物群落</w:t>
            </w:r>
            <w:r>
              <w:rPr>
                <w:rFonts w:hint="eastAsia"/>
                <w:color w:val="auto"/>
                <w:kern w:val="0"/>
                <w:szCs w:val="21"/>
              </w:rPr>
              <w:t>☑</w:t>
            </w:r>
            <w:r>
              <w:rPr>
                <w:color w:val="auto"/>
                <w:kern w:val="0"/>
                <w:szCs w:val="21"/>
              </w:rPr>
              <w:t>；土地利用</w:t>
            </w:r>
            <w:r>
              <w:rPr>
                <w:rFonts w:hint="eastAsia"/>
                <w:color w:val="auto"/>
                <w:kern w:val="0"/>
                <w:szCs w:val="21"/>
              </w:rPr>
              <w:t>□</w:t>
            </w:r>
            <w:r>
              <w:rPr>
                <w:color w:val="auto"/>
                <w:kern w:val="0"/>
                <w:szCs w:val="21"/>
              </w:rPr>
              <w:t>；生态系统</w:t>
            </w:r>
            <w:r>
              <w:rPr>
                <w:rFonts w:hint="eastAsia"/>
                <w:color w:val="auto"/>
                <w:kern w:val="0"/>
                <w:szCs w:val="21"/>
              </w:rPr>
              <w:t>☑</w:t>
            </w:r>
            <w:r>
              <w:rPr>
                <w:color w:val="auto"/>
                <w:kern w:val="0"/>
                <w:szCs w:val="21"/>
              </w:rPr>
              <w:t>；生物多样性</w:t>
            </w:r>
            <w:r>
              <w:rPr>
                <w:rFonts w:hint="eastAsia"/>
                <w:color w:val="auto"/>
                <w:kern w:val="0"/>
                <w:szCs w:val="21"/>
              </w:rPr>
              <w:t>☑</w:t>
            </w:r>
            <w:r>
              <w:rPr>
                <w:color w:val="auto"/>
                <w:kern w:val="0"/>
                <w:szCs w:val="21"/>
              </w:rPr>
              <w:t>；重要物种</w:t>
            </w:r>
            <w:r>
              <w:rPr>
                <w:rFonts w:hint="eastAsia"/>
                <w:color w:val="auto"/>
                <w:kern w:val="0"/>
                <w:szCs w:val="21"/>
              </w:rPr>
              <w:t>☑</w:t>
            </w:r>
            <w:r>
              <w:rPr>
                <w:color w:val="auto"/>
                <w:kern w:val="0"/>
                <w:szCs w:val="21"/>
              </w:rPr>
              <w:t>；生态敏感区</w:t>
            </w:r>
            <w:r>
              <w:rPr>
                <w:rFonts w:hint="eastAsia"/>
                <w:color w:val="auto"/>
                <w:kern w:val="0"/>
                <w:szCs w:val="21"/>
              </w:rPr>
              <w:t>☑</w:t>
            </w:r>
            <w:r>
              <w:rPr>
                <w:color w:val="auto"/>
                <w:kern w:val="0"/>
                <w:szCs w:val="21"/>
              </w:rPr>
              <w:t>；生物入侵风险</w:t>
            </w:r>
            <w:r>
              <w:rPr>
                <w:rFonts w:hint="eastAsia"/>
                <w:color w:val="auto"/>
                <w:kern w:val="0"/>
                <w:szCs w:val="21"/>
              </w:rPr>
              <w:t>□</w:t>
            </w:r>
            <w:r>
              <w:rPr>
                <w:color w:val="auto"/>
                <w:kern w:val="0"/>
                <w:szCs w:val="21"/>
              </w:rPr>
              <w:t>；其他</w:t>
            </w:r>
            <w:r>
              <w:rPr>
                <w:rFonts w:hint="eastAsia"/>
                <w:color w:val="auto"/>
                <w:kern w:val="0"/>
                <w:szCs w:val="21"/>
              </w:rPr>
              <w:t>□</w:t>
            </w:r>
          </w:p>
        </w:tc>
      </w:tr>
      <w:tr w14:paraId="3FC7C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vMerge w:val="restart"/>
            <w:tcBorders>
              <w:bottom w:val="nil"/>
            </w:tcBorders>
            <w:vAlign w:val="center"/>
          </w:tcPr>
          <w:p w14:paraId="28934551">
            <w:pPr>
              <w:widowControl/>
              <w:jc w:val="center"/>
              <w:rPr>
                <w:color w:val="auto"/>
                <w:kern w:val="0"/>
                <w:szCs w:val="21"/>
                <w:lang w:eastAsia="en-US"/>
              </w:rPr>
            </w:pPr>
            <w:r>
              <w:rPr>
                <w:color w:val="auto"/>
                <w:kern w:val="0"/>
                <w:szCs w:val="21"/>
                <w:lang w:eastAsia="en-US"/>
              </w:rPr>
              <w:t>生态保护</w:t>
            </w:r>
          </w:p>
          <w:p w14:paraId="34D70DD1">
            <w:pPr>
              <w:widowControl/>
              <w:jc w:val="center"/>
              <w:rPr>
                <w:color w:val="auto"/>
                <w:kern w:val="0"/>
                <w:szCs w:val="21"/>
                <w:lang w:eastAsia="en-US"/>
              </w:rPr>
            </w:pPr>
            <w:r>
              <w:rPr>
                <w:color w:val="auto"/>
                <w:kern w:val="0"/>
                <w:szCs w:val="21"/>
                <w:lang w:eastAsia="en-US"/>
              </w:rPr>
              <w:t>对策措施</w:t>
            </w:r>
          </w:p>
        </w:tc>
        <w:tc>
          <w:tcPr>
            <w:tcW w:w="864" w:type="pct"/>
            <w:vAlign w:val="center"/>
          </w:tcPr>
          <w:p w14:paraId="3939D927">
            <w:pPr>
              <w:widowControl/>
              <w:jc w:val="center"/>
              <w:rPr>
                <w:color w:val="auto"/>
                <w:kern w:val="0"/>
                <w:szCs w:val="21"/>
                <w:lang w:eastAsia="en-US"/>
              </w:rPr>
            </w:pPr>
            <w:r>
              <w:rPr>
                <w:color w:val="auto"/>
                <w:kern w:val="0"/>
                <w:szCs w:val="21"/>
                <w:lang w:eastAsia="en-US"/>
              </w:rPr>
              <w:t>对策措施</w:t>
            </w:r>
          </w:p>
        </w:tc>
        <w:tc>
          <w:tcPr>
            <w:tcW w:w="3577" w:type="pct"/>
            <w:vAlign w:val="center"/>
          </w:tcPr>
          <w:p w14:paraId="7B4C78EB">
            <w:pPr>
              <w:widowControl/>
              <w:rPr>
                <w:color w:val="auto"/>
                <w:kern w:val="0"/>
                <w:szCs w:val="21"/>
              </w:rPr>
            </w:pPr>
            <w:r>
              <w:rPr>
                <w:color w:val="auto"/>
                <w:kern w:val="0"/>
                <w:szCs w:val="21"/>
              </w:rPr>
              <w:t>避让</w:t>
            </w:r>
            <w:r>
              <w:rPr>
                <w:rFonts w:hint="eastAsia"/>
                <w:color w:val="auto"/>
                <w:kern w:val="0"/>
                <w:szCs w:val="21"/>
              </w:rPr>
              <w:t>☑</w:t>
            </w:r>
            <w:r>
              <w:rPr>
                <w:color w:val="auto"/>
                <w:kern w:val="0"/>
                <w:szCs w:val="21"/>
              </w:rPr>
              <w:t>；减缓</w:t>
            </w:r>
            <w:r>
              <w:rPr>
                <w:rFonts w:hint="eastAsia"/>
                <w:color w:val="auto"/>
                <w:kern w:val="0"/>
                <w:szCs w:val="21"/>
              </w:rPr>
              <w:t>☑</w:t>
            </w:r>
            <w:r>
              <w:rPr>
                <w:color w:val="auto"/>
                <w:kern w:val="0"/>
                <w:szCs w:val="21"/>
              </w:rPr>
              <w:t>；生态修复</w:t>
            </w:r>
            <w:r>
              <w:rPr>
                <w:rFonts w:hint="eastAsia"/>
                <w:color w:val="auto"/>
                <w:kern w:val="0"/>
                <w:szCs w:val="21"/>
              </w:rPr>
              <w:t>☑</w:t>
            </w:r>
            <w:r>
              <w:rPr>
                <w:color w:val="auto"/>
                <w:kern w:val="0"/>
                <w:szCs w:val="21"/>
              </w:rPr>
              <w:t>；生态补偿</w:t>
            </w:r>
            <w:r>
              <w:rPr>
                <w:rFonts w:hint="eastAsia"/>
                <w:color w:val="auto"/>
                <w:kern w:val="0"/>
                <w:szCs w:val="21"/>
              </w:rPr>
              <w:t>☑</w:t>
            </w:r>
            <w:r>
              <w:rPr>
                <w:color w:val="auto"/>
                <w:kern w:val="0"/>
                <w:szCs w:val="21"/>
              </w:rPr>
              <w:t>；科研</w:t>
            </w:r>
            <w:r>
              <w:rPr>
                <w:rFonts w:hint="eastAsia"/>
                <w:color w:val="auto"/>
                <w:kern w:val="0"/>
                <w:szCs w:val="21"/>
              </w:rPr>
              <w:t>□</w:t>
            </w:r>
            <w:r>
              <w:rPr>
                <w:color w:val="auto"/>
                <w:kern w:val="0"/>
                <w:szCs w:val="21"/>
              </w:rPr>
              <w:t>；其他</w:t>
            </w:r>
            <w:r>
              <w:rPr>
                <w:rFonts w:hint="eastAsia"/>
                <w:color w:val="auto"/>
                <w:kern w:val="0"/>
                <w:szCs w:val="21"/>
              </w:rPr>
              <w:t>□</w:t>
            </w:r>
          </w:p>
        </w:tc>
      </w:tr>
      <w:tr w14:paraId="573BA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vMerge w:val="continue"/>
            <w:tcBorders>
              <w:top w:val="nil"/>
              <w:bottom w:val="nil"/>
            </w:tcBorders>
            <w:vAlign w:val="center"/>
          </w:tcPr>
          <w:p w14:paraId="6D5F4426">
            <w:pPr>
              <w:widowControl/>
              <w:jc w:val="center"/>
              <w:rPr>
                <w:color w:val="auto"/>
                <w:kern w:val="0"/>
                <w:szCs w:val="21"/>
              </w:rPr>
            </w:pPr>
          </w:p>
        </w:tc>
        <w:tc>
          <w:tcPr>
            <w:tcW w:w="864" w:type="pct"/>
            <w:vAlign w:val="center"/>
          </w:tcPr>
          <w:p w14:paraId="7AC64842">
            <w:pPr>
              <w:widowControl/>
              <w:jc w:val="center"/>
              <w:rPr>
                <w:color w:val="auto"/>
                <w:kern w:val="0"/>
                <w:szCs w:val="21"/>
                <w:lang w:eastAsia="en-US"/>
              </w:rPr>
            </w:pPr>
            <w:r>
              <w:rPr>
                <w:color w:val="auto"/>
                <w:kern w:val="0"/>
                <w:szCs w:val="21"/>
                <w:lang w:eastAsia="en-US"/>
              </w:rPr>
              <w:t>生态监测计划</w:t>
            </w:r>
          </w:p>
        </w:tc>
        <w:tc>
          <w:tcPr>
            <w:tcW w:w="3577" w:type="pct"/>
            <w:vAlign w:val="center"/>
          </w:tcPr>
          <w:p w14:paraId="23CEFFE5">
            <w:pPr>
              <w:widowControl/>
              <w:rPr>
                <w:color w:val="auto"/>
                <w:kern w:val="0"/>
                <w:szCs w:val="21"/>
              </w:rPr>
            </w:pPr>
            <w:r>
              <w:rPr>
                <w:color w:val="auto"/>
                <w:kern w:val="0"/>
                <w:szCs w:val="21"/>
              </w:rPr>
              <w:t>全生命周期</w:t>
            </w:r>
            <w:r>
              <w:rPr>
                <w:rFonts w:hint="eastAsia"/>
                <w:color w:val="auto"/>
                <w:kern w:val="0"/>
                <w:szCs w:val="21"/>
              </w:rPr>
              <w:t>☑</w:t>
            </w:r>
            <w:r>
              <w:rPr>
                <w:color w:val="auto"/>
                <w:kern w:val="0"/>
                <w:szCs w:val="21"/>
              </w:rPr>
              <w:t>；长期跟踪</w:t>
            </w:r>
            <w:r>
              <w:rPr>
                <w:rFonts w:hint="eastAsia"/>
                <w:color w:val="auto"/>
                <w:kern w:val="0"/>
                <w:szCs w:val="21"/>
              </w:rPr>
              <w:t>□</w:t>
            </w:r>
            <w:r>
              <w:rPr>
                <w:color w:val="auto"/>
                <w:kern w:val="0"/>
                <w:szCs w:val="21"/>
              </w:rPr>
              <w:t>；常规</w:t>
            </w:r>
            <w:r>
              <w:rPr>
                <w:rFonts w:hint="eastAsia"/>
                <w:color w:val="auto"/>
                <w:kern w:val="0"/>
                <w:szCs w:val="21"/>
              </w:rPr>
              <w:t>□</w:t>
            </w:r>
            <w:r>
              <w:rPr>
                <w:color w:val="auto"/>
                <w:kern w:val="0"/>
                <w:szCs w:val="21"/>
              </w:rPr>
              <w:t>；无□</w:t>
            </w:r>
          </w:p>
        </w:tc>
      </w:tr>
      <w:tr w14:paraId="2B5DF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7" w:type="pct"/>
            <w:vMerge w:val="continue"/>
            <w:tcBorders>
              <w:top w:val="nil"/>
            </w:tcBorders>
            <w:vAlign w:val="center"/>
          </w:tcPr>
          <w:p w14:paraId="269C1CCB">
            <w:pPr>
              <w:widowControl/>
              <w:jc w:val="center"/>
              <w:rPr>
                <w:color w:val="auto"/>
                <w:kern w:val="0"/>
                <w:szCs w:val="21"/>
              </w:rPr>
            </w:pPr>
          </w:p>
        </w:tc>
        <w:tc>
          <w:tcPr>
            <w:tcW w:w="864" w:type="pct"/>
            <w:vAlign w:val="center"/>
          </w:tcPr>
          <w:p w14:paraId="4E097123">
            <w:pPr>
              <w:widowControl/>
              <w:jc w:val="center"/>
              <w:rPr>
                <w:color w:val="auto"/>
                <w:kern w:val="0"/>
                <w:szCs w:val="21"/>
                <w:lang w:eastAsia="en-US"/>
              </w:rPr>
            </w:pPr>
            <w:r>
              <w:rPr>
                <w:color w:val="auto"/>
                <w:kern w:val="0"/>
                <w:szCs w:val="21"/>
                <w:lang w:eastAsia="en-US"/>
              </w:rPr>
              <w:t>环境管理</w:t>
            </w:r>
          </w:p>
        </w:tc>
        <w:tc>
          <w:tcPr>
            <w:tcW w:w="3577" w:type="pct"/>
            <w:vAlign w:val="center"/>
          </w:tcPr>
          <w:p w14:paraId="5B4619F0">
            <w:pPr>
              <w:widowControl/>
              <w:rPr>
                <w:color w:val="auto"/>
                <w:kern w:val="0"/>
                <w:szCs w:val="21"/>
              </w:rPr>
            </w:pPr>
            <w:r>
              <w:rPr>
                <w:color w:val="auto"/>
                <w:kern w:val="0"/>
                <w:szCs w:val="21"/>
              </w:rPr>
              <w:t>环境监理</w:t>
            </w:r>
            <w:r>
              <w:rPr>
                <w:rFonts w:hint="eastAsia"/>
                <w:color w:val="auto"/>
                <w:kern w:val="0"/>
                <w:szCs w:val="21"/>
              </w:rPr>
              <w:t>☑</w:t>
            </w:r>
            <w:r>
              <w:rPr>
                <w:color w:val="auto"/>
                <w:kern w:val="0"/>
                <w:szCs w:val="21"/>
              </w:rPr>
              <w:t>；环境影响后评价</w:t>
            </w:r>
            <w:r>
              <w:rPr>
                <w:rFonts w:hint="eastAsia"/>
                <w:color w:val="auto"/>
                <w:kern w:val="0"/>
                <w:szCs w:val="21"/>
              </w:rPr>
              <w:t>□</w:t>
            </w:r>
            <w:r>
              <w:rPr>
                <w:color w:val="auto"/>
                <w:kern w:val="0"/>
                <w:szCs w:val="21"/>
              </w:rPr>
              <w:t>；其他□</w:t>
            </w:r>
          </w:p>
        </w:tc>
      </w:tr>
      <w:tr w14:paraId="1F7A7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57" w:type="pct"/>
            <w:vAlign w:val="center"/>
          </w:tcPr>
          <w:p w14:paraId="4FF1C250">
            <w:pPr>
              <w:widowControl/>
              <w:jc w:val="center"/>
              <w:rPr>
                <w:color w:val="auto"/>
                <w:kern w:val="0"/>
                <w:szCs w:val="21"/>
                <w:lang w:eastAsia="en-US"/>
              </w:rPr>
            </w:pPr>
            <w:r>
              <w:rPr>
                <w:color w:val="auto"/>
                <w:kern w:val="0"/>
                <w:szCs w:val="21"/>
                <w:lang w:eastAsia="en-US"/>
              </w:rPr>
              <w:t>评价结论</w:t>
            </w:r>
          </w:p>
        </w:tc>
        <w:tc>
          <w:tcPr>
            <w:tcW w:w="864" w:type="pct"/>
            <w:vAlign w:val="center"/>
          </w:tcPr>
          <w:p w14:paraId="08B857F3">
            <w:pPr>
              <w:widowControl/>
              <w:jc w:val="center"/>
              <w:rPr>
                <w:color w:val="auto"/>
                <w:kern w:val="0"/>
                <w:szCs w:val="21"/>
                <w:lang w:eastAsia="en-US"/>
              </w:rPr>
            </w:pPr>
            <w:r>
              <w:rPr>
                <w:color w:val="auto"/>
                <w:kern w:val="0"/>
                <w:szCs w:val="21"/>
                <w:lang w:eastAsia="en-US"/>
              </w:rPr>
              <w:t>生态影响</w:t>
            </w:r>
          </w:p>
        </w:tc>
        <w:tc>
          <w:tcPr>
            <w:tcW w:w="3577" w:type="pct"/>
            <w:vAlign w:val="center"/>
          </w:tcPr>
          <w:p w14:paraId="2312B36F">
            <w:pPr>
              <w:widowControl/>
              <w:rPr>
                <w:color w:val="auto"/>
                <w:kern w:val="0"/>
                <w:szCs w:val="21"/>
                <w:lang w:eastAsia="en-US"/>
              </w:rPr>
            </w:pPr>
            <w:r>
              <w:rPr>
                <w:color w:val="auto"/>
                <w:kern w:val="0"/>
                <w:szCs w:val="21"/>
                <w:lang w:eastAsia="en-US"/>
              </w:rPr>
              <w:t>可行</w:t>
            </w:r>
            <w:r>
              <w:rPr>
                <w:rFonts w:hint="eastAsia"/>
                <w:color w:val="auto"/>
                <w:kern w:val="0"/>
                <w:szCs w:val="21"/>
              </w:rPr>
              <w:t>☑</w:t>
            </w:r>
            <w:r>
              <w:rPr>
                <w:color w:val="auto"/>
                <w:kern w:val="0"/>
                <w:szCs w:val="21"/>
                <w:lang w:eastAsia="en-US"/>
              </w:rPr>
              <w:t>；不可行□</w:t>
            </w:r>
          </w:p>
        </w:tc>
      </w:tr>
    </w:tbl>
    <w:p w14:paraId="08714443">
      <w:pPr>
        <w:rPr>
          <w:color w:val="auto"/>
        </w:rPr>
      </w:pPr>
    </w:p>
    <w:sectPr>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auto"/>
    <w:pitch w:val="default"/>
    <w:sig w:usb0="00000000" w:usb1="00000000" w:usb2="00000000" w:usb3="00000000" w:csb0="00040001" w:csb1="00000000"/>
  </w:font>
  <w:font w:name="HYShuSongErKW">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9EF7">
    <w:pPr>
      <w:pStyle w:val="17"/>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1A11D">
    <w:pPr>
      <w:pStyle w:val="9"/>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4EF75">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E34EF75">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B3E5">
    <w:pPr>
      <w:snapToGrid w:val="0"/>
      <w:rPr>
        <w:sz w:val="18"/>
        <w:szCs w:val="18"/>
      </w:rPr>
    </w:pPr>
    <w:r>
      <w:rPr>
        <w:rFonts w:ascii="宋体" w:hAnsi="宋体" w:cs="宋体"/>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E56A">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1</w:t>
                          </w:r>
                          <w:r>
                            <w:rPr>
                              <w:rFonts w:ascii="宋体" w:hAnsi="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473BE56A">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1</w:t>
                    </w:r>
                    <w:r>
                      <w:rPr>
                        <w:rFonts w:ascii="宋体" w:hAnsi="宋体" w:cs="宋体"/>
                        <w:sz w:val="18"/>
                        <w:szCs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C8B4">
    <w:pPr>
      <w:widowControl/>
      <w:spacing w:line="169" w:lineRule="auto"/>
      <w:ind w:left="4084"/>
      <w:jc w:val="left"/>
      <w:rPr>
        <w:rFonts w:ascii="Calibri" w:hAnsi="Calibri" w:eastAsia="Calibri" w:cs="Calibri"/>
        <w:kern w:val="0"/>
        <w:sz w:val="18"/>
        <w:szCs w:val="18"/>
      </w:rPr>
    </w:pPr>
    <w:r>
      <w:rPr>
        <w:rFonts w:ascii="宋体" w:hAnsi="宋体" w:cs="宋体"/>
        <w:kern w:val="0"/>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80855">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68</w:t>
                          </w:r>
                          <w:r>
                            <w:rPr>
                              <w:rFonts w:ascii="宋体" w:hAnsi="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mFPo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PrK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xmFPozAgAAZQQAAA4AAAAAAAAAAQAgAAAAHwEAAGRycy9lMm9Eb2MueG1sUEsF&#10;BgAAAAAGAAYAWQEAAMQFAAAAAA==&#10;">
              <v:fill on="f" focussize="0,0"/>
              <v:stroke on="f" weight="0.5pt"/>
              <v:imagedata o:title=""/>
              <o:lock v:ext="edit" aspectratio="f"/>
              <v:textbox inset="0mm,0mm,0mm,0mm" style="mso-fit-shape-to-text:t;">
                <w:txbxContent>
                  <w:p w14:paraId="33280855">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68</w:t>
                    </w:r>
                    <w:r>
                      <w:rPr>
                        <w:rFonts w:ascii="宋体" w:hAnsi="宋体" w:cs="宋体"/>
                        <w:sz w:val="18"/>
                        <w:szCs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CF39">
    <w:pPr>
      <w:widowControl/>
      <w:spacing w:line="183" w:lineRule="auto"/>
      <w:ind w:left="4359"/>
      <w:jc w:val="left"/>
      <w:rPr>
        <w:rFonts w:hint="eastAsia" w:ascii="宋体" w:hAnsi="宋体" w:cs="宋体"/>
        <w:kern w:val="0"/>
        <w:sz w:val="18"/>
        <w:szCs w:val="18"/>
      </w:rPr>
    </w:pPr>
    <w:r>
      <w:rPr>
        <w:rFonts w:ascii="宋体" w:hAnsi="宋体" w:cs="宋体"/>
        <w:kern w:val="0"/>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5E3E">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10</w:t>
                          </w:r>
                          <w:r>
                            <w:rPr>
                              <w:rFonts w:ascii="宋体" w:hAnsi="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6B905E3E">
                    <w:pPr>
                      <w:snapToGrid w:val="0"/>
                      <w:rPr>
                        <w:rFonts w:hint="eastAsia" w:ascii="宋体" w:hAnsi="宋体" w:cs="宋体"/>
                        <w:sz w:val="18"/>
                        <w:szCs w:val="18"/>
                      </w:rPr>
                    </w:pPr>
                    <w:r>
                      <w:rPr>
                        <w:rFonts w:ascii="宋体" w:hAnsi="宋体" w:cs="宋体"/>
                        <w:sz w:val="18"/>
                        <w:szCs w:val="18"/>
                      </w:rPr>
                      <w:fldChar w:fldCharType="begin"/>
                    </w:r>
                    <w:r>
                      <w:rPr>
                        <w:rFonts w:ascii="宋体" w:hAnsi="宋体" w:cs="宋体"/>
                        <w:sz w:val="18"/>
                        <w:szCs w:val="18"/>
                      </w:rPr>
                      <w:instrText xml:space="preserve"> PAGE  \* MERGEFORMAT </w:instrText>
                    </w:r>
                    <w:r>
                      <w:rPr>
                        <w:rFonts w:ascii="宋体" w:hAnsi="宋体" w:cs="宋体"/>
                        <w:sz w:val="18"/>
                        <w:szCs w:val="18"/>
                      </w:rPr>
                      <w:fldChar w:fldCharType="separate"/>
                    </w:r>
                    <w:r>
                      <w:rPr>
                        <w:rFonts w:ascii="宋体" w:hAnsi="宋体" w:cs="宋体"/>
                        <w:sz w:val="18"/>
                        <w:szCs w:val="18"/>
                      </w:rPr>
                      <w:t>10</w:t>
                    </w:r>
                    <w:r>
                      <w:rPr>
                        <w:rFonts w:ascii="宋体" w:hAnsi="宋体" w:cs="宋体"/>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463E4">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B693">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85DE9">
    <w:pPr>
      <w:snapToGrid w:val="0"/>
      <w:ind w:right="360" w:firstLine="360"/>
      <w:jc w:val="center"/>
      <w:rPr>
        <w:kern w:val="0"/>
        <w:sz w:val="18"/>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52576">
    <w:pPr>
      <w:pStyle w:val="17"/>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686EE">
    <w:pPr>
      <w:pStyle w:val="17"/>
      <w:framePr w:wrap="around" w:vAnchor="text" w:hAnchor="margin" w:xAlign="outside" w:y="1"/>
      <w:rPr>
        <w:rStyle w:val="31"/>
      </w:rPr>
    </w:pPr>
    <w:r>
      <w:rPr>
        <w:rStyle w:val="31"/>
      </w:rPr>
      <w:fldChar w:fldCharType="begin"/>
    </w:r>
    <w:r>
      <w:rPr>
        <w:rStyle w:val="31"/>
      </w:rPr>
      <w:instrText xml:space="preserve">PAGE  </w:instrText>
    </w:r>
    <w:r>
      <w:rPr>
        <w:rStyle w:val="31"/>
      </w:rPr>
      <w:fldChar w:fldCharType="end"/>
    </w:r>
  </w:p>
  <w:p w14:paraId="46333C7D">
    <w:pPr>
      <w:pStyle w:val="17"/>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96C7">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D62F4">
                          <w:pPr>
                            <w:pStyle w:val="17"/>
                            <w:rPr>
                              <w:rStyle w:val="31"/>
                              <w:rFonts w:hint="eastAsia" w:ascii="宋体" w:hAnsi="宋体"/>
                              <w:sz w:val="28"/>
                              <w:szCs w:val="28"/>
                            </w:rPr>
                          </w:pPr>
                          <w:r>
                            <w:rPr>
                              <w:rStyle w:val="31"/>
                              <w:rFonts w:ascii="宋体" w:hAnsi="宋体"/>
                              <w:sz w:val="28"/>
                              <w:szCs w:val="28"/>
                            </w:rPr>
                            <w:t>—</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1</w:t>
                          </w:r>
                          <w:r>
                            <w:rPr>
                              <w:rStyle w:val="31"/>
                              <w:rFonts w:ascii="宋体" w:hAnsi="宋体"/>
                              <w:sz w:val="28"/>
                              <w:szCs w:val="28"/>
                            </w:rPr>
                            <w:fldChar w:fldCharType="end"/>
                          </w:r>
                          <w:r>
                            <w:rPr>
                              <w:rStyle w:val="31"/>
                              <w:rFonts w:ascii="宋体" w:hAnsi="宋体"/>
                              <w:sz w:val="28"/>
                              <w:szCs w:val="28"/>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5HqMMBAACO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NevKHHc4sTPP3+cf/05//5O&#10;XmZ9+gA1pt0GTEzDOz/g1sx+QGemPaho8xcJEYyjuqeLunJIRORHq+VqVWFIYGy+ID67ex4ipPfS&#10;W5KNhkYcX1GVHz9CGlPnlFzN+RttTBmhcf85EDN7WO597DFbadgNE6Gdb0/Ip8fJN9TholNiPjgU&#10;Ni/JbMTZ2E1GrgHh7SFh4dJPRh2hpmI4psJoWqm8B//eS9bdb7T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cvkeowwEAAI4DAAAOAAAAAAAAAAEAIAAAAB4BAABkcnMvZTJvRG9jLnhtbFBL&#10;BQYAAAAABgAGAFkBAABTBQAAAAA=&#10;">
              <v:fill on="f" focussize="0,0"/>
              <v:stroke on="f"/>
              <v:imagedata o:title=""/>
              <o:lock v:ext="edit" aspectratio="f"/>
              <v:textbox inset="0mm,0mm,0mm,0mm" style="mso-fit-shape-to-text:t;">
                <w:txbxContent>
                  <w:p w14:paraId="364D62F4">
                    <w:pPr>
                      <w:pStyle w:val="17"/>
                      <w:rPr>
                        <w:rStyle w:val="31"/>
                        <w:rFonts w:hint="eastAsia" w:ascii="宋体" w:hAnsi="宋体"/>
                        <w:sz w:val="28"/>
                        <w:szCs w:val="28"/>
                      </w:rPr>
                    </w:pPr>
                    <w:r>
                      <w:rPr>
                        <w:rStyle w:val="31"/>
                        <w:rFonts w:ascii="宋体" w:hAnsi="宋体"/>
                        <w:sz w:val="28"/>
                        <w:szCs w:val="28"/>
                      </w:rPr>
                      <w:t>—</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1</w:t>
                    </w:r>
                    <w:r>
                      <w:rPr>
                        <w:rStyle w:val="31"/>
                        <w:rFonts w:ascii="宋体" w:hAnsi="宋体"/>
                        <w:sz w:val="28"/>
                        <w:szCs w:val="28"/>
                      </w:rPr>
                      <w:fldChar w:fldCharType="end"/>
                    </w:r>
                    <w:r>
                      <w:rPr>
                        <w:rStyle w:val="31"/>
                        <w:rFonts w:ascii="宋体" w:hAnsi="宋体"/>
                        <w:sz w:val="28"/>
                        <w:szCs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1877">
    <w:pPr>
      <w:pStyle w:val="17"/>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7250CF">
                          <w:pPr>
                            <w:pStyle w:val="17"/>
                            <w:rPr>
                              <w:rStyle w:val="31"/>
                              <w:rFonts w:hint="eastAsia" w:ascii="宋体" w:hAnsi="宋体"/>
                              <w:sz w:val="28"/>
                              <w:szCs w:val="28"/>
                            </w:rPr>
                          </w:pPr>
                          <w:r>
                            <w:rPr>
                              <w:rStyle w:val="31"/>
                              <w:rFonts w:ascii="宋体" w:hAnsi="宋体"/>
                              <w:sz w:val="28"/>
                              <w:szCs w:val="28"/>
                            </w:rPr>
                            <w:t xml:space="preserve">— </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8</w:t>
                          </w:r>
                          <w:r>
                            <w:rPr>
                              <w:rStyle w:val="31"/>
                              <w:rFonts w:ascii="宋体" w:hAnsi="宋体"/>
                              <w:sz w:val="28"/>
                              <w:szCs w:val="28"/>
                            </w:rPr>
                            <w:fldChar w:fldCharType="end"/>
                          </w:r>
                          <w:r>
                            <w:rPr>
                              <w:rStyle w:val="31"/>
                              <w:rFonts w:ascii="宋体" w:hAnsi="宋体"/>
                              <w:sz w:val="28"/>
                              <w:szCs w:val="28"/>
                            </w:rPr>
                            <w:t xml:space="preserve"> —</w:t>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wyFB8MBAACOAwAADgAAAGRycy9lMm9Eb2MueG1srVPNjtMwEL4j8Q6W&#10;79TZC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W+uKXHc4sTPP76ff/4+//pG&#10;Xmd9+gA1pt0HTEzDWz/g1sx+QGemPaho8xcJEYyjuqeLunJIRORHq+VqVWFIYGy+ID57eB4ipHfS&#10;W5KNhkYcX1GVHz9AGlPnlFzN+TttTBmhcf84EDN7WO597DFbadgNE6Gdb0/Ip8fJN9TholNi3jsU&#10;Ni/JbMTZ2E1GrgHh9pCwcOkno45QUzEcU2E0rVTeg7/vJevhN9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3DIUHwwEAAI4DAAAOAAAAAAAAAAEAIAAAAB4BAABkcnMvZTJvRG9jLnhtbFBL&#10;BQYAAAAABgAGAFkBAABTBQAAAAA=&#10;">
              <v:fill on="f" focussize="0,0"/>
              <v:stroke on="f"/>
              <v:imagedata o:title=""/>
              <o:lock v:ext="edit" aspectratio="f"/>
              <v:textbox inset="0mm,0mm,0mm,0mm" style="mso-fit-shape-to-text:t;">
                <w:txbxContent>
                  <w:p w14:paraId="317250CF">
                    <w:pPr>
                      <w:pStyle w:val="17"/>
                      <w:rPr>
                        <w:rStyle w:val="31"/>
                        <w:rFonts w:hint="eastAsia" w:ascii="宋体" w:hAnsi="宋体"/>
                        <w:sz w:val="28"/>
                        <w:szCs w:val="28"/>
                      </w:rPr>
                    </w:pPr>
                    <w:r>
                      <w:rPr>
                        <w:rStyle w:val="31"/>
                        <w:rFonts w:ascii="宋体" w:hAnsi="宋体"/>
                        <w:sz w:val="28"/>
                        <w:szCs w:val="28"/>
                      </w:rPr>
                      <w:t xml:space="preserve">— </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8</w:t>
                    </w:r>
                    <w:r>
                      <w:rPr>
                        <w:rStyle w:val="31"/>
                        <w:rFonts w:ascii="宋体" w:hAnsi="宋体"/>
                        <w:sz w:val="28"/>
                        <w:szCs w:val="28"/>
                      </w:rPr>
                      <w:fldChar w:fldCharType="end"/>
                    </w:r>
                    <w:r>
                      <w:rPr>
                        <w:rStyle w:val="31"/>
                        <w:rFonts w:ascii="宋体" w:hAnsi="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71C5">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BB7D64">
                          <w:pPr>
                            <w:pStyle w:val="17"/>
                            <w:rPr>
                              <w:rStyle w:val="31"/>
                              <w:rFonts w:hint="eastAsia" w:ascii="宋体" w:hAnsi="宋体"/>
                              <w:sz w:val="28"/>
                              <w:szCs w:val="28"/>
                            </w:rPr>
                          </w:pPr>
                          <w:r>
                            <w:rPr>
                              <w:rStyle w:val="31"/>
                              <w:rFonts w:ascii="宋体" w:hAnsi="宋体"/>
                              <w:sz w:val="28"/>
                              <w:szCs w:val="28"/>
                            </w:rPr>
                            <w:t xml:space="preserve">— </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62</w:t>
                          </w:r>
                          <w:r>
                            <w:rPr>
                              <w:rStyle w:val="31"/>
                              <w:rFonts w:ascii="宋体" w:hAnsi="宋体"/>
                              <w:sz w:val="28"/>
                              <w:szCs w:val="28"/>
                            </w:rPr>
                            <w:fldChar w:fldCharType="end"/>
                          </w:r>
                          <w:r>
                            <w:rPr>
                              <w:rStyle w:val="31"/>
                              <w:rFonts w:ascii="宋体" w:hAnsi="宋体"/>
                              <w:sz w:val="28"/>
                              <w:szCs w:val="28"/>
                            </w:rPr>
                            <w:t xml:space="preserve"> —</w:t>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qZPcIBAACO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asVJY5bnPjlx/fLz9+XX9/I&#10;KuvTB6gx7T5gYhre+gG3ZvYDOjPtQUWbv0iIYBzVPV/VlUMiIj9aL9f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S6mT3CAQAAjgMAAA4AAAAAAAAAAQAgAAAAHgEAAGRycy9lMm9Eb2MueG1sUEsF&#10;BgAAAAAGAAYAWQEAAFIFAAAAAA==&#10;">
              <v:fill on="f" focussize="0,0"/>
              <v:stroke on="f"/>
              <v:imagedata o:title=""/>
              <o:lock v:ext="edit" aspectratio="f"/>
              <v:textbox inset="0mm,0mm,0mm,0mm" style="mso-fit-shape-to-text:t;">
                <w:txbxContent>
                  <w:p w14:paraId="62BB7D64">
                    <w:pPr>
                      <w:pStyle w:val="17"/>
                      <w:rPr>
                        <w:rStyle w:val="31"/>
                        <w:rFonts w:hint="eastAsia" w:ascii="宋体" w:hAnsi="宋体"/>
                        <w:sz w:val="28"/>
                        <w:szCs w:val="28"/>
                      </w:rPr>
                    </w:pPr>
                    <w:r>
                      <w:rPr>
                        <w:rStyle w:val="31"/>
                        <w:rFonts w:ascii="宋体" w:hAnsi="宋体"/>
                        <w:sz w:val="28"/>
                        <w:szCs w:val="28"/>
                      </w:rPr>
                      <w:t xml:space="preserve">— </w:t>
                    </w:r>
                    <w:r>
                      <w:rPr>
                        <w:rStyle w:val="31"/>
                        <w:rFonts w:ascii="宋体" w:hAnsi="宋体"/>
                        <w:sz w:val="28"/>
                        <w:szCs w:val="28"/>
                      </w:rPr>
                      <w:fldChar w:fldCharType="begin"/>
                    </w:r>
                    <w:r>
                      <w:rPr>
                        <w:rStyle w:val="31"/>
                        <w:rFonts w:ascii="宋体" w:hAnsi="宋体"/>
                        <w:sz w:val="28"/>
                        <w:szCs w:val="28"/>
                      </w:rPr>
                      <w:instrText xml:space="preserve"> PAGE  \* MERGEFORMAT </w:instrText>
                    </w:r>
                    <w:r>
                      <w:rPr>
                        <w:rStyle w:val="31"/>
                        <w:rFonts w:ascii="宋体" w:hAnsi="宋体"/>
                        <w:sz w:val="28"/>
                        <w:szCs w:val="28"/>
                      </w:rPr>
                      <w:fldChar w:fldCharType="separate"/>
                    </w:r>
                    <w:r>
                      <w:rPr>
                        <w:rStyle w:val="31"/>
                        <w:rFonts w:ascii="宋体" w:hAnsi="宋体"/>
                        <w:sz w:val="28"/>
                        <w:szCs w:val="28"/>
                      </w:rPr>
                      <w:t>62</w:t>
                    </w:r>
                    <w:r>
                      <w:rPr>
                        <w:rStyle w:val="31"/>
                        <w:rFonts w:ascii="宋体" w:hAnsi="宋体"/>
                        <w:sz w:val="28"/>
                        <w:szCs w:val="28"/>
                      </w:rPr>
                      <w:fldChar w:fldCharType="end"/>
                    </w:r>
                    <w:r>
                      <w:rPr>
                        <w:rStyle w:val="31"/>
                        <w:rFonts w:ascii="宋体" w:hAnsi="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9E605">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FC4BF">
    <w:pPr>
      <w:pStyle w:val="18"/>
      <w:pBdr>
        <w:bottom w:val="none" w:color="auto" w:sz="0" w:space="1"/>
      </w:pBdr>
      <w:jc w:val="right"/>
    </w:pPr>
    <w:r>
      <w:rPr>
        <w:rFonts w:hint="eastAsia"/>
      </w:rPr>
      <w:t>君山区方台湖设施渔业水基项目（一期）环境影响报告表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D735C">
    <w:pPr>
      <w:pBdr>
        <w:bottom w:val="none" w:color="auto" w:sz="0" w:space="1"/>
      </w:pBdr>
      <w:snapToGrid w:val="0"/>
      <w:jc w:val="right"/>
    </w:pPr>
    <w:r>
      <w:rPr>
        <w:rFonts w:hint="eastAsia"/>
        <w:sz w:val="18"/>
        <w:szCs w:val="18"/>
      </w:rPr>
      <w:t>君山区方台湖设施渔业水基项目（一期）环境影响报告表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FCB12">
    <w:pPr>
      <w:pBdr>
        <w:bottom w:val="none" w:color="auto" w:sz="0" w:space="1"/>
      </w:pBdr>
      <w:snapToGrid w:val="0"/>
      <w:jc w:val="right"/>
    </w:pPr>
    <w:r>
      <w:rPr>
        <w:rFonts w:hint="eastAsia"/>
        <w:sz w:val="18"/>
        <w:szCs w:val="18"/>
      </w:rPr>
      <w:t>君山区方台湖设施渔业水基项目（一期）环境影响报告表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B719F">
    <w:pPr>
      <w:pBdr>
        <w:bottom w:val="none" w:color="auto" w:sz="0" w:space="1"/>
      </w:pBdr>
      <w:snapToGrid w:val="0"/>
      <w:jc w:val="right"/>
    </w:pPr>
    <w:r>
      <w:rPr>
        <w:rFonts w:hint="eastAsia"/>
        <w:sz w:val="18"/>
        <w:szCs w:val="18"/>
      </w:rPr>
      <w:t>君山区方台湖设施渔业水基项目（一期）生态影响专项评价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DCAC">
    <w:pPr>
      <w:pBdr>
        <w:bottom w:val="single" w:color="auto" w:sz="6" w:space="1"/>
      </w:pBdr>
      <w:wordWrap w:val="0"/>
      <w:snapToGrid w:val="0"/>
      <w:jc w:val="right"/>
      <w:rPr>
        <w:szCs w:val="21"/>
      </w:rPr>
    </w:pPr>
    <w:r>
      <w:rPr>
        <w:rFonts w:ascii="仿宋" w:hAnsi="仿宋" w:eastAsia="仿宋"/>
        <w:sz w:val="20"/>
        <w:szCs w:val="20"/>
      </w:rPr>
      <w:t>项目</w:t>
    </w:r>
    <w:r>
      <w:rPr>
        <w:rFonts w:hint="eastAsia" w:ascii="仿宋" w:hAnsi="仿宋" w:eastAsia="仿宋"/>
        <w:sz w:val="20"/>
        <w:szCs w:val="20"/>
      </w:rPr>
      <w:t>对湖南东洞庭湖国家级自然保护区生态影响专题报告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A4BB1">
    <w:pPr>
      <w:widowControl/>
      <w:spacing w:line="227" w:lineRule="auto"/>
      <w:ind w:right="138"/>
      <w:jc w:val="right"/>
      <w:rPr>
        <w:rFonts w:hint="eastAsia" w:ascii="宋体" w:hAnsi="宋体" w:cs="宋体"/>
        <w:kern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D58CC"/>
    <w:multiLevelType w:val="singleLevel"/>
    <w:tmpl w:val="A81D58CC"/>
    <w:lvl w:ilvl="0" w:tentative="0">
      <w:start w:val="1"/>
      <w:numFmt w:val="decimal"/>
      <w:suff w:val="nothing"/>
      <w:lvlText w:val="（%1）"/>
      <w:lvlJc w:val="left"/>
    </w:lvl>
  </w:abstractNum>
  <w:abstractNum w:abstractNumId="1">
    <w:nsid w:val="EDB5F6AC"/>
    <w:multiLevelType w:val="multilevel"/>
    <w:tmpl w:val="EDB5F6AC"/>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F3A75CB6"/>
    <w:multiLevelType w:val="multilevel"/>
    <w:tmpl w:val="F3A75CB6"/>
    <w:lvl w:ilvl="0" w:tentative="0">
      <w:start w:val="1"/>
      <w:numFmt w:val="decimal"/>
      <w:suff w:val="space"/>
      <w:lvlText w:val="(%1)"/>
      <w:lvlJc w:val="left"/>
      <w:pPr>
        <w:ind w:left="840" w:hanging="420"/>
      </w:pPr>
      <w:rPr>
        <w:rFonts w:hint="default" w:ascii="Times New Roman" w:hAnsi="Times New Roman" w:eastAsia="宋体"/>
        <w:b w:val="0"/>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90CC69F"/>
    <w:multiLevelType w:val="singleLevel"/>
    <w:tmpl w:val="F90CC69F"/>
    <w:lvl w:ilvl="0" w:tentative="0">
      <w:start w:val="2"/>
      <w:numFmt w:val="chineseCounting"/>
      <w:suff w:val="nothing"/>
      <w:lvlText w:val="%1、"/>
      <w:lvlJc w:val="left"/>
      <w:rPr>
        <w:rFonts w:hint="eastAsia"/>
      </w:rPr>
    </w:lvl>
  </w:abstractNum>
  <w:abstractNum w:abstractNumId="4">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97"/>
      <w:lvlText w:val="%3."/>
      <w:lvlJc w:val="right"/>
      <w:pPr>
        <w:tabs>
          <w:tab w:val="left" w:pos="1260"/>
        </w:tabs>
        <w:ind w:left="1260" w:hanging="420"/>
      </w:pPr>
    </w:lvl>
    <w:lvl w:ilvl="3" w:tentative="0">
      <w:start w:val="1"/>
      <w:numFmt w:val="decimal"/>
      <w:pStyle w:val="9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366ACA9"/>
    <w:multiLevelType w:val="singleLevel"/>
    <w:tmpl w:val="0366ACA9"/>
    <w:lvl w:ilvl="0" w:tentative="0">
      <w:start w:val="5"/>
      <w:numFmt w:val="decimal"/>
      <w:suff w:val="nothing"/>
      <w:lvlText w:val="%1、"/>
      <w:lvlJc w:val="left"/>
    </w:lvl>
  </w:abstractNum>
  <w:abstractNum w:abstractNumId="6">
    <w:nsid w:val="06DBED62"/>
    <w:multiLevelType w:val="singleLevel"/>
    <w:tmpl w:val="06DBED62"/>
    <w:lvl w:ilvl="0" w:tentative="0">
      <w:start w:val="1"/>
      <w:numFmt w:val="decimal"/>
      <w:suff w:val="nothing"/>
      <w:lvlText w:val="（%1）"/>
      <w:lvlJc w:val="left"/>
    </w:lvl>
  </w:abstractNum>
  <w:abstractNum w:abstractNumId="7">
    <w:nsid w:val="131D0F2B"/>
    <w:multiLevelType w:val="singleLevel"/>
    <w:tmpl w:val="131D0F2B"/>
    <w:lvl w:ilvl="0" w:tentative="0">
      <w:start w:val="1"/>
      <w:numFmt w:val="decimal"/>
      <w:suff w:val="nothing"/>
      <w:lvlText w:val="（%1）"/>
      <w:lvlJc w:val="left"/>
    </w:lvl>
  </w:abstractNum>
  <w:abstractNum w:abstractNumId="8">
    <w:nsid w:val="1C2B6150"/>
    <w:multiLevelType w:val="multilevel"/>
    <w:tmpl w:val="1C2B6150"/>
    <w:lvl w:ilvl="0" w:tentative="0">
      <w:start w:val="1"/>
      <w:numFmt w:val="decimal"/>
      <w:suff w:val="space"/>
      <w:lvlText w:val="(%1)"/>
      <w:lvlJc w:val="left"/>
      <w:pPr>
        <w:ind w:left="2264" w:hanging="420"/>
      </w:pPr>
      <w:rPr>
        <w:rFonts w:hint="default" w:ascii="Times New Roman" w:hAnsi="Times New Roman"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CB133B5"/>
    <w:multiLevelType w:val="singleLevel"/>
    <w:tmpl w:val="1CB133B5"/>
    <w:lvl w:ilvl="0" w:tentative="0">
      <w:start w:val="1"/>
      <w:numFmt w:val="decimal"/>
      <w:suff w:val="nothing"/>
      <w:lvlText w:val="（%1）"/>
      <w:lvlJc w:val="left"/>
    </w:lvl>
  </w:abstractNum>
  <w:abstractNum w:abstractNumId="10">
    <w:nsid w:val="2C06A580"/>
    <w:multiLevelType w:val="multilevel"/>
    <w:tmpl w:val="2C06A580"/>
    <w:lvl w:ilvl="0" w:tentative="0">
      <w:start w:val="1"/>
      <w:numFmt w:val="decimal"/>
      <w:lvlText w:val="（%1）"/>
      <w:lvlJc w:val="left"/>
      <w:pPr>
        <w:ind w:left="4870" w:hanging="420"/>
      </w:pPr>
      <w:rPr>
        <w:rFonts w:hint="eastAsia"/>
      </w:rPr>
    </w:lvl>
    <w:lvl w:ilvl="1" w:tentative="0">
      <w:start w:val="1"/>
      <w:numFmt w:val="decimal"/>
      <w:suff w:val="space"/>
      <w:lvlText w:val="(%2)"/>
      <w:lvlJc w:val="left"/>
      <w:pPr>
        <w:ind w:left="840" w:hanging="420"/>
      </w:pPr>
      <w:rPr>
        <w:rFonts w:hint="eastAsia" w:ascii="Times New Roman" w:hAnsi="Times New Roman" w:eastAsia="宋体"/>
        <w:lang w:val="en-US"/>
      </w:rPr>
    </w:lvl>
    <w:lvl w:ilvl="2" w:tentative="0">
      <w:start w:val="1"/>
      <w:numFmt w:val="decimalEnclosedCircle"/>
      <w:lvlText w:val="%3"/>
      <w:lvlJc w:val="left"/>
      <w:pPr>
        <w:ind w:left="1200" w:hanging="36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309038F8"/>
    <w:multiLevelType w:val="singleLevel"/>
    <w:tmpl w:val="309038F8"/>
    <w:lvl w:ilvl="0" w:tentative="0">
      <w:start w:val="1"/>
      <w:numFmt w:val="decimal"/>
      <w:suff w:val="nothing"/>
      <w:lvlText w:val="（%1）"/>
      <w:lvlJc w:val="left"/>
    </w:lvl>
  </w:abstractNum>
  <w:abstractNum w:abstractNumId="12">
    <w:nsid w:val="34D9BF61"/>
    <w:multiLevelType w:val="multilevel"/>
    <w:tmpl w:val="34D9BF61"/>
    <w:lvl w:ilvl="0" w:tentative="0">
      <w:start w:val="1"/>
      <w:numFmt w:val="decimal"/>
      <w:lvlText w:val="（%1）"/>
      <w:lvlJc w:val="left"/>
      <w:pPr>
        <w:ind w:left="4870" w:hanging="420"/>
      </w:pPr>
      <w:rPr>
        <w:rFonts w:hint="eastAsia"/>
      </w:rPr>
    </w:lvl>
    <w:lvl w:ilvl="1" w:tentative="0">
      <w:start w:val="1"/>
      <w:numFmt w:val="decimal"/>
      <w:suff w:val="space"/>
      <w:lvlText w:val="(%2)"/>
      <w:lvlJc w:val="left"/>
      <w:pPr>
        <w:ind w:left="840" w:hanging="420"/>
      </w:pPr>
      <w:rPr>
        <w:rFonts w:hint="eastAsia" w:ascii="Times New Roman" w:hAnsi="Times New Roman" w:eastAsia="宋体"/>
        <w:lang w:val="en-US"/>
      </w:rPr>
    </w:lvl>
    <w:lvl w:ilvl="2" w:tentative="0">
      <w:start w:val="1"/>
      <w:numFmt w:val="decimalEnclosedCircle"/>
      <w:lvlText w:val="%3"/>
      <w:lvlJc w:val="left"/>
      <w:pPr>
        <w:ind w:left="1200" w:hanging="36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5958A3CD"/>
    <w:multiLevelType w:val="multilevel"/>
    <w:tmpl w:val="5958A3CD"/>
    <w:lvl w:ilvl="0" w:tentative="0">
      <w:start w:val="1"/>
      <w:numFmt w:val="decimal"/>
      <w:suff w:val="space"/>
      <w:lvlText w:val="(%1)"/>
      <w:lvlJc w:val="left"/>
      <w:pPr>
        <w:ind w:left="846" w:hanging="420"/>
      </w:pPr>
      <w:rPr>
        <w:rFonts w:hint="default" w:ascii="Times New Roman" w:hAnsi="Times New Roman" w:eastAsia="宋体"/>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A8DC660"/>
    <w:multiLevelType w:val="multilevel"/>
    <w:tmpl w:val="6A8DC66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5">
    <w:nsid w:val="73090BA7"/>
    <w:multiLevelType w:val="singleLevel"/>
    <w:tmpl w:val="73090BA7"/>
    <w:lvl w:ilvl="0" w:tentative="0">
      <w:start w:val="2"/>
      <w:numFmt w:val="decimal"/>
      <w:suff w:val="nothing"/>
      <w:lvlText w:val="%1、"/>
      <w:lvlJc w:val="left"/>
    </w:lvl>
  </w:abstractNum>
  <w:abstractNum w:abstractNumId="16">
    <w:nsid w:val="7ECED89F"/>
    <w:multiLevelType w:val="singleLevel"/>
    <w:tmpl w:val="7ECED89F"/>
    <w:lvl w:ilvl="0" w:tentative="0">
      <w:start w:val="1"/>
      <w:numFmt w:val="decimal"/>
      <w:suff w:val="nothing"/>
      <w:lvlText w:val="（%1）"/>
      <w:lvlJc w:val="left"/>
    </w:lvl>
  </w:abstractNum>
  <w:num w:numId="1">
    <w:abstractNumId w:val="1"/>
  </w:num>
  <w:num w:numId="2">
    <w:abstractNumId w:val="4"/>
  </w:num>
  <w:num w:numId="3">
    <w:abstractNumId w:val="14"/>
  </w:num>
  <w:num w:numId="4">
    <w:abstractNumId w:val="5"/>
  </w:num>
  <w:num w:numId="5">
    <w:abstractNumId w:val="11"/>
  </w:num>
  <w:num w:numId="6">
    <w:abstractNumId w:val="6"/>
  </w:num>
  <w:num w:numId="7">
    <w:abstractNumId w:val="15"/>
  </w:num>
  <w:num w:numId="8">
    <w:abstractNumId w:val="7"/>
  </w:num>
  <w:num w:numId="9">
    <w:abstractNumId w:val="12"/>
  </w:num>
  <w:num w:numId="10">
    <w:abstractNumId w:val="10"/>
  </w:num>
  <w:num w:numId="11">
    <w:abstractNumId w:val="2"/>
  </w:num>
  <w:num w:numId="12">
    <w:abstractNumId w:val="8"/>
  </w:num>
  <w:num w:numId="13">
    <w:abstractNumId w:val="13"/>
  </w:num>
  <w:num w:numId="14">
    <w:abstractNumId w:val="3"/>
  </w:num>
  <w:num w:numId="15">
    <w:abstractNumId w:val="16"/>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hN2E3NTIyM2UyMGE3MTk2NTE5MmU4MjQzNjc5NDgifQ=="/>
  </w:docVars>
  <w:rsids>
    <w:rsidRoot w:val="00A14947"/>
    <w:rsid w:val="00001CED"/>
    <w:rsid w:val="00001E67"/>
    <w:rsid w:val="00003CD8"/>
    <w:rsid w:val="00014965"/>
    <w:rsid w:val="0001523A"/>
    <w:rsid w:val="00016ECB"/>
    <w:rsid w:val="0002561E"/>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A6476"/>
    <w:rsid w:val="000B058F"/>
    <w:rsid w:val="000B693F"/>
    <w:rsid w:val="000C09AC"/>
    <w:rsid w:val="000C0A63"/>
    <w:rsid w:val="000C437E"/>
    <w:rsid w:val="000E5D71"/>
    <w:rsid w:val="000E5F16"/>
    <w:rsid w:val="000F4452"/>
    <w:rsid w:val="000F6DA1"/>
    <w:rsid w:val="000F701B"/>
    <w:rsid w:val="001056A0"/>
    <w:rsid w:val="00111A1E"/>
    <w:rsid w:val="00115279"/>
    <w:rsid w:val="00117459"/>
    <w:rsid w:val="0011749A"/>
    <w:rsid w:val="00122F51"/>
    <w:rsid w:val="00127A68"/>
    <w:rsid w:val="00140B13"/>
    <w:rsid w:val="00141B68"/>
    <w:rsid w:val="001466DA"/>
    <w:rsid w:val="00154DE1"/>
    <w:rsid w:val="00155B40"/>
    <w:rsid w:val="00157435"/>
    <w:rsid w:val="00163EEA"/>
    <w:rsid w:val="00167A07"/>
    <w:rsid w:val="0017046A"/>
    <w:rsid w:val="001704A3"/>
    <w:rsid w:val="0017504D"/>
    <w:rsid w:val="00177422"/>
    <w:rsid w:val="00183E0A"/>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13FD"/>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36B3"/>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22AE"/>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251D"/>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21EB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D3880"/>
    <w:rsid w:val="009E399C"/>
    <w:rsid w:val="009E43C1"/>
    <w:rsid w:val="009E7E95"/>
    <w:rsid w:val="009F116F"/>
    <w:rsid w:val="009F329E"/>
    <w:rsid w:val="009F7ED3"/>
    <w:rsid w:val="00A03607"/>
    <w:rsid w:val="00A047FF"/>
    <w:rsid w:val="00A04F24"/>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658DB"/>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1A3"/>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05A8E"/>
    <w:rsid w:val="00D15727"/>
    <w:rsid w:val="00D16332"/>
    <w:rsid w:val="00D24972"/>
    <w:rsid w:val="00D2515E"/>
    <w:rsid w:val="00D308ED"/>
    <w:rsid w:val="00D56178"/>
    <w:rsid w:val="00D56CF0"/>
    <w:rsid w:val="00D56F5C"/>
    <w:rsid w:val="00D704B1"/>
    <w:rsid w:val="00D70B63"/>
    <w:rsid w:val="00D71031"/>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424C4"/>
    <w:rsid w:val="01840D71"/>
    <w:rsid w:val="01A86C2C"/>
    <w:rsid w:val="02A76009"/>
    <w:rsid w:val="02F254D6"/>
    <w:rsid w:val="035E3D6D"/>
    <w:rsid w:val="03F82FC0"/>
    <w:rsid w:val="04053493"/>
    <w:rsid w:val="0416490C"/>
    <w:rsid w:val="04456564"/>
    <w:rsid w:val="046637A3"/>
    <w:rsid w:val="04955CC6"/>
    <w:rsid w:val="04A35916"/>
    <w:rsid w:val="04C2712A"/>
    <w:rsid w:val="04C42EA2"/>
    <w:rsid w:val="05221CE9"/>
    <w:rsid w:val="052A3C79"/>
    <w:rsid w:val="05535744"/>
    <w:rsid w:val="05720B50"/>
    <w:rsid w:val="05742AC8"/>
    <w:rsid w:val="059F5A42"/>
    <w:rsid w:val="05AA02EA"/>
    <w:rsid w:val="06352F05"/>
    <w:rsid w:val="063E7D85"/>
    <w:rsid w:val="06451DC1"/>
    <w:rsid w:val="068C79F0"/>
    <w:rsid w:val="069A5C92"/>
    <w:rsid w:val="06B8457A"/>
    <w:rsid w:val="06FA7B4C"/>
    <w:rsid w:val="070875E0"/>
    <w:rsid w:val="07293586"/>
    <w:rsid w:val="07295285"/>
    <w:rsid w:val="072B545A"/>
    <w:rsid w:val="07770C56"/>
    <w:rsid w:val="07B76CEE"/>
    <w:rsid w:val="08027183"/>
    <w:rsid w:val="08872B64"/>
    <w:rsid w:val="08A21C87"/>
    <w:rsid w:val="08E826F7"/>
    <w:rsid w:val="08EC540F"/>
    <w:rsid w:val="08FF5256"/>
    <w:rsid w:val="092217DD"/>
    <w:rsid w:val="093A7294"/>
    <w:rsid w:val="09613832"/>
    <w:rsid w:val="09835174"/>
    <w:rsid w:val="09EF6C13"/>
    <w:rsid w:val="0A206DCD"/>
    <w:rsid w:val="0A243C52"/>
    <w:rsid w:val="0A3144E0"/>
    <w:rsid w:val="0A595E3B"/>
    <w:rsid w:val="0A5C5E37"/>
    <w:rsid w:val="0B0A4398"/>
    <w:rsid w:val="0B0B3E3D"/>
    <w:rsid w:val="0B321B5D"/>
    <w:rsid w:val="0B751BFA"/>
    <w:rsid w:val="0BD27BF6"/>
    <w:rsid w:val="0C1B3CF0"/>
    <w:rsid w:val="0C3972B1"/>
    <w:rsid w:val="0C6531BD"/>
    <w:rsid w:val="0C664657"/>
    <w:rsid w:val="0C673E59"/>
    <w:rsid w:val="0C6938F1"/>
    <w:rsid w:val="0CB77485"/>
    <w:rsid w:val="0CDA31B4"/>
    <w:rsid w:val="0D662D48"/>
    <w:rsid w:val="0D7A2C98"/>
    <w:rsid w:val="0E110D06"/>
    <w:rsid w:val="0E19600D"/>
    <w:rsid w:val="0E804F97"/>
    <w:rsid w:val="0E8A515C"/>
    <w:rsid w:val="0EA9796C"/>
    <w:rsid w:val="0ECA7307"/>
    <w:rsid w:val="0F13775A"/>
    <w:rsid w:val="0F243315"/>
    <w:rsid w:val="0F2D3F1C"/>
    <w:rsid w:val="0F3F502D"/>
    <w:rsid w:val="0F9A112B"/>
    <w:rsid w:val="0FAF6255"/>
    <w:rsid w:val="0FC0498E"/>
    <w:rsid w:val="103B7CCB"/>
    <w:rsid w:val="10563548"/>
    <w:rsid w:val="1057106E"/>
    <w:rsid w:val="105E358A"/>
    <w:rsid w:val="106D2F64"/>
    <w:rsid w:val="10703EDE"/>
    <w:rsid w:val="108B3A43"/>
    <w:rsid w:val="10B63710"/>
    <w:rsid w:val="10E14F6C"/>
    <w:rsid w:val="111C2F7A"/>
    <w:rsid w:val="113013DE"/>
    <w:rsid w:val="11354349"/>
    <w:rsid w:val="11A227BD"/>
    <w:rsid w:val="11AF5C13"/>
    <w:rsid w:val="11C75D80"/>
    <w:rsid w:val="11D4369E"/>
    <w:rsid w:val="11D67F96"/>
    <w:rsid w:val="11EC57E6"/>
    <w:rsid w:val="12062B4E"/>
    <w:rsid w:val="122B06C2"/>
    <w:rsid w:val="12444771"/>
    <w:rsid w:val="12454EF0"/>
    <w:rsid w:val="12F02B19"/>
    <w:rsid w:val="13581B8C"/>
    <w:rsid w:val="137B10C2"/>
    <w:rsid w:val="13951726"/>
    <w:rsid w:val="13CD6ED0"/>
    <w:rsid w:val="13D41973"/>
    <w:rsid w:val="13E96481"/>
    <w:rsid w:val="14152252"/>
    <w:rsid w:val="14396509"/>
    <w:rsid w:val="1447165C"/>
    <w:rsid w:val="144D6AC7"/>
    <w:rsid w:val="1562473D"/>
    <w:rsid w:val="15B50D11"/>
    <w:rsid w:val="15F7409C"/>
    <w:rsid w:val="15FF5C91"/>
    <w:rsid w:val="16247C45"/>
    <w:rsid w:val="16360A34"/>
    <w:rsid w:val="165B255F"/>
    <w:rsid w:val="16B5078A"/>
    <w:rsid w:val="171754C9"/>
    <w:rsid w:val="173043C7"/>
    <w:rsid w:val="17735226"/>
    <w:rsid w:val="17976C13"/>
    <w:rsid w:val="17CA65CA"/>
    <w:rsid w:val="17E26A02"/>
    <w:rsid w:val="17E83D41"/>
    <w:rsid w:val="17F77304"/>
    <w:rsid w:val="183B1D88"/>
    <w:rsid w:val="188356AD"/>
    <w:rsid w:val="18CB25F9"/>
    <w:rsid w:val="191F0647"/>
    <w:rsid w:val="193E1782"/>
    <w:rsid w:val="196A633D"/>
    <w:rsid w:val="199B021E"/>
    <w:rsid w:val="1A060A3C"/>
    <w:rsid w:val="1A1C66C0"/>
    <w:rsid w:val="1A255F8F"/>
    <w:rsid w:val="1A42393B"/>
    <w:rsid w:val="1A4309AA"/>
    <w:rsid w:val="1A534CD2"/>
    <w:rsid w:val="1A693E78"/>
    <w:rsid w:val="1AD0039B"/>
    <w:rsid w:val="1B046F80"/>
    <w:rsid w:val="1B163C26"/>
    <w:rsid w:val="1B1C6848"/>
    <w:rsid w:val="1B2E0C1E"/>
    <w:rsid w:val="1B3267B5"/>
    <w:rsid w:val="1B435068"/>
    <w:rsid w:val="1BC04531"/>
    <w:rsid w:val="1BC25DC8"/>
    <w:rsid w:val="1BDA0F1B"/>
    <w:rsid w:val="1BDC3A45"/>
    <w:rsid w:val="1BF74C8B"/>
    <w:rsid w:val="1C033E58"/>
    <w:rsid w:val="1C3B4C3E"/>
    <w:rsid w:val="1C4E1D4E"/>
    <w:rsid w:val="1C5E7925"/>
    <w:rsid w:val="1C816AAE"/>
    <w:rsid w:val="1C856F63"/>
    <w:rsid w:val="1C887FC8"/>
    <w:rsid w:val="1CF07D1B"/>
    <w:rsid w:val="1CF53A0D"/>
    <w:rsid w:val="1CFD229F"/>
    <w:rsid w:val="1D196A53"/>
    <w:rsid w:val="1D4871EB"/>
    <w:rsid w:val="1D5F6196"/>
    <w:rsid w:val="1D6132A5"/>
    <w:rsid w:val="1D8E56D5"/>
    <w:rsid w:val="1DAB29F9"/>
    <w:rsid w:val="1E265BEF"/>
    <w:rsid w:val="1E3D5F17"/>
    <w:rsid w:val="1E4B6ACA"/>
    <w:rsid w:val="1E7A43DA"/>
    <w:rsid w:val="1EB277FE"/>
    <w:rsid w:val="1ED22B1C"/>
    <w:rsid w:val="1ED43DFB"/>
    <w:rsid w:val="1EE92A08"/>
    <w:rsid w:val="1FB812A8"/>
    <w:rsid w:val="1FC019CA"/>
    <w:rsid w:val="1FC3227C"/>
    <w:rsid w:val="1FE7539E"/>
    <w:rsid w:val="202D3B9A"/>
    <w:rsid w:val="205157D9"/>
    <w:rsid w:val="20963CB8"/>
    <w:rsid w:val="209B4FA7"/>
    <w:rsid w:val="20B07FB6"/>
    <w:rsid w:val="21286C5C"/>
    <w:rsid w:val="213B74B1"/>
    <w:rsid w:val="215A2310"/>
    <w:rsid w:val="216B0472"/>
    <w:rsid w:val="21A165ED"/>
    <w:rsid w:val="21D73DBD"/>
    <w:rsid w:val="21DE318A"/>
    <w:rsid w:val="21EF5B80"/>
    <w:rsid w:val="22203D27"/>
    <w:rsid w:val="22576990"/>
    <w:rsid w:val="229C4EAB"/>
    <w:rsid w:val="22B3482A"/>
    <w:rsid w:val="22F822B9"/>
    <w:rsid w:val="23314852"/>
    <w:rsid w:val="23452FA8"/>
    <w:rsid w:val="23A45F21"/>
    <w:rsid w:val="23C24CAF"/>
    <w:rsid w:val="23C44815"/>
    <w:rsid w:val="23E91BF9"/>
    <w:rsid w:val="242343C0"/>
    <w:rsid w:val="24267D30"/>
    <w:rsid w:val="24727DCD"/>
    <w:rsid w:val="249B09EC"/>
    <w:rsid w:val="24A24B56"/>
    <w:rsid w:val="24C543A1"/>
    <w:rsid w:val="251B2213"/>
    <w:rsid w:val="252D53FE"/>
    <w:rsid w:val="253A3226"/>
    <w:rsid w:val="25661DC7"/>
    <w:rsid w:val="258E0C37"/>
    <w:rsid w:val="25C1725E"/>
    <w:rsid w:val="25D66AB7"/>
    <w:rsid w:val="25EC2D81"/>
    <w:rsid w:val="264528BD"/>
    <w:rsid w:val="265E0CC2"/>
    <w:rsid w:val="268B161A"/>
    <w:rsid w:val="26CE2F65"/>
    <w:rsid w:val="26DD6079"/>
    <w:rsid w:val="26EE74DD"/>
    <w:rsid w:val="270123C7"/>
    <w:rsid w:val="27465FCE"/>
    <w:rsid w:val="27CE17BE"/>
    <w:rsid w:val="27D15DD1"/>
    <w:rsid w:val="28924EE2"/>
    <w:rsid w:val="28A76295"/>
    <w:rsid w:val="28C130D1"/>
    <w:rsid w:val="28E53263"/>
    <w:rsid w:val="290907DC"/>
    <w:rsid w:val="291C4D8F"/>
    <w:rsid w:val="29206EB8"/>
    <w:rsid w:val="292F4118"/>
    <w:rsid w:val="293C4CCC"/>
    <w:rsid w:val="29802F8C"/>
    <w:rsid w:val="298B7028"/>
    <w:rsid w:val="29E325E0"/>
    <w:rsid w:val="29EA4896"/>
    <w:rsid w:val="2A252232"/>
    <w:rsid w:val="2A452503"/>
    <w:rsid w:val="2A716636"/>
    <w:rsid w:val="2A795124"/>
    <w:rsid w:val="2A952A67"/>
    <w:rsid w:val="2ACC22B3"/>
    <w:rsid w:val="2ADF3F76"/>
    <w:rsid w:val="2AFC6642"/>
    <w:rsid w:val="2B0025D7"/>
    <w:rsid w:val="2B006585"/>
    <w:rsid w:val="2B482D83"/>
    <w:rsid w:val="2B793C85"/>
    <w:rsid w:val="2BA936A8"/>
    <w:rsid w:val="2BC20850"/>
    <w:rsid w:val="2C315A5A"/>
    <w:rsid w:val="2C752B50"/>
    <w:rsid w:val="2D2C32D2"/>
    <w:rsid w:val="2D432348"/>
    <w:rsid w:val="2D57768A"/>
    <w:rsid w:val="2D7E77E3"/>
    <w:rsid w:val="2D9E56F5"/>
    <w:rsid w:val="2D9E7E85"/>
    <w:rsid w:val="2DE24215"/>
    <w:rsid w:val="2DE51610"/>
    <w:rsid w:val="2E204742"/>
    <w:rsid w:val="2E3D0EE7"/>
    <w:rsid w:val="2E5D1908"/>
    <w:rsid w:val="2E667F96"/>
    <w:rsid w:val="2E682BD0"/>
    <w:rsid w:val="2E69270B"/>
    <w:rsid w:val="2E8226AB"/>
    <w:rsid w:val="2EEA2591"/>
    <w:rsid w:val="2F231942"/>
    <w:rsid w:val="2F832C79"/>
    <w:rsid w:val="2FEF2D58"/>
    <w:rsid w:val="300E1349"/>
    <w:rsid w:val="30580BC9"/>
    <w:rsid w:val="311E2ED7"/>
    <w:rsid w:val="31395673"/>
    <w:rsid w:val="315C449C"/>
    <w:rsid w:val="31886D69"/>
    <w:rsid w:val="31B82709"/>
    <w:rsid w:val="32400B34"/>
    <w:rsid w:val="3276317E"/>
    <w:rsid w:val="329E6876"/>
    <w:rsid w:val="32A41A99"/>
    <w:rsid w:val="32AA2E28"/>
    <w:rsid w:val="32F01930"/>
    <w:rsid w:val="330C3106"/>
    <w:rsid w:val="334B7591"/>
    <w:rsid w:val="33727DEA"/>
    <w:rsid w:val="33890C8F"/>
    <w:rsid w:val="33CC3DB4"/>
    <w:rsid w:val="33D934D4"/>
    <w:rsid w:val="33FE2F6A"/>
    <w:rsid w:val="34117602"/>
    <w:rsid w:val="34360E17"/>
    <w:rsid w:val="346B1933"/>
    <w:rsid w:val="349F69BC"/>
    <w:rsid w:val="34CE0677"/>
    <w:rsid w:val="34DA3E98"/>
    <w:rsid w:val="34DC6AEE"/>
    <w:rsid w:val="35744B80"/>
    <w:rsid w:val="35D54660"/>
    <w:rsid w:val="35E6061B"/>
    <w:rsid w:val="35EA56E1"/>
    <w:rsid w:val="36074A7F"/>
    <w:rsid w:val="364041CF"/>
    <w:rsid w:val="366476CB"/>
    <w:rsid w:val="36923549"/>
    <w:rsid w:val="369313C7"/>
    <w:rsid w:val="36B75FBF"/>
    <w:rsid w:val="36FB4891"/>
    <w:rsid w:val="37041533"/>
    <w:rsid w:val="3714661A"/>
    <w:rsid w:val="37415551"/>
    <w:rsid w:val="376F19D1"/>
    <w:rsid w:val="37727331"/>
    <w:rsid w:val="379F6CD3"/>
    <w:rsid w:val="37A56D79"/>
    <w:rsid w:val="37AD7642"/>
    <w:rsid w:val="380D6333"/>
    <w:rsid w:val="382275F5"/>
    <w:rsid w:val="388C36FB"/>
    <w:rsid w:val="38A87E0A"/>
    <w:rsid w:val="38CA7D80"/>
    <w:rsid w:val="38D138B9"/>
    <w:rsid w:val="38D26C34"/>
    <w:rsid w:val="38F12CD3"/>
    <w:rsid w:val="38F94775"/>
    <w:rsid w:val="392971ED"/>
    <w:rsid w:val="399A14F2"/>
    <w:rsid w:val="39EC7A64"/>
    <w:rsid w:val="3A3A6DD5"/>
    <w:rsid w:val="3A814B19"/>
    <w:rsid w:val="3A824DC7"/>
    <w:rsid w:val="3AD70C6B"/>
    <w:rsid w:val="3B3763D1"/>
    <w:rsid w:val="3B581673"/>
    <w:rsid w:val="3BEF3A29"/>
    <w:rsid w:val="3C040901"/>
    <w:rsid w:val="3C0873F5"/>
    <w:rsid w:val="3C305756"/>
    <w:rsid w:val="3CB44FCF"/>
    <w:rsid w:val="3CDA245A"/>
    <w:rsid w:val="3CEE0A37"/>
    <w:rsid w:val="3D3C3AC0"/>
    <w:rsid w:val="3D4F5643"/>
    <w:rsid w:val="3DB64A21"/>
    <w:rsid w:val="3DE13AD5"/>
    <w:rsid w:val="3E29379B"/>
    <w:rsid w:val="3E2972F7"/>
    <w:rsid w:val="3EA42BDE"/>
    <w:rsid w:val="3ED82DBD"/>
    <w:rsid w:val="3F261A88"/>
    <w:rsid w:val="3F55579E"/>
    <w:rsid w:val="3F660E74"/>
    <w:rsid w:val="3F786788"/>
    <w:rsid w:val="3F7877A9"/>
    <w:rsid w:val="3FF1653A"/>
    <w:rsid w:val="40330901"/>
    <w:rsid w:val="40427065"/>
    <w:rsid w:val="40624D42"/>
    <w:rsid w:val="40750F19"/>
    <w:rsid w:val="407A6407"/>
    <w:rsid w:val="40970E8F"/>
    <w:rsid w:val="40AC4411"/>
    <w:rsid w:val="41384420"/>
    <w:rsid w:val="413E130B"/>
    <w:rsid w:val="414032D5"/>
    <w:rsid w:val="416B4E60"/>
    <w:rsid w:val="41982A8C"/>
    <w:rsid w:val="41C16892"/>
    <w:rsid w:val="41CC6917"/>
    <w:rsid w:val="41DD28D2"/>
    <w:rsid w:val="41FC5DD6"/>
    <w:rsid w:val="422507BC"/>
    <w:rsid w:val="423A3BCC"/>
    <w:rsid w:val="42424E2B"/>
    <w:rsid w:val="42705EBE"/>
    <w:rsid w:val="429947A2"/>
    <w:rsid w:val="42D55C9F"/>
    <w:rsid w:val="42E02CAB"/>
    <w:rsid w:val="433A6FE6"/>
    <w:rsid w:val="4350713C"/>
    <w:rsid w:val="436653E0"/>
    <w:rsid w:val="437E35AA"/>
    <w:rsid w:val="43CC2BFE"/>
    <w:rsid w:val="43DA3792"/>
    <w:rsid w:val="43EE2E8F"/>
    <w:rsid w:val="4497145E"/>
    <w:rsid w:val="44CD14E0"/>
    <w:rsid w:val="45085EB8"/>
    <w:rsid w:val="4537772B"/>
    <w:rsid w:val="456C7BF5"/>
    <w:rsid w:val="45772A5A"/>
    <w:rsid w:val="45795008"/>
    <w:rsid w:val="457E36C4"/>
    <w:rsid w:val="458946E9"/>
    <w:rsid w:val="45A64570"/>
    <w:rsid w:val="45F24560"/>
    <w:rsid w:val="465B7723"/>
    <w:rsid w:val="469937FB"/>
    <w:rsid w:val="46B04A59"/>
    <w:rsid w:val="46BD2CD2"/>
    <w:rsid w:val="46C0633F"/>
    <w:rsid w:val="46D955A7"/>
    <w:rsid w:val="46EA51C7"/>
    <w:rsid w:val="47133957"/>
    <w:rsid w:val="4779329E"/>
    <w:rsid w:val="47920412"/>
    <w:rsid w:val="47A07E0C"/>
    <w:rsid w:val="47CD6ADD"/>
    <w:rsid w:val="47DC5E38"/>
    <w:rsid w:val="480B2136"/>
    <w:rsid w:val="4870272E"/>
    <w:rsid w:val="48D61503"/>
    <w:rsid w:val="48F609CD"/>
    <w:rsid w:val="4910516D"/>
    <w:rsid w:val="49BB6FC4"/>
    <w:rsid w:val="49C12AD9"/>
    <w:rsid w:val="49DC7715"/>
    <w:rsid w:val="49DD421F"/>
    <w:rsid w:val="4A023139"/>
    <w:rsid w:val="4A037596"/>
    <w:rsid w:val="4A7B576F"/>
    <w:rsid w:val="4ADF3B5F"/>
    <w:rsid w:val="4AF46894"/>
    <w:rsid w:val="4B296B88"/>
    <w:rsid w:val="4B307F16"/>
    <w:rsid w:val="4B494D91"/>
    <w:rsid w:val="4B8D0A73"/>
    <w:rsid w:val="4BB62E73"/>
    <w:rsid w:val="4BDB2578"/>
    <w:rsid w:val="4C12446E"/>
    <w:rsid w:val="4C163AD2"/>
    <w:rsid w:val="4C4A0649"/>
    <w:rsid w:val="4CA47485"/>
    <w:rsid w:val="4CA7245A"/>
    <w:rsid w:val="4CD869E0"/>
    <w:rsid w:val="4CE07CE4"/>
    <w:rsid w:val="4CE470D3"/>
    <w:rsid w:val="4CFE4613"/>
    <w:rsid w:val="4D3006A2"/>
    <w:rsid w:val="4D797C22"/>
    <w:rsid w:val="4DD84F11"/>
    <w:rsid w:val="4DE202D0"/>
    <w:rsid w:val="4DEC4FB0"/>
    <w:rsid w:val="4E075D8A"/>
    <w:rsid w:val="4E99582F"/>
    <w:rsid w:val="4EC34129"/>
    <w:rsid w:val="4ECD0083"/>
    <w:rsid w:val="4EF31987"/>
    <w:rsid w:val="4F14056D"/>
    <w:rsid w:val="4F4B70FC"/>
    <w:rsid w:val="4F682307"/>
    <w:rsid w:val="4F6E725F"/>
    <w:rsid w:val="4FB82BD0"/>
    <w:rsid w:val="4FC62A8C"/>
    <w:rsid w:val="4FE20F0D"/>
    <w:rsid w:val="50504C4B"/>
    <w:rsid w:val="506E7FDD"/>
    <w:rsid w:val="508458B2"/>
    <w:rsid w:val="50937573"/>
    <w:rsid w:val="509C6E7C"/>
    <w:rsid w:val="50BE6FAF"/>
    <w:rsid w:val="511107EA"/>
    <w:rsid w:val="51196A16"/>
    <w:rsid w:val="5162104E"/>
    <w:rsid w:val="51813F8E"/>
    <w:rsid w:val="521F6F37"/>
    <w:rsid w:val="52597F9D"/>
    <w:rsid w:val="52B70F1D"/>
    <w:rsid w:val="53A039CC"/>
    <w:rsid w:val="53A1505A"/>
    <w:rsid w:val="53BA139F"/>
    <w:rsid w:val="54061554"/>
    <w:rsid w:val="54063E08"/>
    <w:rsid w:val="543437E8"/>
    <w:rsid w:val="54DE6D5C"/>
    <w:rsid w:val="54EF17DD"/>
    <w:rsid w:val="554D361A"/>
    <w:rsid w:val="559B174B"/>
    <w:rsid w:val="55BC461B"/>
    <w:rsid w:val="55CE0CF4"/>
    <w:rsid w:val="56B22A9C"/>
    <w:rsid w:val="56B443B7"/>
    <w:rsid w:val="57607DD5"/>
    <w:rsid w:val="57932DC4"/>
    <w:rsid w:val="579C7F73"/>
    <w:rsid w:val="57B679F5"/>
    <w:rsid w:val="57B72A76"/>
    <w:rsid w:val="57F10877"/>
    <w:rsid w:val="57F86B97"/>
    <w:rsid w:val="58076362"/>
    <w:rsid w:val="581C65D9"/>
    <w:rsid w:val="58523BC2"/>
    <w:rsid w:val="588C2D0D"/>
    <w:rsid w:val="58F44C79"/>
    <w:rsid w:val="59345076"/>
    <w:rsid w:val="5947124D"/>
    <w:rsid w:val="596A5985"/>
    <w:rsid w:val="59710078"/>
    <w:rsid w:val="59741916"/>
    <w:rsid w:val="59CF4D9E"/>
    <w:rsid w:val="59F578B3"/>
    <w:rsid w:val="5A3B2502"/>
    <w:rsid w:val="5A3C747D"/>
    <w:rsid w:val="5AAC3332"/>
    <w:rsid w:val="5ABE2233"/>
    <w:rsid w:val="5ACB76B8"/>
    <w:rsid w:val="5AF01470"/>
    <w:rsid w:val="5AF50835"/>
    <w:rsid w:val="5B276D18"/>
    <w:rsid w:val="5B2D2AF0"/>
    <w:rsid w:val="5B5B0371"/>
    <w:rsid w:val="5B7324B9"/>
    <w:rsid w:val="5B8E43DE"/>
    <w:rsid w:val="5B9F7C3D"/>
    <w:rsid w:val="5BDB3ECE"/>
    <w:rsid w:val="5BDE39BF"/>
    <w:rsid w:val="5BDF5D95"/>
    <w:rsid w:val="5BE663CF"/>
    <w:rsid w:val="5C333BAD"/>
    <w:rsid w:val="5C4F356D"/>
    <w:rsid w:val="5C6519EA"/>
    <w:rsid w:val="5C734107"/>
    <w:rsid w:val="5CB309AF"/>
    <w:rsid w:val="5CB72DEE"/>
    <w:rsid w:val="5CE16980"/>
    <w:rsid w:val="5D4D4958"/>
    <w:rsid w:val="5DF87A0F"/>
    <w:rsid w:val="5E1E66DC"/>
    <w:rsid w:val="5E32584C"/>
    <w:rsid w:val="5E39312E"/>
    <w:rsid w:val="5E6A1C29"/>
    <w:rsid w:val="5E8A2856"/>
    <w:rsid w:val="5EF7101F"/>
    <w:rsid w:val="5F1A2B43"/>
    <w:rsid w:val="5F2E1B8E"/>
    <w:rsid w:val="5F791202"/>
    <w:rsid w:val="5FA52A0B"/>
    <w:rsid w:val="5FB837BB"/>
    <w:rsid w:val="5FBA1C84"/>
    <w:rsid w:val="600041CF"/>
    <w:rsid w:val="602437A7"/>
    <w:rsid w:val="6060527C"/>
    <w:rsid w:val="60B23FEB"/>
    <w:rsid w:val="60B77FA4"/>
    <w:rsid w:val="60BE51F4"/>
    <w:rsid w:val="60D71D8D"/>
    <w:rsid w:val="6144012B"/>
    <w:rsid w:val="619C5EAE"/>
    <w:rsid w:val="61CA338F"/>
    <w:rsid w:val="61ED495B"/>
    <w:rsid w:val="62122D8C"/>
    <w:rsid w:val="62364782"/>
    <w:rsid w:val="627E55B4"/>
    <w:rsid w:val="62CD1C76"/>
    <w:rsid w:val="62E10671"/>
    <w:rsid w:val="631D6B7A"/>
    <w:rsid w:val="63676048"/>
    <w:rsid w:val="63D40BE9"/>
    <w:rsid w:val="63E0211F"/>
    <w:rsid w:val="63EB193E"/>
    <w:rsid w:val="648669A1"/>
    <w:rsid w:val="64C25C2B"/>
    <w:rsid w:val="64EC08BA"/>
    <w:rsid w:val="64F14763"/>
    <w:rsid w:val="65373578"/>
    <w:rsid w:val="66012783"/>
    <w:rsid w:val="66966CD3"/>
    <w:rsid w:val="669D7007"/>
    <w:rsid w:val="66B9305E"/>
    <w:rsid w:val="66FA03C4"/>
    <w:rsid w:val="673F2C7A"/>
    <w:rsid w:val="676A25AA"/>
    <w:rsid w:val="67872D80"/>
    <w:rsid w:val="67B3068B"/>
    <w:rsid w:val="68024591"/>
    <w:rsid w:val="68050BAD"/>
    <w:rsid w:val="68150562"/>
    <w:rsid w:val="681F6961"/>
    <w:rsid w:val="685017A0"/>
    <w:rsid w:val="68610A2F"/>
    <w:rsid w:val="68805514"/>
    <w:rsid w:val="68A67612"/>
    <w:rsid w:val="68B24209"/>
    <w:rsid w:val="68B4746F"/>
    <w:rsid w:val="68CA0E0D"/>
    <w:rsid w:val="693B7D5A"/>
    <w:rsid w:val="694E2071"/>
    <w:rsid w:val="69737D8C"/>
    <w:rsid w:val="697A3B33"/>
    <w:rsid w:val="699E2456"/>
    <w:rsid w:val="69A55B1C"/>
    <w:rsid w:val="69F024A4"/>
    <w:rsid w:val="6A2E78BF"/>
    <w:rsid w:val="6A442D8B"/>
    <w:rsid w:val="6AA855DF"/>
    <w:rsid w:val="6AB778B5"/>
    <w:rsid w:val="6ABE50E7"/>
    <w:rsid w:val="6AD617F1"/>
    <w:rsid w:val="6AF75970"/>
    <w:rsid w:val="6B322639"/>
    <w:rsid w:val="6B5E682D"/>
    <w:rsid w:val="6B8916E0"/>
    <w:rsid w:val="6BC06753"/>
    <w:rsid w:val="6BFD5C4A"/>
    <w:rsid w:val="6C375151"/>
    <w:rsid w:val="6C636C38"/>
    <w:rsid w:val="6C805ED8"/>
    <w:rsid w:val="6C851601"/>
    <w:rsid w:val="6CE81FA7"/>
    <w:rsid w:val="6D17288C"/>
    <w:rsid w:val="6D637229"/>
    <w:rsid w:val="6D6A3304"/>
    <w:rsid w:val="6D6F26C8"/>
    <w:rsid w:val="6DB34098"/>
    <w:rsid w:val="6DB545B6"/>
    <w:rsid w:val="6DE8556E"/>
    <w:rsid w:val="6DF8630E"/>
    <w:rsid w:val="6E1C2FD8"/>
    <w:rsid w:val="6E2A65EF"/>
    <w:rsid w:val="6E4375A0"/>
    <w:rsid w:val="6E514CED"/>
    <w:rsid w:val="6E642B15"/>
    <w:rsid w:val="6E79491A"/>
    <w:rsid w:val="6E8025E0"/>
    <w:rsid w:val="6EB563D5"/>
    <w:rsid w:val="6EC66318"/>
    <w:rsid w:val="6EE97FE6"/>
    <w:rsid w:val="6EED1AF7"/>
    <w:rsid w:val="6EF9219D"/>
    <w:rsid w:val="6F225983"/>
    <w:rsid w:val="6F38459B"/>
    <w:rsid w:val="6F3C3CB0"/>
    <w:rsid w:val="6FBD57C0"/>
    <w:rsid w:val="6FDB0BA6"/>
    <w:rsid w:val="6FFC5590"/>
    <w:rsid w:val="70301DA3"/>
    <w:rsid w:val="70657DB3"/>
    <w:rsid w:val="706D1DD0"/>
    <w:rsid w:val="70856B87"/>
    <w:rsid w:val="70AE52B6"/>
    <w:rsid w:val="70BE5369"/>
    <w:rsid w:val="70BF3967"/>
    <w:rsid w:val="70D527EE"/>
    <w:rsid w:val="71306870"/>
    <w:rsid w:val="714C4985"/>
    <w:rsid w:val="715B5300"/>
    <w:rsid w:val="715F4BD7"/>
    <w:rsid w:val="7161057A"/>
    <w:rsid w:val="71A16BC9"/>
    <w:rsid w:val="71D04977"/>
    <w:rsid w:val="71D27F8A"/>
    <w:rsid w:val="71F744C6"/>
    <w:rsid w:val="71F960CF"/>
    <w:rsid w:val="720A0C12"/>
    <w:rsid w:val="722B1A32"/>
    <w:rsid w:val="7234641F"/>
    <w:rsid w:val="72D23EF4"/>
    <w:rsid w:val="72DF5BFA"/>
    <w:rsid w:val="73093053"/>
    <w:rsid w:val="731F5D5E"/>
    <w:rsid w:val="73504D4A"/>
    <w:rsid w:val="73515143"/>
    <w:rsid w:val="73591E51"/>
    <w:rsid w:val="73B132F9"/>
    <w:rsid w:val="73EF4058"/>
    <w:rsid w:val="73FB6A64"/>
    <w:rsid w:val="741E793C"/>
    <w:rsid w:val="74567EAE"/>
    <w:rsid w:val="74600FBD"/>
    <w:rsid w:val="74745F38"/>
    <w:rsid w:val="747A256A"/>
    <w:rsid w:val="7487479C"/>
    <w:rsid w:val="74884070"/>
    <w:rsid w:val="74B3098B"/>
    <w:rsid w:val="74E97204"/>
    <w:rsid w:val="758D75E2"/>
    <w:rsid w:val="75E41D5D"/>
    <w:rsid w:val="761E6A3A"/>
    <w:rsid w:val="76402E54"/>
    <w:rsid w:val="767174B1"/>
    <w:rsid w:val="768E1E11"/>
    <w:rsid w:val="77762421"/>
    <w:rsid w:val="778C3E77"/>
    <w:rsid w:val="778E3DA5"/>
    <w:rsid w:val="77903967"/>
    <w:rsid w:val="7803603C"/>
    <w:rsid w:val="780F09F4"/>
    <w:rsid w:val="789C4F47"/>
    <w:rsid w:val="78A90480"/>
    <w:rsid w:val="79811327"/>
    <w:rsid w:val="79A66416"/>
    <w:rsid w:val="79CD0EA3"/>
    <w:rsid w:val="7A342CD0"/>
    <w:rsid w:val="7A344A7E"/>
    <w:rsid w:val="7A364017"/>
    <w:rsid w:val="7A3902E6"/>
    <w:rsid w:val="7A4B626B"/>
    <w:rsid w:val="7A57076C"/>
    <w:rsid w:val="7A5A200A"/>
    <w:rsid w:val="7A8265E1"/>
    <w:rsid w:val="7AD623EF"/>
    <w:rsid w:val="7AF47CAC"/>
    <w:rsid w:val="7B0E1773"/>
    <w:rsid w:val="7B686D42"/>
    <w:rsid w:val="7B841746"/>
    <w:rsid w:val="7B8D6C39"/>
    <w:rsid w:val="7B94630E"/>
    <w:rsid w:val="7BB50A30"/>
    <w:rsid w:val="7BCA5473"/>
    <w:rsid w:val="7BE14743"/>
    <w:rsid w:val="7C1508DF"/>
    <w:rsid w:val="7C5F3B02"/>
    <w:rsid w:val="7CE174A1"/>
    <w:rsid w:val="7D0239FF"/>
    <w:rsid w:val="7D2232B3"/>
    <w:rsid w:val="7D5E40CD"/>
    <w:rsid w:val="7D676FBC"/>
    <w:rsid w:val="7D693BED"/>
    <w:rsid w:val="7D84567F"/>
    <w:rsid w:val="7D8775BA"/>
    <w:rsid w:val="7DA14123"/>
    <w:rsid w:val="7DB34EE0"/>
    <w:rsid w:val="7EDE5DC6"/>
    <w:rsid w:val="7EDF02E2"/>
    <w:rsid w:val="7EF26973"/>
    <w:rsid w:val="7EF96296"/>
    <w:rsid w:val="7F005876"/>
    <w:rsid w:val="7F0C37F3"/>
    <w:rsid w:val="7F4736ED"/>
    <w:rsid w:val="7F5149DA"/>
    <w:rsid w:val="7F815381"/>
    <w:rsid w:val="7FAF2DF8"/>
    <w:rsid w:val="7FB4040F"/>
    <w:rsid w:val="7FE40CF4"/>
    <w:rsid w:val="7FE47E50"/>
    <w:rsid w:val="7FEA5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9"/>
    <w:pPr>
      <w:keepNext/>
      <w:keepLines/>
      <w:spacing w:before="260" w:after="260" w:line="415" w:lineRule="auto"/>
      <w:outlineLvl w:val="1"/>
    </w:pPr>
    <w:rPr>
      <w:rFonts w:ascii="Cambria" w:hAnsi="Cambria" w:cs="宋体"/>
      <w:b/>
      <w:bCs/>
      <w:sz w:val="32"/>
      <w:szCs w:val="32"/>
    </w:rPr>
  </w:style>
  <w:style w:type="paragraph" w:styleId="4">
    <w:name w:val="heading 3"/>
    <w:basedOn w:val="1"/>
    <w:next w:val="1"/>
    <w:qFormat/>
    <w:locked/>
    <w:uiPriority w:val="0"/>
    <w:pPr>
      <w:keepNext/>
      <w:keepLines/>
      <w:numPr>
        <w:ilvl w:val="2"/>
        <w:numId w:val="1"/>
      </w:numPr>
      <w:spacing w:line="360" w:lineRule="auto"/>
      <w:ind w:left="0" w:firstLine="0"/>
      <w:outlineLvl w:val="2"/>
    </w:pPr>
    <w:rPr>
      <w:rFonts w:cs="Arial"/>
      <w:bCs/>
      <w:sz w:val="28"/>
      <w:szCs w:val="32"/>
    </w:rPr>
  </w:style>
  <w:style w:type="paragraph" w:styleId="5">
    <w:name w:val="heading 4"/>
    <w:basedOn w:val="1"/>
    <w:next w:val="6"/>
    <w:qFormat/>
    <w:locked/>
    <w:uiPriority w:val="0"/>
    <w:pPr>
      <w:keepNext/>
      <w:keepLines/>
      <w:spacing w:after="120" w:line="360" w:lineRule="auto"/>
      <w:ind w:firstLine="480" w:firstLineChars="200"/>
      <w:jc w:val="left"/>
      <w:outlineLvl w:val="3"/>
    </w:pPr>
    <w:rPr>
      <w:bCs/>
      <w:sz w:val="24"/>
      <w:szCs w:val="28"/>
      <w:u w:val="single"/>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adjustRightInd w:val="0"/>
      <w:snapToGrid w:val="0"/>
      <w:spacing w:line="360" w:lineRule="auto"/>
      <w:jc w:val="left"/>
    </w:pPr>
    <w:rPr>
      <w:sz w:val="24"/>
      <w:szCs w:val="20"/>
    </w:rPr>
  </w:style>
  <w:style w:type="paragraph" w:styleId="7">
    <w:name w:val="caption"/>
    <w:basedOn w:val="1"/>
    <w:next w:val="1"/>
    <w:qFormat/>
    <w:locked/>
    <w:uiPriority w:val="0"/>
    <w:pPr>
      <w:spacing w:line="360" w:lineRule="auto"/>
      <w:ind w:firstLine="200" w:firstLineChars="200"/>
    </w:pPr>
    <w:rPr>
      <w:rFonts w:ascii="Arial" w:hAnsi="Arial" w:eastAsia="黑体"/>
      <w:sz w:val="20"/>
      <w:szCs w:val="20"/>
    </w:rPr>
  </w:style>
  <w:style w:type="paragraph" w:styleId="8">
    <w:name w:val="annotation text"/>
    <w:basedOn w:val="1"/>
    <w:link w:val="37"/>
    <w:semiHidden/>
    <w:qFormat/>
    <w:uiPriority w:val="0"/>
    <w:pPr>
      <w:jc w:val="left"/>
    </w:pPr>
    <w:rPr>
      <w:kern w:val="0"/>
      <w:sz w:val="20"/>
    </w:rPr>
  </w:style>
  <w:style w:type="paragraph" w:styleId="9">
    <w:name w:val="Body Text"/>
    <w:basedOn w:val="1"/>
    <w:next w:val="1"/>
    <w:link w:val="38"/>
    <w:qFormat/>
    <w:uiPriority w:val="0"/>
    <w:pPr>
      <w:widowControl/>
      <w:snapToGrid w:val="0"/>
      <w:spacing w:before="60" w:after="160" w:line="259" w:lineRule="auto"/>
      <w:ind w:right="113"/>
    </w:pPr>
    <w:rPr>
      <w:kern w:val="0"/>
      <w:sz w:val="18"/>
      <w:szCs w:val="18"/>
    </w:rPr>
  </w:style>
  <w:style w:type="paragraph" w:styleId="10">
    <w:name w:val="Body Text Indent"/>
    <w:basedOn w:val="1"/>
    <w:next w:val="1"/>
    <w:link w:val="39"/>
    <w:semiHidden/>
    <w:qFormat/>
    <w:uiPriority w:val="0"/>
    <w:pPr>
      <w:spacing w:after="120"/>
      <w:ind w:left="420" w:leftChars="200"/>
    </w:pPr>
  </w:style>
  <w:style w:type="paragraph" w:styleId="11">
    <w:name w:val="Plain Text"/>
    <w:basedOn w:val="1"/>
    <w:next w:val="12"/>
    <w:qFormat/>
    <w:uiPriority w:val="0"/>
    <w:rPr>
      <w:rFonts w:hAnsi="Courier New" w:cs="Courier New"/>
      <w:szCs w:val="21"/>
    </w:rPr>
  </w:style>
  <w:style w:type="paragraph" w:customStyle="1" w:styleId="12">
    <w:name w:val="Default"/>
    <w:basedOn w:val="13"/>
    <w:next w:val="1"/>
    <w:qFormat/>
    <w:uiPriority w:val="0"/>
    <w:pPr>
      <w:autoSpaceDE w:val="0"/>
      <w:autoSpaceDN w:val="0"/>
    </w:pPr>
    <w:rPr>
      <w:color w:val="000000"/>
      <w:sz w:val="24"/>
    </w:rPr>
  </w:style>
  <w:style w:type="paragraph" w:customStyle="1" w:styleId="13">
    <w:name w:val="纯文本1"/>
    <w:basedOn w:val="1"/>
    <w:qFormat/>
    <w:uiPriority w:val="0"/>
    <w:pPr>
      <w:adjustRightInd w:val="0"/>
      <w:textAlignment w:val="baseline"/>
    </w:pPr>
    <w:rPr>
      <w:rFonts w:ascii="宋体" w:hAnsi="Courier New"/>
    </w:rPr>
  </w:style>
  <w:style w:type="paragraph" w:styleId="14">
    <w:name w:val="Date"/>
    <w:basedOn w:val="1"/>
    <w:next w:val="1"/>
    <w:link w:val="40"/>
    <w:qFormat/>
    <w:uiPriority w:val="0"/>
    <w:pPr>
      <w:ind w:left="100" w:leftChars="2500"/>
    </w:pPr>
    <w:rPr>
      <w:kern w:val="0"/>
      <w:sz w:val="20"/>
    </w:rPr>
  </w:style>
  <w:style w:type="paragraph" w:styleId="15">
    <w:name w:val="Body Text Indent 2"/>
    <w:basedOn w:val="1"/>
    <w:next w:val="1"/>
    <w:unhideWhenUsed/>
    <w:qFormat/>
    <w:uiPriority w:val="99"/>
    <w:pPr>
      <w:spacing w:after="120" w:line="480" w:lineRule="auto"/>
      <w:ind w:left="420" w:leftChars="200"/>
    </w:pPr>
  </w:style>
  <w:style w:type="paragraph" w:styleId="16">
    <w:name w:val="Balloon Text"/>
    <w:basedOn w:val="1"/>
    <w:link w:val="41"/>
    <w:semiHidden/>
    <w:qFormat/>
    <w:uiPriority w:val="0"/>
    <w:rPr>
      <w:sz w:val="18"/>
      <w:szCs w:val="18"/>
    </w:rPr>
  </w:style>
  <w:style w:type="paragraph" w:styleId="17">
    <w:name w:val="footer"/>
    <w:basedOn w:val="1"/>
    <w:link w:val="42"/>
    <w:qFormat/>
    <w:uiPriority w:val="0"/>
    <w:pPr>
      <w:tabs>
        <w:tab w:val="center" w:pos="4153"/>
        <w:tab w:val="right" w:pos="8306"/>
      </w:tabs>
      <w:snapToGrid w:val="0"/>
      <w:jc w:val="left"/>
    </w:pPr>
    <w:rPr>
      <w:sz w:val="18"/>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1"/>
    <w:pPr>
      <w:spacing w:before="98"/>
      <w:ind w:right="260"/>
      <w:jc w:val="center"/>
    </w:pPr>
    <w:rPr>
      <w:rFonts w:ascii="宋体" w:hAnsi="宋体" w:cs="宋体"/>
      <w:sz w:val="36"/>
      <w:szCs w:val="36"/>
      <w:lang w:val="zh-CN" w:bidi="zh-CN"/>
    </w:rPr>
  </w:style>
  <w:style w:type="paragraph" w:styleId="20">
    <w:name w:val="List"/>
    <w:basedOn w:val="1"/>
    <w:unhideWhenUsed/>
    <w:qFormat/>
    <w:uiPriority w:val="0"/>
    <w:pPr>
      <w:ind w:left="200" w:hanging="200" w:hangingChars="200"/>
      <w:contextualSpacing/>
    </w:pPr>
  </w:style>
  <w:style w:type="paragraph" w:styleId="21">
    <w:name w:val="toc 2"/>
    <w:basedOn w:val="1"/>
    <w:next w:val="1"/>
    <w:qFormat/>
    <w:locked/>
    <w:uiPriority w:val="0"/>
    <w:pPr>
      <w:ind w:left="420" w:leftChars="200"/>
    </w:pPr>
  </w:style>
  <w:style w:type="paragraph" w:styleId="22">
    <w:name w:val="Body Text 2"/>
    <w:next w:val="1"/>
    <w:qFormat/>
    <w:uiPriority w:val="0"/>
    <w:pPr>
      <w:widowControl w:val="0"/>
      <w:spacing w:after="120" w:line="48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3">
    <w:name w:val="Normal (Web)"/>
    <w:basedOn w:val="1"/>
    <w:link w:val="44"/>
    <w:qFormat/>
    <w:uiPriority w:val="0"/>
    <w:pPr>
      <w:widowControl/>
      <w:spacing w:before="100" w:beforeAutospacing="1" w:after="100" w:afterAutospacing="1"/>
      <w:jc w:val="left"/>
    </w:pPr>
    <w:rPr>
      <w:rFonts w:ascii="宋体" w:hAnsi="宋体"/>
      <w:kern w:val="0"/>
      <w:sz w:val="24"/>
    </w:rPr>
  </w:style>
  <w:style w:type="paragraph" w:styleId="24">
    <w:name w:val="annotation subject"/>
    <w:basedOn w:val="8"/>
    <w:next w:val="8"/>
    <w:link w:val="45"/>
    <w:semiHidden/>
    <w:qFormat/>
    <w:uiPriority w:val="0"/>
    <w:rPr>
      <w:b/>
      <w:bCs/>
    </w:rPr>
  </w:style>
  <w:style w:type="paragraph" w:styleId="25">
    <w:name w:val="Body Text First Indent"/>
    <w:basedOn w:val="9"/>
    <w:qFormat/>
    <w:uiPriority w:val="0"/>
    <w:pPr>
      <w:ind w:firstLine="420" w:firstLineChars="100"/>
    </w:pPr>
  </w:style>
  <w:style w:type="paragraph" w:styleId="26">
    <w:name w:val="Body Text First Indent 2"/>
    <w:next w:val="1"/>
    <w:unhideWhenUsed/>
    <w:qFormat/>
    <w:uiPriority w:val="0"/>
    <w:pPr>
      <w:spacing w:after="120"/>
      <w:ind w:left="420" w:leftChars="200" w:firstLine="420" w:firstLineChars="200"/>
    </w:pPr>
    <w:rPr>
      <w:rFonts w:ascii="宋体" w:hAnsi="宋体" w:eastAsia="宋体" w:cs="宋体"/>
      <w:sz w:val="24"/>
      <w:szCs w:val="24"/>
      <w:lang w:val="en-US" w:eastAsia="zh-CN" w:bidi="ar-SA"/>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basedOn w:val="29"/>
    <w:qFormat/>
    <w:uiPriority w:val="0"/>
  </w:style>
  <w:style w:type="character" w:styleId="32">
    <w:name w:val="Hyperlink"/>
    <w:basedOn w:val="29"/>
    <w:qFormat/>
    <w:uiPriority w:val="0"/>
    <w:rPr>
      <w:color w:val="0000FF"/>
      <w:u w:val="single"/>
    </w:rPr>
  </w:style>
  <w:style w:type="character" w:styleId="33">
    <w:name w:val="annotation reference"/>
    <w:basedOn w:val="29"/>
    <w:semiHidden/>
    <w:qFormat/>
    <w:uiPriority w:val="0"/>
    <w:rPr>
      <w:sz w:val="21"/>
    </w:rPr>
  </w:style>
  <w:style w:type="paragraph" w:customStyle="1" w:styleId="34">
    <w:name w:val="样式 正文文本缩进 + 行距: 1.5 倍行距"/>
    <w:autoRedefine/>
    <w:qFormat/>
    <w:uiPriority w:val="0"/>
    <w:pPr>
      <w:spacing w:after="120"/>
      <w:ind w:left="90" w:leftChars="32" w:firstLine="560" w:firstLineChars="200"/>
    </w:pPr>
    <w:rPr>
      <w:rFonts w:ascii="Times New Roman" w:cs="宋体" w:hAnsiTheme="minorHAnsi" w:eastAsiaTheme="minorEastAsia"/>
      <w:kern w:val="2"/>
      <w:sz w:val="21"/>
      <w:szCs w:val="24"/>
      <w:lang w:val="en-US" w:eastAsia="zh-CN" w:bidi="ar-SA"/>
    </w:rPr>
  </w:style>
  <w:style w:type="paragraph" w:customStyle="1" w:styleId="35">
    <w:name w:val="xl27"/>
    <w:basedOn w:val="1"/>
    <w:next w:val="15"/>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
    <w:name w:val="批注文字 字符"/>
    <w:link w:val="8"/>
    <w:qFormat/>
    <w:locked/>
    <w:uiPriority w:val="0"/>
    <w:rPr>
      <w:rFonts w:ascii="Times New Roman" w:hAnsi="Times New Roman" w:eastAsia="宋体"/>
      <w:sz w:val="24"/>
    </w:rPr>
  </w:style>
  <w:style w:type="character" w:customStyle="1" w:styleId="38">
    <w:name w:val="正文文本 字符"/>
    <w:link w:val="9"/>
    <w:qFormat/>
    <w:locked/>
    <w:uiPriority w:val="0"/>
    <w:rPr>
      <w:sz w:val="18"/>
    </w:rPr>
  </w:style>
  <w:style w:type="character" w:customStyle="1" w:styleId="39">
    <w:name w:val="正文文本缩进 字符"/>
    <w:basedOn w:val="29"/>
    <w:link w:val="10"/>
    <w:semiHidden/>
    <w:qFormat/>
    <w:locked/>
    <w:uiPriority w:val="0"/>
    <w:rPr>
      <w:rFonts w:ascii="Times New Roman" w:hAnsi="Times New Roman" w:eastAsia="宋体" w:cs="Times New Roman"/>
      <w:sz w:val="24"/>
      <w:szCs w:val="24"/>
    </w:rPr>
  </w:style>
  <w:style w:type="character" w:customStyle="1" w:styleId="40">
    <w:name w:val="日期 字符1"/>
    <w:link w:val="14"/>
    <w:qFormat/>
    <w:locked/>
    <w:uiPriority w:val="0"/>
    <w:rPr>
      <w:rFonts w:ascii="Times New Roman" w:hAnsi="Times New Roman" w:eastAsia="宋体"/>
      <w:sz w:val="24"/>
    </w:rPr>
  </w:style>
  <w:style w:type="character" w:customStyle="1" w:styleId="41">
    <w:name w:val="批注框文本 字符"/>
    <w:basedOn w:val="29"/>
    <w:link w:val="16"/>
    <w:semiHidden/>
    <w:qFormat/>
    <w:locked/>
    <w:uiPriority w:val="0"/>
    <w:rPr>
      <w:rFonts w:ascii="Times New Roman" w:hAnsi="Times New Roman" w:eastAsia="宋体" w:cs="Times New Roman"/>
      <w:sz w:val="18"/>
      <w:szCs w:val="18"/>
    </w:rPr>
  </w:style>
  <w:style w:type="character" w:customStyle="1" w:styleId="42">
    <w:name w:val="页脚 字符"/>
    <w:basedOn w:val="29"/>
    <w:link w:val="17"/>
    <w:qFormat/>
    <w:locked/>
    <w:uiPriority w:val="0"/>
    <w:rPr>
      <w:rFonts w:cs="Times New Roman"/>
      <w:sz w:val="18"/>
      <w:szCs w:val="18"/>
    </w:rPr>
  </w:style>
  <w:style w:type="character" w:customStyle="1" w:styleId="43">
    <w:name w:val="页眉 字符"/>
    <w:basedOn w:val="29"/>
    <w:link w:val="18"/>
    <w:qFormat/>
    <w:locked/>
    <w:uiPriority w:val="0"/>
    <w:rPr>
      <w:rFonts w:cs="Times New Roman"/>
      <w:sz w:val="18"/>
      <w:szCs w:val="18"/>
    </w:rPr>
  </w:style>
  <w:style w:type="character" w:customStyle="1" w:styleId="44">
    <w:name w:val="普通(网站) 字符"/>
    <w:link w:val="23"/>
    <w:qFormat/>
    <w:locked/>
    <w:uiPriority w:val="0"/>
    <w:rPr>
      <w:rFonts w:ascii="宋体" w:hAnsi="宋体" w:eastAsia="宋体"/>
      <w:sz w:val="24"/>
    </w:rPr>
  </w:style>
  <w:style w:type="character" w:customStyle="1" w:styleId="45">
    <w:name w:val="批注主题 字符"/>
    <w:basedOn w:val="37"/>
    <w:link w:val="24"/>
    <w:semiHidden/>
    <w:qFormat/>
    <w:locked/>
    <w:uiPriority w:val="0"/>
    <w:rPr>
      <w:rFonts w:ascii="Times New Roman" w:hAnsi="Times New Roman" w:eastAsia="宋体" w:cs="Times New Roman"/>
      <w:b/>
      <w:bCs/>
      <w:kern w:val="2"/>
      <w:sz w:val="24"/>
      <w:szCs w:val="24"/>
    </w:rPr>
  </w:style>
  <w:style w:type="character" w:customStyle="1" w:styleId="46">
    <w:name w:val="日期 字符"/>
    <w:basedOn w:val="29"/>
    <w:semiHidden/>
    <w:qFormat/>
    <w:uiPriority w:val="0"/>
    <w:rPr>
      <w:rFonts w:ascii="Times New Roman" w:hAnsi="Times New Roman" w:eastAsia="宋体" w:cs="Times New Roman"/>
      <w:sz w:val="24"/>
      <w:szCs w:val="24"/>
    </w:rPr>
  </w:style>
  <w:style w:type="character" w:customStyle="1" w:styleId="47">
    <w:name w:val="正文文本 字符1"/>
    <w:basedOn w:val="29"/>
    <w:semiHidden/>
    <w:qFormat/>
    <w:uiPriority w:val="0"/>
    <w:rPr>
      <w:rFonts w:ascii="Times New Roman" w:hAnsi="Times New Roman" w:eastAsia="宋体" w:cs="Times New Roman"/>
      <w:sz w:val="24"/>
      <w:szCs w:val="24"/>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 w:val="20"/>
      <w:szCs w:val="21"/>
    </w:rPr>
  </w:style>
  <w:style w:type="character" w:customStyle="1" w:styleId="51">
    <w:name w:val="批注文字 字符1"/>
    <w:basedOn w:val="29"/>
    <w:semiHidden/>
    <w:qFormat/>
    <w:uiPriority w:val="0"/>
    <w:rPr>
      <w:rFonts w:ascii="Times New Roman" w:hAnsi="Times New Roman" w:eastAsia="宋体" w:cs="Times New Roman"/>
      <w:sz w:val="24"/>
      <w:szCs w:val="24"/>
    </w:rPr>
  </w:style>
  <w:style w:type="character" w:customStyle="1" w:styleId="52">
    <w:name w:val="普通(网站) Char"/>
    <w:qFormat/>
    <w:locked/>
    <w:uiPriority w:val="0"/>
    <w:rPr>
      <w:rFonts w:ascii="宋体" w:hAnsi="宋体" w:eastAsia="宋体"/>
      <w:sz w:val="24"/>
    </w:rPr>
  </w:style>
  <w:style w:type="paragraph" w:customStyle="1" w:styleId="53">
    <w:name w:val="第一章表格格式"/>
    <w:basedOn w:val="1"/>
    <w:qFormat/>
    <w:uiPriority w:val="0"/>
    <w:pPr>
      <w:spacing w:before="120" w:after="120"/>
      <w:jc w:val="center"/>
    </w:pPr>
    <w:rPr>
      <w:sz w:val="24"/>
    </w:rPr>
  </w:style>
  <w:style w:type="table" w:customStyle="1" w:styleId="54">
    <w:name w:val="Table Normal"/>
    <w:unhideWhenUsed/>
    <w:qFormat/>
    <w:uiPriority w:val="2"/>
    <w:tblPr>
      <w:tblCellMar>
        <w:top w:w="0" w:type="dxa"/>
        <w:left w:w="0" w:type="dxa"/>
        <w:bottom w:w="0" w:type="dxa"/>
        <w:right w:w="0" w:type="dxa"/>
      </w:tblCellMar>
    </w:tblPr>
  </w:style>
  <w:style w:type="paragraph" w:customStyle="1" w:styleId="55">
    <w:name w:val="Table Paragraph"/>
    <w:basedOn w:val="1"/>
    <w:qFormat/>
    <w:uiPriority w:val="1"/>
    <w:rPr>
      <w:rFonts w:ascii="宋体" w:hAnsi="宋体" w:cs="宋体"/>
      <w:lang w:val="zh-CN" w:bidi="zh-CN"/>
    </w:rPr>
  </w:style>
  <w:style w:type="paragraph" w:customStyle="1" w:styleId="5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7">
    <w:name w:val="样式 首行缩进:  2 字符"/>
    <w:basedOn w:val="1"/>
    <w:qFormat/>
    <w:uiPriority w:val="0"/>
    <w:pPr>
      <w:spacing w:afterLines="20" w:line="500" w:lineRule="exact"/>
      <w:ind w:firstLine="480" w:firstLineChars="200"/>
    </w:pPr>
    <w:rPr>
      <w:szCs w:val="20"/>
    </w:rPr>
  </w:style>
  <w:style w:type="paragraph" w:customStyle="1" w:styleId="58">
    <w:name w:val="表格文字"/>
    <w:basedOn w:val="25"/>
    <w:next w:val="1"/>
    <w:qFormat/>
    <w:uiPriority w:val="0"/>
    <w:pPr>
      <w:adjustRightInd w:val="0"/>
      <w:spacing w:line="320" w:lineRule="exact"/>
      <w:ind w:firstLine="0" w:firstLineChars="0"/>
      <w:jc w:val="center"/>
      <w:textAlignment w:val="center"/>
    </w:pPr>
    <w:rPr>
      <w:sz w:val="21"/>
    </w:rPr>
  </w:style>
  <w:style w:type="paragraph" w:customStyle="1" w:styleId="59">
    <w:name w:val="表中字"/>
    <w:qFormat/>
    <w:uiPriority w:val="0"/>
    <w:pPr>
      <w:jc w:val="center"/>
    </w:pPr>
    <w:rPr>
      <w:rFonts w:ascii="Times New Roman" w:hAnsi="Times New Roman" w:eastAsia="宋体" w:cs="Times New Roman"/>
      <w:kern w:val="2"/>
      <w:sz w:val="21"/>
      <w:szCs w:val="24"/>
      <w:lang w:val="en-US" w:eastAsia="zh-CN" w:bidi="ar-SA"/>
    </w:rPr>
  </w:style>
  <w:style w:type="paragraph" w:customStyle="1" w:styleId="60">
    <w:name w:val="p0"/>
    <w:basedOn w:val="1"/>
    <w:qFormat/>
    <w:uiPriority w:val="0"/>
    <w:pPr>
      <w:widowControl/>
      <w:jc w:val="left"/>
    </w:pPr>
    <w:rPr>
      <w:rFonts w:ascii="宋体" w:hAnsi="宋体" w:cs="宋体"/>
      <w:kern w:val="0"/>
      <w:sz w:val="24"/>
    </w:rPr>
  </w:style>
  <w:style w:type="paragraph" w:customStyle="1" w:styleId="61">
    <w:name w:val="正文样式1"/>
    <w:basedOn w:val="1"/>
    <w:qFormat/>
    <w:uiPriority w:val="0"/>
    <w:pPr>
      <w:adjustRightInd w:val="0"/>
      <w:spacing w:line="480" w:lineRule="atLeast"/>
      <w:ind w:firstLine="567"/>
      <w:textAlignment w:val="baseline"/>
    </w:pPr>
    <w:rPr>
      <w:rFonts w:ascii="Arial" w:hAnsi="Arial" w:cs="Arial"/>
      <w:kern w:val="28"/>
      <w:sz w:val="28"/>
      <w:szCs w:val="20"/>
    </w:rPr>
  </w:style>
  <w:style w:type="paragraph" w:customStyle="1" w:styleId="62">
    <w:name w:val="表字体"/>
    <w:basedOn w:val="1"/>
    <w:next w:val="1"/>
    <w:qFormat/>
    <w:uiPriority w:val="0"/>
    <w:pPr>
      <w:jc w:val="center"/>
    </w:pPr>
    <w:rPr>
      <w:kern w:val="0"/>
      <w:szCs w:val="20"/>
    </w:rPr>
  </w:style>
  <w:style w:type="paragraph" w:customStyle="1" w:styleId="63">
    <w:name w:val="表格标题"/>
    <w:basedOn w:val="25"/>
    <w:qFormat/>
    <w:uiPriority w:val="0"/>
    <w:pPr>
      <w:spacing w:before="0" w:line="360" w:lineRule="auto"/>
      <w:ind w:firstLine="0" w:firstLineChars="0"/>
      <w:jc w:val="center"/>
    </w:pPr>
    <w:rPr>
      <w:rFonts w:eastAsia="黑体"/>
      <w:sz w:val="24"/>
    </w:rPr>
  </w:style>
  <w:style w:type="paragraph" w:customStyle="1" w:styleId="64">
    <w:name w:val="表格内容"/>
    <w:basedOn w:val="65"/>
    <w:next w:val="1"/>
    <w:qFormat/>
    <w:uiPriority w:val="0"/>
    <w:pPr>
      <w:jc w:val="center"/>
    </w:pPr>
    <w:rPr>
      <w:kern w:val="0"/>
      <w:szCs w:val="21"/>
    </w:rPr>
  </w:style>
  <w:style w:type="paragraph" w:customStyle="1" w:styleId="65">
    <w:name w:val="填表内容"/>
    <w:basedOn w:val="1"/>
    <w:qFormat/>
    <w:uiPriority w:val="0"/>
    <w:pPr>
      <w:adjustRightInd w:val="0"/>
      <w:jc w:val="left"/>
      <w:textAlignment w:val="baseline"/>
    </w:pPr>
    <w:rPr>
      <w:rFonts w:ascii="楷体_GB2312" w:hAnsi="楷体_GB2312"/>
      <w:szCs w:val="20"/>
    </w:rPr>
  </w:style>
  <w:style w:type="paragraph" w:customStyle="1" w:styleId="66">
    <w:name w:val="表格表头"/>
    <w:basedOn w:val="1"/>
    <w:unhideWhenUsed/>
    <w:qFormat/>
    <w:uiPriority w:val="0"/>
    <w:pPr>
      <w:adjustRightInd w:val="0"/>
      <w:snapToGrid w:val="0"/>
      <w:jc w:val="center"/>
    </w:pPr>
    <w:rPr>
      <w:rFonts w:hint="eastAsia"/>
      <w:b/>
      <w:kern w:val="0"/>
      <w:szCs w:val="20"/>
    </w:rPr>
  </w:style>
  <w:style w:type="paragraph" w:customStyle="1" w:styleId="67">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68">
    <w:name w:val="样式9"/>
    <w:basedOn w:val="1"/>
    <w:qFormat/>
    <w:uiPriority w:val="0"/>
    <w:pPr>
      <w:adjustRightInd w:val="0"/>
      <w:snapToGrid w:val="0"/>
      <w:spacing w:line="460" w:lineRule="exact"/>
      <w:ind w:firstLine="520" w:firstLineChars="200"/>
    </w:pPr>
    <w:rPr>
      <w:sz w:val="26"/>
      <w:szCs w:val="26"/>
    </w:rPr>
  </w:style>
  <w:style w:type="character" w:customStyle="1" w:styleId="69">
    <w:name w:val="font31"/>
    <w:basedOn w:val="29"/>
    <w:qFormat/>
    <w:uiPriority w:val="0"/>
    <w:rPr>
      <w:rFonts w:hint="eastAsia" w:ascii="宋体" w:hAnsi="宋体" w:eastAsia="宋体" w:cs="宋体"/>
      <w:b/>
      <w:bCs/>
      <w:color w:val="000000"/>
      <w:sz w:val="21"/>
      <w:szCs w:val="21"/>
      <w:u w:val="none"/>
      <w:vertAlign w:val="subscript"/>
    </w:rPr>
  </w:style>
  <w:style w:type="character" w:customStyle="1" w:styleId="70">
    <w:name w:val="font41"/>
    <w:basedOn w:val="29"/>
    <w:qFormat/>
    <w:uiPriority w:val="0"/>
    <w:rPr>
      <w:rFonts w:hint="eastAsia" w:ascii="宋体" w:hAnsi="宋体" w:eastAsia="宋体" w:cs="宋体"/>
      <w:color w:val="000000"/>
      <w:sz w:val="21"/>
      <w:szCs w:val="21"/>
      <w:u w:val="none"/>
    </w:rPr>
  </w:style>
  <w:style w:type="character" w:customStyle="1" w:styleId="71">
    <w:name w:val="font21"/>
    <w:basedOn w:val="29"/>
    <w:qFormat/>
    <w:uiPriority w:val="0"/>
    <w:rPr>
      <w:rFonts w:hint="default" w:ascii="Times New Roman" w:hAnsi="Times New Roman" w:cs="Times New Roman"/>
      <w:color w:val="000000"/>
      <w:sz w:val="21"/>
      <w:szCs w:val="21"/>
      <w:u w:val="none"/>
    </w:rPr>
  </w:style>
  <w:style w:type="character" w:customStyle="1" w:styleId="72">
    <w:name w:val="font11"/>
    <w:basedOn w:val="29"/>
    <w:qFormat/>
    <w:uiPriority w:val="0"/>
    <w:rPr>
      <w:rFonts w:hint="eastAsia" w:ascii="宋体" w:hAnsi="宋体" w:eastAsia="宋体" w:cs="宋体"/>
      <w:color w:val="000000"/>
      <w:sz w:val="21"/>
      <w:szCs w:val="21"/>
      <w:u w:val="none"/>
    </w:rPr>
  </w:style>
  <w:style w:type="paragraph" w:customStyle="1" w:styleId="73">
    <w:name w:val="报告书正文"/>
    <w:basedOn w:val="1"/>
    <w:qFormat/>
    <w:uiPriority w:val="0"/>
    <w:pPr>
      <w:spacing w:line="300" w:lineRule="auto"/>
      <w:ind w:firstLine="200" w:firstLineChars="200"/>
    </w:pPr>
    <w:rPr>
      <w:sz w:val="24"/>
      <w:szCs w:val="20"/>
    </w:rPr>
  </w:style>
  <w:style w:type="paragraph" w:customStyle="1" w:styleId="74">
    <w:name w:val="普通(网站)1"/>
    <w:basedOn w:val="1"/>
    <w:qFormat/>
    <w:uiPriority w:val="0"/>
    <w:pPr>
      <w:widowControl/>
      <w:spacing w:before="100" w:beforeAutospacing="1" w:after="100" w:afterAutospacing="1"/>
      <w:jc w:val="left"/>
    </w:pPr>
    <w:rPr>
      <w:rFonts w:hint="eastAsia" w:ascii="宋体" w:hAnsi="宋体"/>
      <w:sz w:val="24"/>
    </w:rPr>
  </w:style>
  <w:style w:type="paragraph" w:customStyle="1" w:styleId="75">
    <w:name w:val="报告正文"/>
    <w:basedOn w:val="1"/>
    <w:qFormat/>
    <w:uiPriority w:val="0"/>
    <w:pPr>
      <w:tabs>
        <w:tab w:val="left" w:pos="1021"/>
      </w:tabs>
      <w:wordWrap w:val="0"/>
      <w:topLinePunct/>
      <w:spacing w:line="360" w:lineRule="auto"/>
      <w:ind w:firstLine="964" w:firstLineChars="200"/>
    </w:pPr>
    <w:rPr>
      <w:rFonts w:hint="eastAsia"/>
      <w:color w:val="000000"/>
      <w:sz w:val="24"/>
      <w:lang w:bidi="en-US"/>
    </w:rPr>
  </w:style>
  <w:style w:type="paragraph" w:customStyle="1" w:styleId="76">
    <w:name w:val="Date1"/>
    <w:next w:val="1"/>
    <w:qFormat/>
    <w:uiPriority w:val="0"/>
    <w:pPr>
      <w:widowControl w:val="0"/>
      <w:adjustRightInd w:val="0"/>
      <w:textAlignment w:val="baseline"/>
    </w:pPr>
    <w:rPr>
      <w:rFonts w:ascii="宋体" w:hAnsi="宋体" w:eastAsia="宋体" w:cs="Times New Roman"/>
      <w:kern w:val="2"/>
      <w:sz w:val="28"/>
      <w:lang w:val="en-US" w:eastAsia="zh-CN" w:bidi="ar-SA"/>
    </w:rPr>
  </w:style>
  <w:style w:type="paragraph" w:customStyle="1" w:styleId="77">
    <w:name w:val="标题三"/>
    <w:qFormat/>
    <w:uiPriority w:val="0"/>
    <w:rPr>
      <w:rFonts w:asciiTheme="minorHAnsi" w:hAnsiTheme="minorHAnsi" w:eastAsiaTheme="minorEastAsia" w:cstheme="minorBidi"/>
      <w:kern w:val="2"/>
      <w:sz w:val="21"/>
      <w:szCs w:val="24"/>
      <w:lang w:val="en-US" w:eastAsia="zh-CN" w:bidi="ar-SA"/>
    </w:rPr>
  </w:style>
  <w:style w:type="paragraph" w:customStyle="1" w:styleId="78">
    <w:name w:val="Table Text"/>
    <w:semiHidden/>
    <w:qFormat/>
    <w:uiPriority w:val="0"/>
    <w:rPr>
      <w:rFonts w:ascii="仿宋" w:hAnsi="仿宋" w:eastAsia="仿宋" w:cs="仿宋"/>
      <w:sz w:val="28"/>
      <w:szCs w:val="28"/>
      <w:lang w:val="en-US" w:eastAsia="en-US" w:bidi="ar-SA"/>
    </w:rPr>
  </w:style>
  <w:style w:type="paragraph" w:customStyle="1" w:styleId="79">
    <w:name w:val="正文首行缩进1"/>
    <w:qFormat/>
    <w:uiPriority w:val="0"/>
    <w:pPr>
      <w:spacing w:after="120"/>
      <w:ind w:firstLine="420" w:firstLineChars="100"/>
    </w:pPr>
    <w:rPr>
      <w:rFonts w:asciiTheme="minorHAnsi" w:hAnsiTheme="minorHAnsi" w:eastAsiaTheme="minorEastAsia" w:cstheme="minorBidi"/>
      <w:kern w:val="2"/>
      <w:sz w:val="21"/>
      <w:szCs w:val="24"/>
      <w:lang w:val="en-US" w:eastAsia="zh-CN" w:bidi="ar-SA"/>
    </w:rPr>
  </w:style>
  <w:style w:type="paragraph" w:customStyle="1" w:styleId="80">
    <w:name w:val="正文首行缩进11"/>
    <w:qFormat/>
    <w:uiPriority w:val="0"/>
    <w:pPr>
      <w:spacing w:after="120"/>
      <w:ind w:firstLine="420" w:firstLineChars="100"/>
    </w:pPr>
    <w:rPr>
      <w:rFonts w:asciiTheme="minorHAnsi" w:hAnsiTheme="minorHAnsi" w:eastAsiaTheme="minorEastAsia" w:cstheme="minorBidi"/>
      <w:kern w:val="2"/>
      <w:sz w:val="21"/>
      <w:szCs w:val="24"/>
      <w:lang w:val="en-US" w:eastAsia="zh-CN" w:bidi="ar-SA"/>
    </w:rPr>
  </w:style>
  <w:style w:type="paragraph" w:customStyle="1" w:styleId="81">
    <w:name w:val="标题1"/>
    <w:next w:val="1"/>
    <w:qFormat/>
    <w:uiPriority w:val="0"/>
    <w:pPr>
      <w:spacing w:beforeLines="50" w:afterLines="50" w:line="360" w:lineRule="auto"/>
      <w:ind w:left="-56"/>
      <w:jc w:val="center"/>
      <w:outlineLvl w:val="0"/>
    </w:pPr>
    <w:rPr>
      <w:rFonts w:asciiTheme="minorHAnsi" w:hAnsiTheme="minorHAnsi" w:eastAsiaTheme="minorEastAsia" w:cstheme="minorBidi"/>
      <w:b/>
      <w:kern w:val="2"/>
      <w:sz w:val="32"/>
      <w:szCs w:val="32"/>
      <w:lang w:val="en-US" w:eastAsia="zh-CN" w:bidi="ar-SA"/>
    </w:rPr>
  </w:style>
  <w:style w:type="paragraph" w:customStyle="1" w:styleId="82">
    <w:name w:val="标题二"/>
    <w:qFormat/>
    <w:uiPriority w:val="0"/>
    <w:rPr>
      <w:rFonts w:asciiTheme="minorHAnsi" w:hAnsiTheme="minorHAnsi" w:eastAsiaTheme="minorEastAsia" w:cstheme="minorBidi"/>
      <w:kern w:val="2"/>
      <w:sz w:val="21"/>
      <w:szCs w:val="24"/>
      <w:lang w:val="en-US" w:eastAsia="zh-CN" w:bidi="ar-SA"/>
    </w:rPr>
  </w:style>
  <w:style w:type="paragraph" w:styleId="83">
    <w:name w:val="List Paragraph"/>
    <w:qFormat/>
    <w:uiPriority w:val="34"/>
    <w:pPr>
      <w:ind w:firstLine="420" w:firstLineChars="200"/>
    </w:pPr>
    <w:rPr>
      <w:rFonts w:ascii="宋体" w:hAnsi="宋体" w:eastAsia="宋体" w:cs="宋体"/>
      <w:sz w:val="24"/>
      <w:szCs w:val="24"/>
      <w:lang w:val="en-US" w:eastAsia="zh-CN" w:bidi="ar-SA"/>
    </w:rPr>
  </w:style>
  <w:style w:type="paragraph" w:customStyle="1" w:styleId="84">
    <w:name w:val="样式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msolistparagraph"/>
    <w:qFormat/>
    <w:uiPriority w:val="0"/>
    <w:pPr>
      <w:widowControl w:val="0"/>
      <w:ind w:firstLine="420" w:firstLineChars="200"/>
      <w:jc w:val="both"/>
    </w:pPr>
    <w:rPr>
      <w:rFonts w:ascii="Times New Roman" w:hAnsi="Times New Roman" w:eastAsia="宋体" w:cs="Times New Roman"/>
      <w:kern w:val="2"/>
      <w:sz w:val="32"/>
      <w:szCs w:val="24"/>
      <w:lang w:val="en-US" w:eastAsia="zh-CN" w:bidi="ar-SA"/>
    </w:rPr>
  </w:style>
  <w:style w:type="paragraph" w:customStyle="1" w:styleId="86">
    <w:name w:val="样式 居中 行距: 1.5 倍行距"/>
    <w:qFormat/>
    <w:uiPriority w:val="0"/>
    <w:pPr>
      <w:spacing w:line="360" w:lineRule="auto"/>
      <w:jc w:val="center"/>
    </w:pPr>
    <w:rPr>
      <w:rFonts w:ascii="宋体" w:hAnsi="宋体" w:eastAsia="宋体" w:cs="宋体"/>
      <w:sz w:val="24"/>
      <w:lang w:val="en-US" w:eastAsia="zh-CN" w:bidi="ar-SA"/>
    </w:rPr>
  </w:style>
  <w:style w:type="paragraph" w:customStyle="1" w:styleId="87">
    <w:name w:val="List Paragraph3"/>
    <w:qFormat/>
    <w:uiPriority w:val="0"/>
    <w:pPr>
      <w:ind w:firstLine="420" w:firstLineChars="200"/>
    </w:pPr>
    <w:rPr>
      <w:rFonts w:ascii="宋体" w:hAnsi="宋体" w:eastAsia="宋体" w:cs="宋体"/>
      <w:sz w:val="24"/>
      <w:szCs w:val="24"/>
      <w:lang w:val="en-US" w:eastAsia="zh-CN" w:bidi="ar-SA"/>
    </w:rPr>
  </w:style>
  <w:style w:type="character" w:customStyle="1" w:styleId="88">
    <w:name w:val="font01"/>
    <w:qFormat/>
    <w:uiPriority w:val="0"/>
    <w:rPr>
      <w:rFonts w:hint="eastAsia" w:ascii="仿宋_GB2312" w:eastAsia="仿宋_GB2312"/>
      <w:color w:val="000000"/>
      <w:sz w:val="24"/>
      <w:szCs w:val="24"/>
      <w:u w:val="none"/>
    </w:rPr>
  </w:style>
  <w:style w:type="paragraph" w:customStyle="1" w:styleId="89">
    <w:name w:val="样式 haydonli + 首行缩进:  2 字符"/>
    <w:qFormat/>
    <w:uiPriority w:val="0"/>
    <w:pPr>
      <w:widowControl w:val="0"/>
      <w:adjustRightInd w:val="0"/>
      <w:snapToGrid w:val="0"/>
      <w:spacing w:line="360" w:lineRule="auto"/>
      <w:ind w:firstLine="420" w:firstLineChars="175"/>
      <w:jc w:val="both"/>
    </w:pPr>
    <w:rPr>
      <w:rFonts w:ascii="Times New Roman" w:hAnsi="Times New Roman" w:eastAsia="宋体" w:cs="Times New Roman"/>
      <w:color w:val="000000"/>
      <w:kern w:val="2"/>
      <w:sz w:val="24"/>
      <w:szCs w:val="24"/>
      <w:lang w:val="en-US" w:eastAsia="zh-CN" w:bidi="ar-SA"/>
    </w:rPr>
  </w:style>
  <w:style w:type="paragraph" w:customStyle="1" w:styleId="90">
    <w:name w:val="wxy正文"/>
    <w:qFormat/>
    <w:uiPriority w:val="0"/>
    <w:pPr>
      <w:widowControl w:val="0"/>
      <w:spacing w:line="360" w:lineRule="auto"/>
      <w:ind w:firstLine="48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91">
    <w:name w:val="小明  表格"/>
    <w:qFormat/>
    <w:uiPriority w:val="99"/>
    <w:pPr>
      <w:spacing w:line="0" w:lineRule="atLeast"/>
      <w:jc w:val="center"/>
    </w:pPr>
    <w:rPr>
      <w:rFonts w:ascii="楷体_GB2312" w:hAnsi="楷体" w:eastAsia="楷体_GB2312" w:cs="宋体"/>
      <w:sz w:val="21"/>
      <w:szCs w:val="21"/>
      <w:lang w:val="en-US" w:eastAsia="zh-CN" w:bidi="ar-SA"/>
    </w:rPr>
  </w:style>
  <w:style w:type="paragraph" w:customStyle="1" w:styleId="92">
    <w:name w:val="xdhb-TB"/>
    <w:qFormat/>
    <w:uiPriority w:val="0"/>
    <w:pPr>
      <w:jc w:val="center"/>
    </w:pPr>
    <w:rPr>
      <w:rFonts w:ascii="Times New Roman" w:hAnsi="Times New Roman" w:eastAsia="宋体" w:cs="Times New Roman"/>
      <w:kern w:val="2"/>
      <w:sz w:val="21"/>
      <w:szCs w:val="24"/>
      <w:lang w:val="en-US" w:eastAsia="zh-CN" w:bidi="ar-SA"/>
    </w:rPr>
  </w:style>
  <w:style w:type="paragraph" w:customStyle="1" w:styleId="93">
    <w:name w:val="文本12"/>
    <w:qFormat/>
    <w:uiPriority w:val="0"/>
    <w:pPr>
      <w:widowControl w:val="0"/>
      <w:adjustRightInd w:val="0"/>
      <w:spacing w:line="360" w:lineRule="auto"/>
      <w:ind w:firstLine="480" w:firstLineChars="200"/>
      <w:jc w:val="both"/>
      <w:textAlignment w:val="baseline"/>
    </w:pPr>
    <w:rPr>
      <w:rFonts w:ascii="Times New Roman" w:hAnsi="Times New Roman" w:eastAsia="宋体" w:cs="Times New Roman"/>
      <w:color w:val="000000"/>
      <w:kern w:val="2"/>
      <w:sz w:val="24"/>
      <w:szCs w:val="24"/>
      <w:lang w:val="en-US" w:eastAsia="zh-CN" w:bidi="ar-SA"/>
    </w:rPr>
  </w:style>
  <w:style w:type="paragraph" w:customStyle="1" w:styleId="94">
    <w:name w:val="四级条标题"/>
    <w:next w:val="67"/>
    <w:qFormat/>
    <w:uiPriority w:val="0"/>
    <w:pPr>
      <w:tabs>
        <w:tab w:val="left" w:pos="1260"/>
      </w:tabs>
      <w:jc w:val="both"/>
      <w:outlineLvl w:val="5"/>
    </w:pPr>
    <w:rPr>
      <w:rFonts w:ascii="黑体" w:hAnsi="Times New Roman" w:eastAsia="黑体" w:cs="Times New Roman"/>
      <w:sz w:val="21"/>
      <w:lang w:val="en-US" w:eastAsia="zh-CN" w:bidi="ar-SA"/>
    </w:rPr>
  </w:style>
  <w:style w:type="paragraph" w:customStyle="1" w:styleId="95">
    <w:name w:val="三级条标题"/>
    <w:next w:val="67"/>
    <w:qFormat/>
    <w:uiPriority w:val="0"/>
    <w:pPr>
      <w:tabs>
        <w:tab w:val="left" w:pos="1260"/>
      </w:tabs>
      <w:jc w:val="both"/>
      <w:outlineLvl w:val="4"/>
    </w:pPr>
    <w:rPr>
      <w:rFonts w:ascii="黑体" w:hAnsi="Times New Roman" w:eastAsia="黑体" w:cs="Times New Roman"/>
      <w:sz w:val="21"/>
      <w:szCs w:val="22"/>
      <w:lang w:val="en-US" w:eastAsia="zh-CN" w:bidi="ar-SA"/>
    </w:rPr>
  </w:style>
  <w:style w:type="paragraph" w:customStyle="1" w:styleId="96">
    <w:name w:val="二级条标题"/>
    <w:next w:val="67"/>
    <w:qFormat/>
    <w:uiPriority w:val="0"/>
    <w:pPr>
      <w:numPr>
        <w:ilvl w:val="3"/>
        <w:numId w:val="2"/>
      </w:numPr>
      <w:tabs>
        <w:tab w:val="left" w:pos="1260"/>
      </w:tabs>
      <w:jc w:val="both"/>
      <w:outlineLvl w:val="3"/>
    </w:pPr>
    <w:rPr>
      <w:rFonts w:ascii="黑体" w:hAnsi="Times New Roman" w:eastAsia="黑体" w:cs="Times New Roman"/>
      <w:sz w:val="21"/>
      <w:szCs w:val="22"/>
      <w:lang w:val="en-US" w:eastAsia="zh-CN" w:bidi="ar-SA"/>
    </w:rPr>
  </w:style>
  <w:style w:type="paragraph" w:customStyle="1" w:styleId="97">
    <w:name w:val="一级条标题"/>
    <w:next w:val="67"/>
    <w:qFormat/>
    <w:uiPriority w:val="0"/>
    <w:pPr>
      <w:numPr>
        <w:ilvl w:val="2"/>
        <w:numId w:val="2"/>
      </w:numPr>
      <w:jc w:val="both"/>
      <w:outlineLvl w:val="2"/>
    </w:pPr>
    <w:rPr>
      <w:rFonts w:ascii="黑体" w:hAnsi="Times New Roman" w:eastAsia="黑体" w:cs="Times New Roman"/>
      <w:sz w:val="21"/>
      <w:szCs w:val="22"/>
      <w:lang w:val="en-US" w:eastAsia="zh-CN" w:bidi="ar-SA"/>
    </w:rPr>
  </w:style>
  <w:style w:type="paragraph" w:customStyle="1" w:styleId="98">
    <w:name w:val="章标题"/>
    <w:next w:val="67"/>
    <w:qFormat/>
    <w:uiPriority w:val="0"/>
    <w:pPr>
      <w:spacing w:beforeLines="50" w:afterLines="50"/>
      <w:jc w:val="both"/>
      <w:outlineLvl w:val="1"/>
    </w:pPr>
    <w:rPr>
      <w:rFonts w:ascii="黑体" w:hAnsi="Times New Roman" w:eastAsia="黑体" w:cs="Times New Roman"/>
      <w:sz w:val="21"/>
      <w:szCs w:val="22"/>
      <w:lang w:val="en-US" w:eastAsia="zh-CN" w:bidi="ar-SA"/>
    </w:rPr>
  </w:style>
  <w:style w:type="character" w:customStyle="1" w:styleId="99">
    <w:name w:val="样式 正文首行缩进 + 小四 左 段后: 0 磅 行距: 1.5 倍行距 Char"/>
    <w:link w:val="100"/>
    <w:qFormat/>
    <w:uiPriority w:val="0"/>
    <w:rPr>
      <w:rFonts w:ascii="宋体" w:hAnsi="Verdana"/>
      <w:kern w:val="0"/>
      <w:sz w:val="24"/>
      <w:szCs w:val="30"/>
      <w:lang w:val="en-US" w:eastAsia="zh-CN" w:bidi="ar-SA"/>
    </w:rPr>
  </w:style>
  <w:style w:type="paragraph" w:customStyle="1" w:styleId="100">
    <w:name w:val="样式 正文首行缩进 + 小四 左 段后: 0 磅 行距: 1.5 倍行距"/>
    <w:link w:val="99"/>
    <w:qFormat/>
    <w:uiPriority w:val="0"/>
    <w:pPr>
      <w:overflowPunct w:val="0"/>
      <w:autoSpaceDE w:val="0"/>
      <w:autoSpaceDN w:val="0"/>
      <w:adjustRightInd w:val="0"/>
      <w:snapToGrid w:val="0"/>
      <w:spacing w:before="60" w:line="360" w:lineRule="auto"/>
      <w:ind w:right="113" w:firstLine="480" w:firstLineChars="200"/>
    </w:pPr>
    <w:rPr>
      <w:rFonts w:ascii="宋体" w:hAnsi="Verdana" w:eastAsia="宋体" w:cs="Times New Roman"/>
      <w:sz w:val="24"/>
      <w:szCs w:val="30"/>
      <w:lang w:val="en-US" w:eastAsia="zh-CN" w:bidi="ar-SA"/>
    </w:rPr>
  </w:style>
  <w:style w:type="paragraph" w:customStyle="1" w:styleId="101">
    <w:name w:val="正文1"/>
    <w:next w:val="1"/>
    <w:unhideWhenUsed/>
    <w:qFormat/>
    <w:uiPriority w:val="0"/>
    <w:pPr>
      <w:widowControl w:val="0"/>
      <w:spacing w:line="360" w:lineRule="auto"/>
      <w:ind w:firstLine="723" w:firstLineChars="200"/>
      <w:jc w:val="both"/>
    </w:pPr>
    <w:rPr>
      <w:rFonts w:hint="eastAsia" w:ascii="Times New Roman" w:hAnsi="Times New Roman" w:eastAsia="Times New Roman" w:cs="Times New Roman"/>
      <w:sz w:val="24"/>
      <w:lang w:val="en-US" w:eastAsia="zh-CN" w:bidi="ar-SA"/>
    </w:rPr>
  </w:style>
  <w:style w:type="paragraph" w:customStyle="1" w:styleId="102">
    <w:name w:val="表标题"/>
    <w:qFormat/>
    <w:uiPriority w:val="0"/>
    <w:pPr>
      <w:widowControl w:val="0"/>
      <w:jc w:val="center"/>
    </w:pPr>
    <w:rPr>
      <w:rFonts w:ascii="Times New Roman" w:hAnsi="Times New Roman" w:eastAsia="宋体" w:cs="Times New Roman"/>
      <w:b/>
      <w:bCs/>
      <w:kern w:val="2"/>
      <w:sz w:val="21"/>
      <w:szCs w:val="24"/>
      <w:lang w:val="en-US" w:eastAsia="zh-CN" w:bidi="ar-SA"/>
    </w:rPr>
  </w:style>
  <w:style w:type="paragraph" w:customStyle="1" w:styleId="103">
    <w:name w:val="正文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4">
    <w:name w:val="正文标准样式"/>
    <w:qFormat/>
    <w:uiPriority w:val="0"/>
    <w:pPr>
      <w:widowControl w:val="0"/>
      <w:adjustRightInd w:val="0"/>
      <w:spacing w:line="300" w:lineRule="auto"/>
      <w:ind w:firstLine="482" w:firstLineChars="200"/>
      <w:jc w:val="both"/>
      <w:textAlignment w:val="baseline"/>
    </w:pPr>
    <w:rPr>
      <w:rFonts w:ascii="Times New Roman" w:hAnsi="Times New Roman" w:eastAsia="宋体" w:cs="Times New Roman"/>
      <w:sz w:val="24"/>
      <w:lang w:val="en-US" w:eastAsia="zh-CN" w:bidi="ar-SA"/>
    </w:rPr>
  </w:style>
  <w:style w:type="paragraph" w:customStyle="1" w:styleId="105">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06">
    <w:name w:val="fontstyle01"/>
    <w:autoRedefine/>
    <w:qFormat/>
    <w:uiPriority w:val="0"/>
    <w:rPr>
      <w:rFonts w:hint="default" w:ascii="仿宋" w:hAnsi="仿宋"/>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4.xml"/><Relationship Id="rId59" Type="http://schemas.openxmlformats.org/officeDocument/2006/relationships/customXml" Target="../customXml/item1.xml"/><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jpe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3.xml"/><Relationship Id="rId49" Type="http://schemas.openxmlformats.org/officeDocument/2006/relationships/image" Target="media/image21.wmf"/><Relationship Id="rId48" Type="http://schemas.openxmlformats.org/officeDocument/2006/relationships/oleObject" Target="embeddings/oleObject2.bin"/><Relationship Id="rId47" Type="http://schemas.openxmlformats.org/officeDocument/2006/relationships/image" Target="media/image20.wmf"/><Relationship Id="rId46" Type="http://schemas.openxmlformats.org/officeDocument/2006/relationships/oleObject" Target="embeddings/oleObject1.bin"/><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emf"/><Relationship Id="rId42" Type="http://schemas.openxmlformats.org/officeDocument/2006/relationships/oleObject" Target="embeddings/Microsoft_Visio_2003-2010___3.vsd"/><Relationship Id="rId41" Type="http://schemas.openxmlformats.org/officeDocument/2006/relationships/image" Target="media/image16.emf"/><Relationship Id="rId40" Type="http://schemas.openxmlformats.org/officeDocument/2006/relationships/oleObject" Target="embeddings/Microsoft_Visio_2003-2010___2.vsd"/><Relationship Id="rId4" Type="http://schemas.openxmlformats.org/officeDocument/2006/relationships/footer" Target="footer2.xml"/><Relationship Id="rId39" Type="http://schemas.openxmlformats.org/officeDocument/2006/relationships/image" Target="media/image15.emf"/><Relationship Id="rId38" Type="http://schemas.openxmlformats.org/officeDocument/2006/relationships/oleObject" Target="embeddings/Microsoft_Visio_2003-2010___1.vsd"/><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30</Pages>
  <Words>1885</Words>
  <Characters>1999</Characters>
  <Lines>1077</Lines>
  <Paragraphs>303</Paragraphs>
  <TotalTime>11</TotalTime>
  <ScaleCrop>false</ScaleCrop>
  <LinksUpToDate>false</LinksUpToDate>
  <CharactersWithSpaces>2114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落辉落辉</cp:lastModifiedBy>
  <cp:lastPrinted>2025-05-26T07:22:00Z</cp:lastPrinted>
  <dcterms:modified xsi:type="dcterms:W3CDTF">2025-12-09T09:23:29Z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02BE718D45EB426181BA054ACF978406_13</vt:lpwstr>
  </property>
  <property fmtid="{D5CDD505-2E9C-101B-9397-08002B2CF9AE}" pid="4" name="KSOTemplateDocerSaveRecord">
    <vt:lpwstr>eyJoZGlkIjoiYjMwNzk3YjVkNmNkODFjYzQ4YjIyMDA3NTdmMzQwOGMiLCJ1c2VySWQiOiIxNjc2NDg1OTI4In0=</vt:lpwstr>
  </property>
</Properties>
</file>