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54568">
      <w:pPr>
        <w:spacing w:after="0" w:afterLines="0" w:line="500" w:lineRule="exact"/>
        <w:ind w:firstLine="320" w:firstLineChars="100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368BEEE1"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19"/>
        <w:gridCol w:w="1022"/>
      </w:tblGrid>
      <w:tr w14:paraId="32318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725B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965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C2E8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6292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3EAD2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E415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3695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</w:t>
            </w:r>
            <w:bookmarkStart w:id="0" w:name="_GoBack"/>
            <w:bookmarkEnd w:id="0"/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72EB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6D24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65.22%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0ACE6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25BA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83534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436A4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B0614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12A61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3392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46536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7AB63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03D42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4.35</w:t>
            </w:r>
          </w:p>
        </w:tc>
      </w:tr>
      <w:tr w14:paraId="04192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19FD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4ADE2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BD3EE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69803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4.35</w:t>
            </w:r>
          </w:p>
        </w:tc>
      </w:tr>
      <w:tr w14:paraId="2DC3F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CA1D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160C1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D7ED4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AE48B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0D30D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D1F9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E1EF4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D1536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03CAC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4.35</w:t>
            </w:r>
          </w:p>
        </w:tc>
      </w:tr>
      <w:tr w14:paraId="3C03E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2FE8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2D3A8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322BC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DECA8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75A81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F363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BB57A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86B72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CC851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4B1C8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D1F8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C8806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52.09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04376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F84DA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84.2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BF7F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DA5E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AA9CC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1AF1C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AE40A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E978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37D3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414B7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CC58F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0124E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645E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4E2E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9A747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B1843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9986F4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5494A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DDF5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BB6BC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52.09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8F1D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5FED8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84.23</w:t>
            </w:r>
          </w:p>
        </w:tc>
      </w:tr>
      <w:tr w14:paraId="7551D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DCFC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环境监测、监控及监察能力建设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F17BD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CD283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92FB6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</w:tr>
      <w:tr w14:paraId="1A2C3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C7AE">
            <w:pPr>
              <w:widowControl/>
              <w:spacing w:line="36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大气污染防治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19803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33780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F0D0F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9.00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42E4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12101">
            <w:pPr>
              <w:widowControl/>
              <w:spacing w:line="36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水体污染防治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9BFCA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B4314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74D06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</w:tr>
      <w:tr w14:paraId="20851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90D7A">
            <w:pPr>
              <w:widowControl/>
              <w:spacing w:line="36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农村环境保护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22523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A3D44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3CA97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</w:tr>
      <w:tr w14:paraId="7C83C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7680">
            <w:pPr>
              <w:widowControl/>
              <w:spacing w:line="36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生态环境执法监察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AF210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52.09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15E01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5646B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</w:tr>
      <w:tr w14:paraId="5DD56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FC0E0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19404B">
            <w:pPr>
              <w:widowControl/>
              <w:spacing w:line="360" w:lineRule="exact"/>
              <w:ind w:firstLine="630" w:firstLineChars="300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46.5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BA4E8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41.11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00B1E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173.14</w:t>
            </w:r>
          </w:p>
        </w:tc>
      </w:tr>
      <w:tr w14:paraId="22160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F55B8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18B7D2">
            <w:pPr>
              <w:widowControl/>
              <w:spacing w:line="360" w:lineRule="exact"/>
              <w:ind w:firstLine="600" w:firstLineChars="3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3.4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BAD6A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21550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lang w:val="en-US" w:eastAsia="zh-CN"/>
              </w:rPr>
              <w:t>2.86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</w:tr>
      <w:tr w14:paraId="40E48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E16A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D4732E8">
            <w:pPr>
              <w:widowControl/>
              <w:spacing w:line="360" w:lineRule="exact"/>
              <w:ind w:firstLine="600" w:firstLineChars="3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4360D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BC58B4"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5.79</w:t>
            </w:r>
          </w:p>
        </w:tc>
      </w:tr>
      <w:tr w14:paraId="2D440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4FC1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BC04A0">
            <w:pPr>
              <w:widowControl/>
              <w:spacing w:line="360" w:lineRule="exact"/>
              <w:ind w:firstLine="600" w:firstLineChars="3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2F690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33586F"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0.56</w:t>
            </w:r>
          </w:p>
        </w:tc>
      </w:tr>
      <w:tr w14:paraId="07408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CBB3D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7E532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B56DC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246.60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DE0CE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21.7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　</w:t>
            </w:r>
          </w:p>
        </w:tc>
      </w:tr>
      <w:tr w14:paraId="4DBD8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FE1E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8A202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1304D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150.39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A27207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17386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2C76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82E0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B075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79BB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77BD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2A85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B5CF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4FFE8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E312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0C22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7298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2ED4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7538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C331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7BD7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39DC3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8D80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86E35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 w14:paraId="6C1BBB08">
      <w:pPr>
        <w:widowControl/>
        <w:spacing w:afterLines="0" w:line="400" w:lineRule="exact"/>
        <w:ind w:left="660" w:hanging="660" w:hangingChars="300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63E84FD8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36203195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142"/>
        <w:gridCol w:w="1371"/>
        <w:gridCol w:w="1102"/>
        <w:gridCol w:w="1269"/>
        <w:gridCol w:w="716"/>
        <w:gridCol w:w="873"/>
        <w:gridCol w:w="1446"/>
      </w:tblGrid>
      <w:tr w14:paraId="50E29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A211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0E8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岳阳市生态环境局云溪分局　</w:t>
            </w:r>
          </w:p>
        </w:tc>
      </w:tr>
      <w:tr w14:paraId="173BA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668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1098C3F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EEEB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5398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30A08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C9F5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09285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F260F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3D10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6FE07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23A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8208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4D48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/>
              </w:rPr>
              <w:t>449.13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24D5C">
            <w:pPr>
              <w:spacing w:line="240" w:lineRule="exact"/>
              <w:jc w:val="center"/>
              <w:rPr>
                <w:rFonts w:hint="default" w:ascii="仿宋_GB2312" w:hAnsi="仿宋_GB2312" w:eastAsia="宋体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</w:rPr>
              <w:t>718.</w:t>
            </w: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B2C08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540.03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CB75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2246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75.16%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D349C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7.52</w:t>
            </w:r>
          </w:p>
        </w:tc>
      </w:tr>
      <w:tr w14:paraId="4BAB3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7E14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5C43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3686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07175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4F62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9F719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453.54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264FB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455.8</w:t>
            </w:r>
          </w:p>
        </w:tc>
      </w:tr>
      <w:tr w14:paraId="1174A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8773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41EF7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87DF8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84.23</w:t>
            </w:r>
          </w:p>
        </w:tc>
      </w:tr>
      <w:tr w14:paraId="262CA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DC81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35F4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EF47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580F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0C6F6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5F30F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264.96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8122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0645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BEFCE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D010D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95C8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2D44A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820B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61B0C3"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盯住问题重点，持续抓好整改销号；</w:t>
            </w:r>
          </w:p>
          <w:p w14:paraId="5D5F4E46"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严格执法，加大企业监督力度，严厉打击环境违法行为，确保企业稳定达标排放；</w:t>
            </w:r>
          </w:p>
          <w:p w14:paraId="4234F39A"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深入打好污染防治攻坚战，确保辖区环境质量持续向好；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D60E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已完成100%</w:t>
            </w:r>
          </w:p>
        </w:tc>
      </w:tr>
      <w:tr w14:paraId="1E2C1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88EC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4452D09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4C20723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50ADAD5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055F21A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4B8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9DCB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890E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622E3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C6D5B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7B1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8C0D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2F293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12644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2443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FAB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2006918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3E19F3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8CFF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FDB6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开展长江入河排污口整治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8623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个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4F09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个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230E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B72A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EEC3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5103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6333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085B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A95A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61C6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涉气企业开展废气处理系统治理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B6C8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家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C5D9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家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C9D5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4E0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CF8C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12A5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0D64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434CA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2124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83DD4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督促企业开展危废企业2024年管理计划备案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557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家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65BC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132家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8EE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A146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43E9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FF96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3F4B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8D51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62B1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294F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重要河湖水质监测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391C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FE1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FCC6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8C0A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056B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3444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6E53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3F07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F193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E646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空气质量达标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优良率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D57E0"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≥85%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24E66"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89.3%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B91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5AAB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2F41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70A9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551A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B68C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531B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EDC6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督促企业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管理计划备案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E315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6538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35E9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605F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B046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C6A0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2A47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D8BE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6DA5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D996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在规定时间内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715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2024年度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0A0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2024年度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4FEEE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F0BE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774E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092B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BA63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7F9D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8BE2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E6CC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在预算内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2F6F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718.49万元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E29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540.03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万元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BD2BE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65AE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EF9E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BB06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0AE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18FF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1165C36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A91B9B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0EBFEA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8F39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6EF6482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213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稳定发展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2B61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稳定发展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4486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稳定发展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65D3C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FCA16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C159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F159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978E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CBD1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3F93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346E701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7F0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提升了公众环保意识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6CE2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有所提升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D113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有所提升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7471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0ED8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491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1454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C91E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5C77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7E7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39734B8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59F6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生态环境考核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达标率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962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75BB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E9A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61AB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8D7D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2681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ABD9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F9AD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283A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989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绿色发展稳步推进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6B53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效益明显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1566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效益明显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3610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0CAD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3BAA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06AA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2752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E5B5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2294F75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74C22C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5410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0D06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服务对象满意度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381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≥98%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A1CE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≥96.5%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D165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25B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56BB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50D1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7E772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9F78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64185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97.52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E099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0706528E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p w14:paraId="29397506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5B006F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E823395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0EC42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F1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01F83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FA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环境监察、监测等运行经费　</w:t>
            </w:r>
          </w:p>
        </w:tc>
      </w:tr>
      <w:tr w14:paraId="67EFF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DA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5B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岳阳市生态环境局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592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20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岳阳市生态环境局云溪分局</w:t>
            </w:r>
          </w:p>
        </w:tc>
      </w:tr>
      <w:tr w14:paraId="34F0D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98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B0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A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50C70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39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277CA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3E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79387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E56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96F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EDE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6D047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2FF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93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D2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73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0D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5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70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7D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1BA58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DBA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FD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B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DB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D2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59.88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D1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2A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6A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3B36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91D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E5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6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44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2C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B6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9C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17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0009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B27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01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16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BC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AF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79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86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94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7486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725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DE6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46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30D41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7AE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64D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目标1、日常环境监管、执法工作；</w:t>
            </w:r>
          </w:p>
          <w:p w14:paraId="64E65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目标2、委托第三方进行执法性监督监测；</w:t>
            </w:r>
          </w:p>
          <w:p w14:paraId="78E93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目标3、环保迎检、应急处置经费；</w:t>
            </w:r>
          </w:p>
          <w:p w14:paraId="7E839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目标4、节能环保宣传费用。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206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已完成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</w:tr>
      <w:tr w14:paraId="6EDA7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7E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04394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6780E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5DD06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10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7A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4E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A2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45690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CC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6F7C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7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C7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FE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611F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FED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A1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36BCF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1431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49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732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强力开展各项专项行动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63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Arial" w:eastAsiaTheme="minorEastAsia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31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5A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40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0D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6DC1C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21C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80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A8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34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各种整治符合环保标准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EC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完成主要污染物减排目标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5F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完成主要污染物减排目标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118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F2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FA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65343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73C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D3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F3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54E2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在规定时间内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7288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21F6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2024年度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DB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87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7A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60DCD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15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D9E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BB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D0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在预算内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D2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59.88万元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EA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59.88万元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88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CE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EC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76001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902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D1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E39F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18F0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ADF7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4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4A4C9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D4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实现节能减排，减少环保治理经费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5E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B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42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8F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6E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47F14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0D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04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6F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152A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D2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达到环境质量控制目标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1A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2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B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0D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B3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35393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86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EB9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09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00CF9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F3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促进环境质量认知度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F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有所促进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E1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有所促进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1F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36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84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71883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53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06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6A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9EC8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绿色发展稳步推进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A8C0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效益明显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CBEB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效益明显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F3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AD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80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01D08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187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6B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36F60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7A7E3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5C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C1F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服务对象满意度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496B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7756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99.70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3E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F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A1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无偏差</w:t>
            </w:r>
          </w:p>
        </w:tc>
      </w:tr>
      <w:tr w14:paraId="323FF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C75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94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15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A1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</w:tbl>
    <w:p w14:paraId="7EAF25AD"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3BF0CD51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79442272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2B47577A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265BA74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年度岳阳市生态环境局云溪分局</w:t>
      </w:r>
    </w:p>
    <w:p w14:paraId="05C74D5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2BD5C23F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2D3B0236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B7AFF5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3849E02B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5C78EF5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42F979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A43DF9F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5710C859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B6590D8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115CC6F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018543D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7882CC3E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DCF09B8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AD86D3A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161D49F7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 w14:paraId="3651926A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 w14:paraId="4D22A5C4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2C42BAF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年度岳阳市生态环境局云溪分局</w:t>
      </w:r>
    </w:p>
    <w:p w14:paraId="053CB68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42444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2821696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03F053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1、受市生态环境局委托，承担辖区内的生态环境相关工作；承担市生态环境局和区委、区政府交办的其他任务。</w:t>
      </w:r>
    </w:p>
    <w:p w14:paraId="349739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2、负责本辖区内重点污染源在线监控系统现场监督管理；负责受理和办理生态环境保护举报（信访），负责生态环境信访维稳事件的现场调查处置工作；负责环境区级执法事项违法案件调查处理；负责组织协调生态环境保护区级跨部门联合执法行动。</w:t>
      </w:r>
    </w:p>
    <w:p w14:paraId="109512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3、负责本辖区生态环境质量监测、执法监测、污染源监测和应急监测；负责辖区内生态文明示范区创建。</w:t>
      </w:r>
    </w:p>
    <w:p w14:paraId="445E29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  （二）机构设置</w:t>
      </w:r>
    </w:p>
    <w:p w14:paraId="45DB15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 xml:space="preserve">  岳阳市生态环境局云溪分局现有编制人数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3人，参公编制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3人。其中机关编制13人，执法编制10人，目前在编在岗1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人，其中：行政人员1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人；离退休人员8人。</w:t>
      </w:r>
    </w:p>
    <w:p w14:paraId="5086D90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7FBB801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 w14:paraId="0BD8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960" w:firstLineChars="300"/>
        <w:jc w:val="both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"/>
        </w:rPr>
        <w:t>2024年基本支出年初预算数为449.13万元，决算实际支出数为540.03万元。其中：人员经费282.66万元，主要包括：基本工资、津贴补贴、奖金、伙食补助费、机关事业单位基本养老保险缴费、职工基本医疗保险缴费、其他社会保障缴费、住房公积金、医疗费等；公用经费173.14万元，主要包括：办公费、印刷费、咨询费、水电费、邮电费、物业管理费、差旅费、维修（护）费、会议费、培训费、专用材料费、专用燃料费、劳务费、委托业务费、福利费、公务用车运行维护费、其他交通费用、其他商品和服务支出等。</w:t>
      </w:r>
    </w:p>
    <w:p w14:paraId="1BCB67A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34EEBF8C"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 w14:paraId="302694E2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2024年项目支出年初预算数为10.00万元，决算实际支出数为84.23万元。主要用于办案费支出，环境监测与监察，农村环境保护等方面。</w:t>
      </w:r>
    </w:p>
    <w:p w14:paraId="4CF9E52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三、政府性基金预算支出情况</w:t>
      </w:r>
    </w:p>
    <w:p w14:paraId="6474299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2024年本单位无政府性基金预算安排的支出。</w:t>
      </w:r>
    </w:p>
    <w:p w14:paraId="286F8A0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highlight w:val="none"/>
          <w:lang w:val="en-US" w:eastAsia="zh-CN" w:bidi="ar-SA"/>
        </w:rPr>
        <w:t>国有资本经营预算支出情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highlight w:val="none"/>
          <w:lang w:val="en-US" w:eastAsia="zh-CN" w:bidi="ar-SA"/>
        </w:rPr>
        <w:t>况</w:t>
      </w:r>
    </w:p>
    <w:p w14:paraId="2E337BD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2024年本单位无国有资本经营预算安排的支出。</w:t>
      </w:r>
    </w:p>
    <w:p w14:paraId="71CE7CA3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highlight w:val="none"/>
          <w:lang w:val="en-US" w:eastAsia="zh-CN" w:bidi="ar-SA"/>
        </w:rPr>
        <w:t>社会保险基金预算支出情况</w:t>
      </w:r>
    </w:p>
    <w:p w14:paraId="0F133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2024年本单位无社会保险基金预算安排的支出</w:t>
      </w:r>
    </w:p>
    <w:p w14:paraId="152777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3109F68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 xml:space="preserve">（一）部门资金情况分析 </w:t>
      </w:r>
    </w:p>
    <w:p w14:paraId="6B9A1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  <w:t>我局2024年资金总额673.84万元，专项经费实行专款专用，严格按照相关规定支付，资金支付合规合法，资金使用率100%。</w:t>
      </w:r>
    </w:p>
    <w:p w14:paraId="16299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  <w:t>（二）项目绩效指标完成情况分析</w:t>
      </w:r>
    </w:p>
    <w:p w14:paraId="453EC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  <w:t xml:space="preserve">1.履职效能情况分析 </w:t>
      </w:r>
    </w:p>
    <w:p w14:paraId="64A41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2024年，我区空气质量优良率89.3%，同比上升2.6%；PM</w:t>
      </w:r>
      <w:r>
        <w:rPr>
          <w:rFonts w:hint="eastAsia" w:ascii="仿宋_GB2312" w:eastAsia="仿宋_GB2312"/>
          <w:sz w:val="32"/>
          <w:szCs w:val="32"/>
          <w:vertAlign w:val="subscript"/>
          <w:lang w:val="en-US" w:eastAsia="zh-CN"/>
        </w:rPr>
        <w:t>2.5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为30.9微克/立方米，同比下降4%；3个国、省考核断面水质总体达标率100%。</w:t>
      </w:r>
    </w:p>
    <w:p w14:paraId="0D8F1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  <w:t>2.管理效率情况分析</w:t>
      </w:r>
    </w:p>
    <w:p w14:paraId="35F1A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  <w:t>预算编制完整，专项资金细化率、预算执行率达到标准，预算调整率偏高，主要原因是追加项目增加导致预算调整金额增加。收入支出管理规范，内控制度有效，资产管理规范，部门固定资产利用率符合目标，信息化建设和管理制度建设有效。</w:t>
      </w:r>
    </w:p>
    <w:p w14:paraId="539C3F9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226F8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kern w:val="0"/>
          <w:position w:val="0"/>
          <w:sz w:val="32"/>
          <w:szCs w:val="32"/>
          <w:lang w:val="en-US" w:eastAsia="zh-CN"/>
        </w:rPr>
        <w:t>一是环保基础设施偏弱。城镇污水收集率有待提高，污水处理厂进水BOD浓度没有达到目标要求，城区仍有少数区域雨污合流，高新区雨水排口、渗水点问题整改进展缓慢等。二是水气土治理压力较大。松杨湖水质没有达到地表水Ⅲ类目标，城区偶发性异味扰民问题时有发生，臭氧防治压力巨大，园外遗留小化工污染地块治理任务重。三是环保工作力量短缺。我区化工企业多、污染防治任务重。全局共有13个机关编制，目前在编在岗10人，空编3人，全局干部职工“被动工作多”“小马拉大车”“五加二、白加黑”是工作常态。</w:t>
      </w:r>
    </w:p>
    <w:p w14:paraId="680B966A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615AAC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eastAsia="黑体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下步，我们将进一步深入学习贯彻习近平生态文明思想，全面落实好省、市、区环保工作决策部署，主动担当，奋力作为，推动我区生态环境工作取得新成效，为加快建设美丽云溪筑牢生态之基。</w:t>
      </w:r>
    </w:p>
    <w:p w14:paraId="525ECD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一是持续推进污染防治攻坚。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以13条区级河、湖水质改善为重点，邀请专家现场指导帮扶，找准原因、靶向施策、综合治理，力争水质持续向好；进一步强化秸秆禁烧和挥发性有机物治理，扎实推进氮氧化物协同减排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，并通过VOCs减排和洒水抑尘等措施来实现臭氧等因子稳定达标；强化固危废规范化管理，加大中央和省级专项资金争取力度，扎实推进天顺化工等污染地块修复。</w:t>
      </w:r>
    </w:p>
    <w:p w14:paraId="3E495A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二是持续加强园区异味管控。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巩固拓展环保大体检成效，摸底数、找短板，建立健全重点涉气企业问题清单，做到有的放矢、精准监管；紧盯树脂等重点行业，强力推行“早巡夜查”管理模式和涉气专项监督检查，坚决打击环境违法行为；根据部、省要求，加快推动涉气企业低效废气处理设施淘汰和改造升级，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逐步解决城区异味扰民问题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5A631F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hAnsiTheme="minorHAnsi" w:cstheme="minorBidi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三是持续深化突出问题整改。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紧盯中央、省级环保督察交办问题整改和“夏季攻势”任务，聚焦群众身边“难点”“热点”环境问题，挂图作战、跑表计时、到点验收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，确保按时如质完成整改任务</w:t>
      </w:r>
      <w:r>
        <w:rPr>
          <w:rFonts w:hint="eastAsia" w:ascii="仿宋_GB2312" w:eastAsia="仿宋_GB2312" w:hAnsiTheme="minorHAnsi" w:cstheme="minorBidi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坚</w:t>
      </w:r>
      <w:r>
        <w:rPr>
          <w:rFonts w:hint="eastAsia" w:ascii="仿宋_GB2312" w:eastAsia="仿宋_GB2312" w:hAnsiTheme="minorHAnsi" w:cstheme="minorBidi"/>
          <w:sz w:val="32"/>
          <w:szCs w:val="32"/>
        </w:rPr>
        <w:t>持“当下改”与“长久立”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相结合</w:t>
      </w:r>
      <w:r>
        <w:rPr>
          <w:rFonts w:hint="eastAsia" w:ascii="仿宋_GB2312" w:eastAsia="仿宋_GB2312" w:hAnsiTheme="minorHAnsi" w:cstheme="minorBidi"/>
          <w:sz w:val="32"/>
          <w:szCs w:val="32"/>
        </w:rPr>
        <w:t>，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健全完善长效机制，</w:t>
      </w:r>
      <w:r>
        <w:rPr>
          <w:rFonts w:hint="eastAsia" w:ascii="仿宋_GB2312" w:eastAsia="仿宋_GB2312" w:hAnsiTheme="minorHAnsi" w:cstheme="minorBidi"/>
          <w:sz w:val="32"/>
          <w:szCs w:val="32"/>
        </w:rPr>
        <w:t>不断巩固和扩大整改成果，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努力提升群众生态环境获得感、幸福感</w:t>
      </w:r>
      <w:r>
        <w:rPr>
          <w:rFonts w:hint="eastAsia" w:ascii="仿宋_GB2312" w:eastAsia="仿宋_GB2312" w:hAnsiTheme="minorHAnsi" w:cstheme="minorBidi"/>
          <w:sz w:val="32"/>
          <w:szCs w:val="32"/>
        </w:rPr>
        <w:t>。</w:t>
      </w:r>
    </w:p>
    <w:p w14:paraId="154763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四是持续提升环保服务效能。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践行“随叫随到、服务周到”工作理念，强化重大项目服务保障，压缩审批时限50%。全面贯彻落实《岳阳市化工中试基地和中试项目管理办法（试行）》要求，主动作为、靠前服务，开辟绿色通道，全力保障中试项目实施。坚持“无事不扰、小事容错、难事帮扶”导向，对信用优良企业降低执法频次，对主观故意环境违法行为严厉打击。</w:t>
      </w:r>
    </w:p>
    <w:p w14:paraId="027046F0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 w14:paraId="263C6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本单位绩效自评结果为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等级。下一步将根据财政检查绩效自评发现的问题等进行改善，并按政务公开的相关规定，及时将部门整体支出及项目绩效自评报告，通过门户网站向社会公开。</w:t>
      </w:r>
    </w:p>
    <w:p w14:paraId="118030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0B8CE9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2BD675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 w14:paraId="109C9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 w14:paraId="0A9BF9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 w14:paraId="6159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 w14:paraId="1A13EA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 w14:paraId="7B7611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 w14:paraId="2B6582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 w14:paraId="03004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</w:t>
      </w:r>
    </w:p>
    <w:p w14:paraId="7825C105">
      <w:pPr>
        <w:spacing w:before="313" w:beforeLines="10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4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 w14:paraId="35292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7B689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F68D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97F88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4FF9B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 w14:paraId="580A8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1779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 w14:paraId="5274941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 w14:paraId="3D32490B"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246B796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 w14:paraId="06D873D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AD73C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 w14:paraId="2002D7FD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7511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 w14:paraId="00CA3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265A8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15C1C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 w14:paraId="6ED6016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A6AD6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157DA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 w14:paraId="7B245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91BB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 w14:paraId="558BED1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 w14:paraId="5C52351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24BC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 w14:paraId="5F13458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A2835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2047C"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 w14:paraId="23EEC642"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 w14:paraId="082AC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A3F9F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5EE2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 w14:paraId="059C639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837C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 w14:paraId="11E0F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D3917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 w14:paraId="4C7E1F4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 w14:paraId="7390FB3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22F0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 w14:paraId="571555FC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AED1A"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 w14:paraId="331085E8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 w14:paraId="2BB7D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2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53D6D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41FD180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 w14:paraId="2E38C26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 w14:paraId="0B81CE66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FB049"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 w14:paraId="6B42F99F"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 w14:paraId="4DB5EA00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 w14:paraId="0B363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D033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3D49B">
            <w:pPr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  <w:p w14:paraId="1113F092"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 w14:paraId="1E2C81B2"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 w14:paraId="2CF9838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849FD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 w14:paraId="246A4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EC7C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6EA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 w14:paraId="650F906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21BA1"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 w14:paraId="5E135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3D791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E851A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DCDC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</w:tbl>
    <w:p w14:paraId="1055BACE">
      <w:pPr>
        <w:spacing w:line="20" w:lineRule="exact"/>
        <w:ind w:firstLine="0"/>
        <w:jc w:val="left"/>
        <w:rPr>
          <w:rFonts w:ascii="仿宋_GB2312" w:eastAsia="仿宋_GB2312" w:cs="Times New Roman"/>
          <w:sz w:val="32"/>
          <w:szCs w:val="32"/>
        </w:rPr>
      </w:pPr>
    </w:p>
    <w:p w14:paraId="57B770C8"/>
    <w:sectPr>
      <w:footerReference r:id="rId3" w:type="default"/>
      <w:footerReference r:id="rId4" w:type="even"/>
      <w:pgSz w:w="11906" w:h="16838"/>
      <w:pgMar w:top="1587" w:right="1588" w:bottom="1587" w:left="1588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95C34">
    <w:pPr>
      <w:pStyle w:val="3"/>
      <w:framePr w:wrap="around" w:vAnchor="text" w:hAnchor="margin" w:xAlign="outside" w:y="1"/>
      <w:rPr>
        <w:rStyle w:val="6"/>
        <w:rFonts w:eastAsia="宋体" w:cs="Times New Roman"/>
        <w:sz w:val="24"/>
        <w:szCs w:val="24"/>
      </w:rPr>
    </w:pPr>
    <w:r>
      <w:rPr>
        <w:rStyle w:val="6"/>
        <w:rFonts w:hint="eastAsia" w:eastAsia="宋体" w:cs="Times New Roman"/>
        <w:kern w:val="2"/>
        <w:sz w:val="24"/>
        <w:szCs w:val="24"/>
      </w:rPr>
      <w:t xml:space="preserve">— </w:t>
    </w:r>
    <w:r>
      <w:rPr>
        <w:rFonts w:eastAsia="宋体" w:cs="Times New Roman"/>
        <w:sz w:val="24"/>
        <w:szCs w:val="24"/>
      </w:rPr>
      <w:fldChar w:fldCharType="begin"/>
    </w:r>
    <w:r>
      <w:rPr>
        <w:rStyle w:val="6"/>
        <w:rFonts w:eastAsia="宋体" w:cs="Times New Roman"/>
        <w:kern w:val="2"/>
        <w:sz w:val="24"/>
        <w:szCs w:val="24"/>
      </w:rPr>
      <w:instrText xml:space="preserve">PAGE  </w:instrText>
    </w:r>
    <w:r>
      <w:rPr>
        <w:rFonts w:eastAsia="宋体" w:cs="Times New Roman"/>
        <w:sz w:val="24"/>
        <w:szCs w:val="24"/>
      </w:rPr>
      <w:fldChar w:fldCharType="separate"/>
    </w:r>
    <w:r>
      <w:rPr>
        <w:rStyle w:val="6"/>
        <w:rFonts w:eastAsia="宋体" w:cs="Times New Roman"/>
        <w:kern w:val="2"/>
        <w:sz w:val="24"/>
        <w:szCs w:val="24"/>
      </w:rPr>
      <w:t>1</w:t>
    </w:r>
    <w:r>
      <w:rPr>
        <w:rFonts w:eastAsia="宋体" w:cs="Times New Roman"/>
        <w:sz w:val="24"/>
        <w:szCs w:val="24"/>
      </w:rPr>
      <w:fldChar w:fldCharType="end"/>
    </w:r>
    <w:r>
      <w:rPr>
        <w:rStyle w:val="6"/>
        <w:rFonts w:hint="eastAsia" w:eastAsia="宋体" w:cs="Times New Roman"/>
        <w:kern w:val="2"/>
        <w:sz w:val="24"/>
        <w:szCs w:val="24"/>
      </w:rPr>
      <w:t xml:space="preserve"> —</w:t>
    </w:r>
  </w:p>
  <w:p w14:paraId="0D216405">
    <w:pPr>
      <w:pStyle w:val="3"/>
      <w:ind w:right="360" w:firstLine="360"/>
      <w:rPr>
        <w:rFonts w:eastAsia="宋体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45F89">
    <w:pPr>
      <w:pStyle w:val="3"/>
      <w:framePr w:wrap="around" w:vAnchor="text" w:hAnchor="margin" w:xAlign="outside" w:y="1"/>
      <w:rPr>
        <w:rStyle w:val="6"/>
        <w:rFonts w:eastAsia="宋体" w:cs="Times New Roman"/>
      </w:rPr>
    </w:pPr>
    <w:r>
      <w:rPr>
        <w:rFonts w:eastAsia="宋体" w:cs="Times New Roman"/>
      </w:rPr>
      <w:fldChar w:fldCharType="begin"/>
    </w:r>
    <w:r>
      <w:rPr>
        <w:rStyle w:val="6"/>
        <w:rFonts w:eastAsia="宋体" w:cs="Times New Roman"/>
        <w:kern w:val="2"/>
        <w:sz w:val="21"/>
        <w:szCs w:val="24"/>
      </w:rPr>
      <w:instrText xml:space="preserve">PAGE  </w:instrText>
    </w:r>
    <w:r>
      <w:rPr>
        <w:rFonts w:eastAsia="宋体" w:cs="Times New Roman"/>
      </w:rPr>
      <w:fldChar w:fldCharType="end"/>
    </w:r>
  </w:p>
  <w:p w14:paraId="2CE8E564">
    <w:pPr>
      <w:pStyle w:val="3"/>
      <w:ind w:right="360" w:firstLine="360"/>
      <w:rPr>
        <w:rFonts w:eastAsia="宋体"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A8DB52"/>
    <w:multiLevelType w:val="singleLevel"/>
    <w:tmpl w:val="80A8DB5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3F08103"/>
    <w:multiLevelType w:val="singleLevel"/>
    <w:tmpl w:val="03F081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DA864EB"/>
    <w:multiLevelType w:val="singleLevel"/>
    <w:tmpl w:val="2DA864EB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72DDDE8"/>
    <w:multiLevelType w:val="singleLevel"/>
    <w:tmpl w:val="472DDDE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57B47"/>
    <w:rsid w:val="00E6284A"/>
    <w:rsid w:val="041D47D5"/>
    <w:rsid w:val="078F0DA3"/>
    <w:rsid w:val="07916CDA"/>
    <w:rsid w:val="07BE6173"/>
    <w:rsid w:val="0AFB2D84"/>
    <w:rsid w:val="0BBC48D3"/>
    <w:rsid w:val="0F36499C"/>
    <w:rsid w:val="11275633"/>
    <w:rsid w:val="1606227E"/>
    <w:rsid w:val="165204D8"/>
    <w:rsid w:val="16C555A8"/>
    <w:rsid w:val="1D994A74"/>
    <w:rsid w:val="1F274302"/>
    <w:rsid w:val="21C916A0"/>
    <w:rsid w:val="21D74795"/>
    <w:rsid w:val="22A8139A"/>
    <w:rsid w:val="237F64BA"/>
    <w:rsid w:val="31514409"/>
    <w:rsid w:val="31E16592"/>
    <w:rsid w:val="32492C19"/>
    <w:rsid w:val="38404012"/>
    <w:rsid w:val="3CC230B1"/>
    <w:rsid w:val="44CB50BC"/>
    <w:rsid w:val="46457B47"/>
    <w:rsid w:val="4E2E4999"/>
    <w:rsid w:val="54FC483D"/>
    <w:rsid w:val="57622118"/>
    <w:rsid w:val="58836B83"/>
    <w:rsid w:val="5E371984"/>
    <w:rsid w:val="611A0FF5"/>
    <w:rsid w:val="613C71BD"/>
    <w:rsid w:val="6C361442"/>
    <w:rsid w:val="6E5954EE"/>
    <w:rsid w:val="6F746DE0"/>
    <w:rsid w:val="762D1DA3"/>
    <w:rsid w:val="76E64153"/>
    <w:rsid w:val="7D87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qFormat/>
    <w:uiPriority w:val="0"/>
    <w:pPr>
      <w:widowControl w:val="0"/>
      <w:jc w:val="both"/>
    </w:pPr>
    <w:rPr>
      <w:rFonts w:ascii="仿宋" w:hAnsi="仿宋" w:eastAsia="仿宋" w:cs="仿宋"/>
      <w:kern w:val="2"/>
      <w:sz w:val="31"/>
      <w:szCs w:val="31"/>
      <w:lang w:val="en-US" w:eastAsia="en-US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character" w:styleId="6">
    <w:name w:val="page number"/>
    <w:qFormat/>
    <w:uiPriority w:val="0"/>
  </w:style>
  <w:style w:type="paragraph" w:styleId="7">
    <w:name w:val="List Paragraph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487</Words>
  <Characters>621</Characters>
  <Lines>0</Lines>
  <Paragraphs>0</Paragraphs>
  <TotalTime>52</TotalTime>
  <ScaleCrop>false</ScaleCrop>
  <LinksUpToDate>false</LinksUpToDate>
  <CharactersWithSpaces>758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2025-06-09T10:23:00Z</dcterms:created>
  <dc:creator>严碧琪</dc:creator>
  <cp:lastModifiedBy>严碧琪</cp:lastModifiedBy>
  <dcterms:modified xsi:type="dcterms:W3CDTF">2025-09-22T03:03:18Z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34F6360AC0944797AF6D2C8549E94D6D_13</vt:lpwstr>
  </property>
  <property fmtid="{D5CDD505-2E9C-101B-9397-08002B2CF9AE}" pid="4" name="KSOTemplateDocerSaveRecord">
    <vt:lpwstr>eyJoZGlkIjoiNjgxZmIyZGM1NjlmYzFmNTczZGVkNWYyNWIwMGFjMmUiLCJ1c2VySWQiOiIyOTMyNjEyNDMifQ==</vt:lpwstr>
  </property>
</Properties>
</file>