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4"/>
        <w:jc w:val="center"/>
        <w:rPr>
          <w:sz w:val="56"/>
          <w:szCs w:val="56"/>
        </w:rPr>
      </w:pPr>
    </w:p>
    <w:p w14:paraId="3BDF5AB8">
      <w:pPr>
        <w:pStyle w:val="14"/>
        <w:jc w:val="center"/>
        <w:rPr>
          <w:sz w:val="56"/>
          <w:szCs w:val="56"/>
        </w:rPr>
      </w:pPr>
    </w:p>
    <w:p w14:paraId="60CA4575">
      <w:pPr>
        <w:pStyle w:val="14"/>
        <w:jc w:val="center"/>
        <w:rPr>
          <w:sz w:val="84"/>
          <w:szCs w:val="84"/>
        </w:rPr>
      </w:pPr>
    </w:p>
    <w:p w14:paraId="215EB31D">
      <w:pPr>
        <w:pStyle w:val="14"/>
        <w:jc w:val="center"/>
        <w:rPr>
          <w:sz w:val="84"/>
          <w:szCs w:val="84"/>
        </w:rPr>
      </w:pPr>
    </w:p>
    <w:p w14:paraId="376C860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岳阳市生态环境局云溪分局单位部门决算</w:t>
      </w:r>
    </w:p>
    <w:p w14:paraId="3A699C16">
      <w:pPr>
        <w:pStyle w:val="14"/>
        <w:jc w:val="center"/>
        <w:rPr>
          <w:rFonts w:hint="eastAsia" w:ascii="方正小标宋_GBK" w:hAnsi="方正小标宋_GBK" w:eastAsia="方正小标宋_GBK" w:cs="方正小标宋_GBK"/>
          <w:sz w:val="56"/>
          <w:szCs w:val="56"/>
        </w:rPr>
      </w:pPr>
    </w:p>
    <w:p w14:paraId="72C8FB58">
      <w:pPr>
        <w:pStyle w:val="14"/>
        <w:jc w:val="center"/>
        <w:rPr>
          <w:sz w:val="56"/>
          <w:szCs w:val="56"/>
        </w:rPr>
      </w:pPr>
    </w:p>
    <w:p w14:paraId="25018D25">
      <w:pPr>
        <w:pStyle w:val="14"/>
        <w:jc w:val="center"/>
        <w:rPr>
          <w:sz w:val="56"/>
          <w:szCs w:val="56"/>
        </w:rPr>
      </w:pPr>
    </w:p>
    <w:p w14:paraId="5EE73A38">
      <w:pPr>
        <w:pStyle w:val="14"/>
        <w:jc w:val="center"/>
        <w:rPr>
          <w:sz w:val="56"/>
          <w:szCs w:val="56"/>
        </w:rPr>
      </w:pPr>
    </w:p>
    <w:p w14:paraId="297571C5">
      <w:pPr>
        <w:pStyle w:val="14"/>
        <w:jc w:val="center"/>
        <w:rPr>
          <w:sz w:val="32"/>
          <w:szCs w:val="32"/>
        </w:rPr>
      </w:pPr>
    </w:p>
    <w:p w14:paraId="08493D1E">
      <w:pPr>
        <w:pStyle w:val="14"/>
        <w:jc w:val="center"/>
        <w:rPr>
          <w:sz w:val="32"/>
          <w:szCs w:val="32"/>
        </w:rPr>
      </w:pPr>
    </w:p>
    <w:p w14:paraId="5BD6E8BD">
      <w:pPr>
        <w:pStyle w:val="14"/>
        <w:jc w:val="center"/>
        <w:rPr>
          <w:sz w:val="32"/>
          <w:szCs w:val="32"/>
        </w:rPr>
      </w:pPr>
    </w:p>
    <w:p w14:paraId="1062A3B4">
      <w:pPr>
        <w:pStyle w:val="14"/>
        <w:jc w:val="center"/>
        <w:rPr>
          <w:sz w:val="32"/>
          <w:szCs w:val="32"/>
        </w:rPr>
      </w:pPr>
    </w:p>
    <w:p w14:paraId="6311DFC7">
      <w:pPr>
        <w:pStyle w:val="14"/>
        <w:jc w:val="center"/>
        <w:rPr>
          <w:sz w:val="32"/>
          <w:szCs w:val="32"/>
        </w:rPr>
      </w:pPr>
    </w:p>
    <w:p w14:paraId="50228290">
      <w:pPr>
        <w:pStyle w:val="14"/>
        <w:spacing w:line="540" w:lineRule="exact"/>
        <w:jc w:val="center"/>
        <w:rPr>
          <w:sz w:val="56"/>
          <w:szCs w:val="56"/>
        </w:rPr>
      </w:pPr>
    </w:p>
    <w:p w14:paraId="459C483D">
      <w:pPr>
        <w:pStyle w:val="14"/>
        <w:spacing w:line="500" w:lineRule="exact"/>
        <w:jc w:val="both"/>
        <w:rPr>
          <w:b/>
          <w:sz w:val="36"/>
          <w:szCs w:val="28"/>
        </w:rPr>
      </w:pPr>
    </w:p>
    <w:p w14:paraId="24F3309B">
      <w:pPr>
        <w:pStyle w:val="14"/>
        <w:spacing w:line="500" w:lineRule="exact"/>
        <w:jc w:val="center"/>
        <w:rPr>
          <w:b/>
          <w:sz w:val="36"/>
          <w:szCs w:val="28"/>
        </w:rPr>
      </w:pPr>
      <w:r>
        <w:rPr>
          <w:rFonts w:hint="eastAsia"/>
          <w:b/>
          <w:sz w:val="36"/>
          <w:szCs w:val="28"/>
        </w:rPr>
        <w:t>目录</w:t>
      </w:r>
    </w:p>
    <w:p w14:paraId="6CBD0C22">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岳阳市生态环境局云溪分局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4"/>
        <w:jc w:val="center"/>
        <w:rPr>
          <w:rFonts w:hint="eastAsia" w:ascii="方正小标宋_GBK" w:hAnsi="方正小标宋_GBK" w:eastAsia="方正小标宋_GBK" w:cs="方正小标宋_GBK"/>
          <w:sz w:val="84"/>
          <w:szCs w:val="84"/>
        </w:rPr>
      </w:pPr>
    </w:p>
    <w:p w14:paraId="4C45AFF2">
      <w:pPr>
        <w:pStyle w:val="14"/>
        <w:jc w:val="center"/>
        <w:rPr>
          <w:rFonts w:hint="eastAsia" w:ascii="方正小标宋_GBK" w:hAnsi="方正小标宋_GBK" w:eastAsia="方正小标宋_GBK" w:cs="方正小标宋_GBK"/>
          <w:sz w:val="84"/>
          <w:szCs w:val="84"/>
        </w:rPr>
      </w:pPr>
    </w:p>
    <w:p w14:paraId="759E723F">
      <w:pPr>
        <w:pStyle w:val="14"/>
        <w:jc w:val="center"/>
        <w:rPr>
          <w:rFonts w:hint="eastAsia" w:ascii="方正小标宋_GBK" w:hAnsi="方正小标宋_GBK" w:eastAsia="方正小标宋_GBK" w:cs="方正小标宋_GBK"/>
          <w:sz w:val="84"/>
          <w:szCs w:val="84"/>
        </w:rPr>
      </w:pPr>
    </w:p>
    <w:p w14:paraId="24182CD8">
      <w:pPr>
        <w:pStyle w:val="14"/>
        <w:jc w:val="center"/>
        <w:rPr>
          <w:rFonts w:hint="eastAsia" w:ascii="方正小标宋_GBK" w:hAnsi="方正小标宋_GBK" w:eastAsia="方正小标宋_GBK" w:cs="方正小标宋_GBK"/>
          <w:sz w:val="84"/>
          <w:szCs w:val="84"/>
        </w:rPr>
      </w:pPr>
    </w:p>
    <w:p w14:paraId="5FD7058A">
      <w:pPr>
        <w:pStyle w:val="14"/>
        <w:jc w:val="center"/>
        <w:rPr>
          <w:rFonts w:hint="eastAsia" w:ascii="方正小标宋_GBK" w:hAnsi="方正小标宋_GBK" w:eastAsia="方正小标宋_GBK" w:cs="方正小标宋_GBK"/>
          <w:sz w:val="84"/>
          <w:szCs w:val="84"/>
        </w:rPr>
      </w:pPr>
    </w:p>
    <w:p w14:paraId="6C27C1E7">
      <w:pPr>
        <w:pStyle w:val="14"/>
        <w:jc w:val="center"/>
        <w:rPr>
          <w:rFonts w:hint="eastAsia" w:ascii="方正小标宋_GBK" w:hAnsi="方正小标宋_GBK" w:eastAsia="方正小标宋_GBK" w:cs="方正小标宋_GBK"/>
          <w:sz w:val="84"/>
          <w:szCs w:val="84"/>
        </w:rPr>
      </w:pPr>
    </w:p>
    <w:p w14:paraId="2B96896D">
      <w:pPr>
        <w:pStyle w:val="14"/>
        <w:jc w:val="center"/>
        <w:rPr>
          <w:rFonts w:hint="eastAsia" w:ascii="方正小标宋_GBK" w:hAnsi="方正小标宋_GBK" w:eastAsia="方正小标宋_GBK" w:cs="方正小标宋_GBK"/>
          <w:sz w:val="84"/>
          <w:szCs w:val="84"/>
        </w:rPr>
      </w:pPr>
    </w:p>
    <w:p w14:paraId="1095DEAB">
      <w:pPr>
        <w:pStyle w:val="14"/>
        <w:jc w:val="center"/>
        <w:rPr>
          <w:rFonts w:hint="eastAsia" w:ascii="方正小标宋_GBK" w:hAnsi="方正小标宋_GBK" w:eastAsia="方正小标宋_GBK" w:cs="方正小标宋_GBK"/>
          <w:sz w:val="84"/>
          <w:szCs w:val="84"/>
        </w:rPr>
      </w:pPr>
    </w:p>
    <w:p w14:paraId="0DEEC24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4"/>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岳阳市生态环境局云溪分局</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8"/>
        <w:rPr>
          <w:rFonts w:hint="eastAsia" w:ascii="方正小标宋_GBK" w:hAnsi="方正小标宋_GBK" w:eastAsia="方正小标宋_GBK" w:cs="方正小标宋_GBK"/>
          <w:sz w:val="84"/>
          <w:szCs w:val="84"/>
        </w:rPr>
      </w:pPr>
    </w:p>
    <w:p w14:paraId="7867DECE">
      <w:pPr>
        <w:pStyle w:val="4"/>
        <w:rPr>
          <w:rFonts w:hint="eastAsia" w:ascii="方正小标宋_GBK" w:hAnsi="方正小标宋_GBK" w:eastAsia="方正小标宋_GBK" w:cs="方正小标宋_GBK"/>
          <w:sz w:val="84"/>
          <w:szCs w:val="84"/>
        </w:rPr>
      </w:pPr>
    </w:p>
    <w:p w14:paraId="3E216769">
      <w:pPr>
        <w:rPr>
          <w:rFonts w:hint="eastAsia" w:ascii="方正小标宋_GBK" w:hAnsi="方正小标宋_GBK" w:eastAsia="方正小标宋_GBK" w:cs="方正小标宋_GBK"/>
          <w:sz w:val="84"/>
          <w:szCs w:val="84"/>
        </w:rPr>
      </w:pPr>
    </w:p>
    <w:p w14:paraId="52BA1B87">
      <w:pPr>
        <w:rPr>
          <w:rFonts w:hint="eastAsia" w:ascii="方正小标宋_GBK" w:hAnsi="方正小标宋_GBK" w:eastAsia="方正小标宋_GBK" w:cs="方正小标宋_GBK"/>
          <w:sz w:val="84"/>
          <w:szCs w:val="84"/>
        </w:rPr>
      </w:pPr>
    </w:p>
    <w:p w14:paraId="0DCAD2E0">
      <w:pPr>
        <w:rPr>
          <w:rFonts w:hint="eastAsia" w:ascii="方正小标宋_GBK" w:hAnsi="方正小标宋_GBK" w:eastAsia="方正小标宋_GBK" w:cs="方正小标宋_GBK"/>
          <w:sz w:val="84"/>
          <w:szCs w:val="84"/>
        </w:rPr>
      </w:pPr>
    </w:p>
    <w:p w14:paraId="2B537E48">
      <w:pPr>
        <w:pStyle w:val="15"/>
        <w:numPr>
          <w:ilvl w:val="0"/>
          <w:numId w:val="0"/>
        </w:numPr>
        <w:ind w:leftChars="0"/>
        <w:jc w:val="left"/>
        <w:rPr>
          <w:rFonts w:hint="eastAsia" w:ascii="黑体" w:hAnsi="黑体" w:eastAsia="黑体" w:cs="黑体"/>
          <w:b w:val="0"/>
          <w:bCs w:val="0"/>
          <w:sz w:val="32"/>
          <w:szCs w:val="32"/>
        </w:rPr>
      </w:pPr>
    </w:p>
    <w:p w14:paraId="7FD8B50B">
      <w:pPr>
        <w:pStyle w:val="15"/>
        <w:numPr>
          <w:ilvl w:val="0"/>
          <w:numId w:val="0"/>
        </w:numPr>
        <w:ind w:leftChars="0"/>
        <w:jc w:val="left"/>
        <w:rPr>
          <w:rFonts w:hint="eastAsia" w:ascii="黑体" w:hAnsi="黑体" w:eastAsia="黑体" w:cs="黑体"/>
          <w:b w:val="0"/>
          <w:bCs w:val="0"/>
          <w:sz w:val="32"/>
          <w:szCs w:val="32"/>
        </w:rPr>
      </w:pPr>
    </w:p>
    <w:p w14:paraId="55E857AF">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72395835">
      <w:pPr>
        <w:pStyle w:val="9"/>
        <w:widowControl/>
        <w:spacing w:line="33" w:lineRule="atLeast"/>
        <w:ind w:firstLine="320" w:firstLineChars="1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（一）受市生态环境局委托，承担辖区内的生态环境相关工作；承担市生态环境局和区委、区政府交办的其他任务。</w:t>
      </w:r>
    </w:p>
    <w:p w14:paraId="7DC6D488">
      <w:pPr>
        <w:pStyle w:val="9"/>
        <w:widowControl/>
        <w:spacing w:line="33" w:lineRule="atLeast"/>
        <w:ind w:firstLine="320" w:firstLineChars="1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负责本辖区内重点污染源在线监控系统现场监督管理；负责受理和办理生态环境保护举报（信访），负责生态环境信访维稳事件的现场调查处置工作；负责环境区级执法事项违法案件调查处理；负责组织协调生态环境保护区级跨部门联合执法行动。</w:t>
      </w:r>
    </w:p>
    <w:p w14:paraId="46304642">
      <w:pPr>
        <w:pStyle w:val="9"/>
        <w:widowControl/>
        <w:spacing w:line="33" w:lineRule="atLeast"/>
        <w:ind w:firstLine="320" w:firstLineChars="1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三负责本辖区生态环境质量监测、执法监测、污染源监测和应急监测；负责辖区内生态文明示范区创建。</w:t>
      </w:r>
    </w:p>
    <w:p w14:paraId="3DD68A6C">
      <w:pPr>
        <w:pStyle w:val="9"/>
        <w:widowControl/>
        <w:spacing w:line="33" w:lineRule="atLeast"/>
        <w:ind w:firstLine="320" w:firstLineChars="1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（二）机构设置</w:t>
      </w:r>
    </w:p>
    <w:p w14:paraId="45D60BD3">
      <w:pPr>
        <w:pStyle w:val="9"/>
        <w:widowControl/>
        <w:spacing w:line="33" w:lineRule="atLeast"/>
        <w:ind w:firstLine="320" w:firstLineChars="1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岳阳市生态环境局云溪分局现有编制数13人，参公编制13人。现有在职职工10人，其中：行政人员10人；离退休人员8人。</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8AE043A">
      <w:pPr>
        <w:pStyle w:val="9"/>
        <w:widowControl/>
        <w:spacing w:line="33" w:lineRule="atLeast"/>
        <w:ind w:firstLine="320" w:firstLineChars="1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（一）内设机构设置。岳阳市生态环境局云溪分局单位内设机构包括：办公室、财务室、环评与污染排放股、综合室、土壤与固废股、人事股、党建纪检办、大气与水生态环境管理股等8个股室。</w:t>
      </w:r>
    </w:p>
    <w:p w14:paraId="3D9EF3E2">
      <w:pPr>
        <w:pStyle w:val="9"/>
        <w:widowControl/>
        <w:spacing w:line="33" w:lineRule="atLeast"/>
        <w:ind w:firstLine="320" w:firstLineChars="1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（二）决算单位构成。本单位无独立核算的下属单位，2024年度部门决算汇总公开单位仅包括岳阳市生态环境局云溪分局单位本级</w:t>
      </w:r>
    </w:p>
    <w:p w14:paraId="38152785">
      <w:pPr>
        <w:pStyle w:val="9"/>
        <w:widowControl/>
        <w:spacing w:line="33" w:lineRule="atLeast"/>
        <w:ind w:firstLine="320" w:firstLineChars="100"/>
        <w:jc w:val="both"/>
        <w:rPr>
          <w:rFonts w:hint="eastAsia" w:ascii="仿宋_GB2312" w:hAnsi="仿宋_GB2312" w:eastAsia="仿宋_GB2312" w:cs="仿宋_GB2312"/>
          <w:color w:val="auto"/>
          <w:kern w:val="2"/>
          <w:sz w:val="32"/>
          <w:szCs w:val="32"/>
          <w:lang w:val="en-US" w:eastAsia="zh-CN" w:bidi="ar-SA"/>
        </w:rPr>
      </w:pPr>
    </w:p>
    <w:p w14:paraId="3CE56614">
      <w:pPr>
        <w:pStyle w:val="9"/>
        <w:widowControl/>
        <w:spacing w:line="33" w:lineRule="atLeast"/>
        <w:ind w:firstLine="320" w:firstLineChars="100"/>
        <w:jc w:val="both"/>
        <w:rPr>
          <w:rFonts w:hint="eastAsia" w:ascii="宋体" w:hAnsi="宋体" w:eastAsia="宋体" w:cs="Times New Roman"/>
          <w:color w:val="000000"/>
          <w:kern w:val="0"/>
          <w:sz w:val="32"/>
          <w:szCs w:val="24"/>
          <w:lang w:val="en-US" w:eastAsia="zh-CN" w:bidi="ar"/>
        </w:rPr>
      </w:pPr>
    </w:p>
    <w:p w14:paraId="70B4D569">
      <w:pPr>
        <w:pStyle w:val="4"/>
      </w:pPr>
    </w:p>
    <w:p w14:paraId="5B1D6CBC"/>
    <w:p w14:paraId="7D6C31E4">
      <w:pPr>
        <w:pStyle w:val="8"/>
      </w:pPr>
    </w:p>
    <w:p w14:paraId="056E4ECA">
      <w:pPr>
        <w:pStyle w:val="4"/>
      </w:pPr>
    </w:p>
    <w:p w14:paraId="3288C9C5"/>
    <w:p w14:paraId="14507043">
      <w:pPr>
        <w:pStyle w:val="8"/>
      </w:pPr>
    </w:p>
    <w:p w14:paraId="465EA8BD">
      <w:pPr>
        <w:pStyle w:val="4"/>
      </w:pPr>
    </w:p>
    <w:p w14:paraId="49E51758"/>
    <w:p w14:paraId="3DC8C6CD">
      <w:pPr>
        <w:pStyle w:val="8"/>
      </w:pPr>
    </w:p>
    <w:p w14:paraId="36E702E5">
      <w:pPr>
        <w:pStyle w:val="4"/>
      </w:pPr>
    </w:p>
    <w:p w14:paraId="0416550A"/>
    <w:p w14:paraId="28B49BCE">
      <w:pPr>
        <w:pStyle w:val="8"/>
      </w:pPr>
    </w:p>
    <w:p w14:paraId="43291855">
      <w:pPr>
        <w:pStyle w:val="4"/>
      </w:pPr>
    </w:p>
    <w:p w14:paraId="7CD92489"/>
    <w:p w14:paraId="5267F12B">
      <w:pPr>
        <w:pStyle w:val="8"/>
      </w:pPr>
    </w:p>
    <w:p w14:paraId="28828498">
      <w:pPr>
        <w:pStyle w:val="4"/>
      </w:pPr>
    </w:p>
    <w:p w14:paraId="04E62672"/>
    <w:p w14:paraId="1D6D7A8B">
      <w:pPr>
        <w:pStyle w:val="8"/>
      </w:pPr>
    </w:p>
    <w:p w14:paraId="2E47952B">
      <w:pPr>
        <w:pStyle w:val="4"/>
      </w:pPr>
    </w:p>
    <w:p w14:paraId="18A19BE5"/>
    <w:p w14:paraId="7CCBF86D">
      <w:pPr>
        <w:pStyle w:val="8"/>
      </w:pPr>
    </w:p>
    <w:p w14:paraId="0017F5EC">
      <w:pPr>
        <w:pStyle w:val="4"/>
      </w:pPr>
    </w:p>
    <w:p w14:paraId="76181D4E"/>
    <w:p w14:paraId="2B49F2B7">
      <w:pPr>
        <w:pStyle w:val="14"/>
        <w:jc w:val="both"/>
        <w:rPr>
          <w:rFonts w:hint="eastAsia" w:ascii="方正小标宋_GBK" w:hAnsi="方正小标宋_GBK" w:eastAsia="方正小标宋_GBK" w:cs="方正小标宋_GBK"/>
          <w:sz w:val="84"/>
          <w:szCs w:val="84"/>
        </w:rPr>
      </w:pPr>
    </w:p>
    <w:p w14:paraId="661BBFC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4"/>
        <w:jc w:val="center"/>
        <w:rPr>
          <w:rFonts w:hint="eastAsia" w:ascii="方正小标宋_GBK" w:hAnsi="方正小标宋_GBK" w:eastAsia="方正小标宋_GBK" w:cs="方正小标宋_GBK"/>
          <w:sz w:val="84"/>
          <w:szCs w:val="84"/>
        </w:rPr>
      </w:pPr>
    </w:p>
    <w:p w14:paraId="3860F185">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4"/>
        <w:jc w:val="center"/>
        <w:rPr>
          <w:rFonts w:hint="eastAsia" w:ascii="仿宋_GB2312" w:hAnsi="仿宋_GB2312" w:eastAsia="仿宋_GB2312" w:cs="仿宋_GB2312"/>
          <w:b w:val="0"/>
          <w:bCs w:val="0"/>
          <w:sz w:val="72"/>
          <w:szCs w:val="72"/>
          <w:lang w:eastAsia="zh-CN"/>
        </w:rPr>
      </w:pPr>
    </w:p>
    <w:p w14:paraId="0568D1B8">
      <w:pPr>
        <w:pStyle w:val="14"/>
        <w:jc w:val="center"/>
        <w:rPr>
          <w:rFonts w:hint="eastAsia" w:ascii="仿宋_GB2312" w:hAnsi="仿宋_GB2312" w:eastAsia="仿宋_GB2312" w:cs="仿宋_GB2312"/>
          <w:b w:val="0"/>
          <w:bCs w:val="0"/>
          <w:sz w:val="72"/>
          <w:szCs w:val="72"/>
          <w:lang w:eastAsia="zh-CN"/>
        </w:rPr>
      </w:pPr>
    </w:p>
    <w:p w14:paraId="5C65B646">
      <w:pPr>
        <w:pStyle w:val="14"/>
        <w:jc w:val="center"/>
        <w:rPr>
          <w:rFonts w:hint="eastAsia" w:ascii="仿宋_GB2312" w:hAnsi="仿宋_GB2312" w:eastAsia="仿宋_GB2312" w:cs="仿宋_GB2312"/>
          <w:b w:val="0"/>
          <w:bCs w:val="0"/>
          <w:sz w:val="72"/>
          <w:szCs w:val="72"/>
          <w:lang w:eastAsia="zh-CN"/>
        </w:rPr>
      </w:pPr>
    </w:p>
    <w:p w14:paraId="62EA5E89">
      <w:pPr>
        <w:pStyle w:val="14"/>
        <w:jc w:val="center"/>
        <w:rPr>
          <w:rFonts w:hint="eastAsia" w:ascii="仿宋_GB2312" w:hAnsi="仿宋_GB2312" w:eastAsia="仿宋_GB2312" w:cs="仿宋_GB2312"/>
          <w:b w:val="0"/>
          <w:bCs w:val="0"/>
          <w:sz w:val="72"/>
          <w:szCs w:val="72"/>
          <w:lang w:eastAsia="zh-CN"/>
        </w:rPr>
      </w:pPr>
    </w:p>
    <w:p w14:paraId="63BFFD84">
      <w:pPr>
        <w:pStyle w:val="14"/>
        <w:jc w:val="center"/>
        <w:rPr>
          <w:rFonts w:hint="eastAsia" w:ascii="仿宋_GB2312" w:hAnsi="仿宋_GB2312" w:eastAsia="仿宋_GB2312" w:cs="仿宋_GB2312"/>
          <w:b w:val="0"/>
          <w:bCs w:val="0"/>
          <w:sz w:val="72"/>
          <w:szCs w:val="72"/>
          <w:lang w:eastAsia="zh-CN"/>
        </w:rPr>
      </w:pPr>
    </w:p>
    <w:p w14:paraId="4565BABE">
      <w:pPr>
        <w:pStyle w:val="14"/>
        <w:jc w:val="center"/>
        <w:rPr>
          <w:rFonts w:hint="eastAsia" w:ascii="仿宋_GB2312" w:hAnsi="仿宋_GB2312" w:eastAsia="仿宋_GB2312" w:cs="仿宋_GB2312"/>
          <w:b w:val="0"/>
          <w:bCs w:val="0"/>
          <w:sz w:val="72"/>
          <w:szCs w:val="72"/>
          <w:lang w:eastAsia="zh-CN"/>
        </w:rPr>
      </w:pPr>
    </w:p>
    <w:p w14:paraId="7A44A82E">
      <w:pPr>
        <w:pStyle w:val="14"/>
        <w:jc w:val="both"/>
        <w:rPr>
          <w:rFonts w:hint="eastAsia" w:ascii="方正小标宋_GBK" w:hAnsi="方正小标宋_GBK" w:eastAsia="方正小标宋_GBK" w:cs="方正小标宋_GBK"/>
          <w:sz w:val="72"/>
          <w:szCs w:val="72"/>
        </w:rPr>
      </w:pPr>
    </w:p>
    <w:p w14:paraId="06211665">
      <w:pPr>
        <w:pStyle w:val="14"/>
        <w:jc w:val="both"/>
        <w:rPr>
          <w:rFonts w:hint="eastAsia" w:ascii="方正小标宋_GBK" w:hAnsi="方正小标宋_GBK" w:eastAsia="方正小标宋_GBK" w:cs="方正小标宋_GBK"/>
          <w:sz w:val="72"/>
          <w:szCs w:val="72"/>
        </w:rPr>
      </w:pPr>
    </w:p>
    <w:p w14:paraId="7804FBAA">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4"/>
        <w:jc w:val="center"/>
        <w:rPr>
          <w:rFonts w:hint="eastAsia" w:ascii="方正小标宋_GBK" w:hAnsi="方正小标宋_GBK" w:eastAsia="方正小标宋_GBK" w:cs="方正小标宋_GBK"/>
          <w:sz w:val="70"/>
          <w:szCs w:val="70"/>
        </w:rPr>
      </w:pPr>
    </w:p>
    <w:p w14:paraId="4F77A5A6">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4"/>
        <w:jc w:val="center"/>
        <w:rPr>
          <w:rFonts w:hint="eastAsia" w:ascii="方正小标宋_GBK" w:hAnsi="方正小标宋_GBK" w:eastAsia="方正小标宋_GBK" w:cs="方正小标宋_GBK"/>
          <w:sz w:val="70"/>
          <w:szCs w:val="70"/>
        </w:rPr>
      </w:pPr>
    </w:p>
    <w:p w14:paraId="6EEC30AB">
      <w:pPr>
        <w:pStyle w:val="14"/>
        <w:jc w:val="center"/>
        <w:rPr>
          <w:rFonts w:hint="eastAsia" w:ascii="方正小标宋_GBK" w:hAnsi="方正小标宋_GBK" w:eastAsia="方正小标宋_GBK" w:cs="方正小标宋_GBK"/>
          <w:sz w:val="70"/>
          <w:szCs w:val="70"/>
        </w:rPr>
      </w:pPr>
    </w:p>
    <w:p w14:paraId="417367C1">
      <w:pPr>
        <w:pStyle w:val="14"/>
        <w:jc w:val="center"/>
        <w:rPr>
          <w:rFonts w:hint="eastAsia" w:ascii="方正小标宋_GBK" w:hAnsi="方正小标宋_GBK" w:eastAsia="方正小标宋_GBK" w:cs="方正小标宋_GBK"/>
          <w:sz w:val="70"/>
          <w:szCs w:val="70"/>
        </w:rPr>
      </w:pPr>
    </w:p>
    <w:p w14:paraId="5EF1049C">
      <w:pPr>
        <w:pStyle w:val="14"/>
        <w:jc w:val="center"/>
        <w:rPr>
          <w:rFonts w:hint="eastAsia" w:ascii="方正小标宋_GBK" w:hAnsi="方正小标宋_GBK" w:eastAsia="方正小标宋_GBK" w:cs="方正小标宋_GBK"/>
          <w:sz w:val="70"/>
          <w:szCs w:val="70"/>
        </w:rPr>
      </w:pPr>
    </w:p>
    <w:p w14:paraId="514C0722">
      <w:pPr>
        <w:pStyle w:val="14"/>
        <w:jc w:val="both"/>
        <w:rPr>
          <w:rFonts w:hint="eastAsia" w:ascii="方正小标宋_GBK" w:hAnsi="方正小标宋_GBK" w:eastAsia="方正小标宋_GBK" w:cs="方正小标宋_GBK"/>
          <w:sz w:val="70"/>
          <w:szCs w:val="70"/>
        </w:rPr>
      </w:pPr>
    </w:p>
    <w:p w14:paraId="2411C08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年度收、支总计673.84万元。与上年相比，增加</w:t>
      </w:r>
      <w:r>
        <w:rPr>
          <w:rFonts w:hint="eastAsia" w:ascii="仿宋_GB2312" w:hAnsi="仿宋_GB2312" w:eastAsia="仿宋_GB2312" w:cs="仿宋_GB2312"/>
          <w:sz w:val="32"/>
          <w:szCs w:val="32"/>
          <w:lang w:val="en-US" w:eastAsia="zh-CN"/>
        </w:rPr>
        <w:t>310.15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117.26</w:t>
      </w:r>
      <w:r>
        <w:rPr>
          <w:rFonts w:hint="eastAsia" w:ascii="仿宋_GB2312" w:hAnsi="仿宋_GB2312" w:eastAsia="仿宋_GB2312" w:cs="仿宋_GB2312"/>
          <w:sz w:val="32"/>
          <w:szCs w:val="32"/>
        </w:rPr>
        <w:t>%，主要是因为其他优抚支出</w:t>
      </w:r>
      <w:r>
        <w:rPr>
          <w:rFonts w:hint="eastAsia" w:ascii="仿宋_GB2312" w:hAnsi="仿宋_GB2312" w:eastAsia="仿宋_GB2312" w:cs="仿宋_GB2312"/>
          <w:sz w:val="32"/>
          <w:szCs w:val="32"/>
          <w:lang w:eastAsia="zh-CN"/>
        </w:rPr>
        <w:t>、其他环境保护管理事务支出</w:t>
      </w:r>
      <w:r>
        <w:rPr>
          <w:rFonts w:hint="eastAsia" w:ascii="仿宋_GB2312" w:hAnsi="仿宋_GB2312" w:eastAsia="仿宋_GB2312" w:cs="仿宋_GB2312"/>
          <w:sz w:val="32"/>
          <w:szCs w:val="32"/>
          <w:lang w:val="en-US" w:eastAsia="zh-CN"/>
        </w:rPr>
        <w:t>增加。</w:t>
      </w:r>
    </w:p>
    <w:p w14:paraId="07DA9E3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673.84</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408.99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60.70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%；其他收入264.85万元，占</w:t>
      </w:r>
      <w:r>
        <w:rPr>
          <w:rFonts w:hint="eastAsia" w:ascii="仿宋_GB2312" w:hAnsi="仿宋_GB2312" w:eastAsia="仿宋_GB2312" w:cs="仿宋_GB2312"/>
          <w:sz w:val="32"/>
          <w:szCs w:val="32"/>
          <w:lang w:val="en-US" w:eastAsia="zh-CN"/>
        </w:rPr>
        <w:t>39.30</w:t>
      </w:r>
      <w:r>
        <w:rPr>
          <w:rFonts w:hint="eastAsia" w:ascii="仿宋_GB2312" w:hAnsi="仿宋_GB2312" w:eastAsia="仿宋_GB2312" w:cs="仿宋_GB2312"/>
          <w:sz w:val="32"/>
          <w:szCs w:val="32"/>
        </w:rPr>
        <w:t>%。</w:t>
      </w:r>
    </w:p>
    <w:p w14:paraId="2D1A2B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年度支出合计540.03万元，其中：基本支出455.81万元，占</w:t>
      </w:r>
      <w:r>
        <w:rPr>
          <w:rFonts w:hint="eastAsia" w:ascii="仿宋_GB2312" w:hAnsi="仿宋_GB2312" w:eastAsia="仿宋_GB2312" w:cs="仿宋_GB2312"/>
          <w:sz w:val="32"/>
          <w:szCs w:val="32"/>
          <w:lang w:val="en-US" w:eastAsia="zh-CN"/>
        </w:rPr>
        <w:t>84.40</w:t>
      </w:r>
      <w:r>
        <w:rPr>
          <w:rFonts w:hint="eastAsia" w:ascii="仿宋_GB2312" w:hAnsi="仿宋_GB2312" w:eastAsia="仿宋_GB2312" w:cs="仿宋_GB2312"/>
          <w:sz w:val="32"/>
          <w:szCs w:val="32"/>
        </w:rPr>
        <w:t>%；项目支出84.23万元，占</w:t>
      </w:r>
      <w:r>
        <w:rPr>
          <w:rFonts w:hint="eastAsia" w:ascii="仿宋_GB2312" w:hAnsi="仿宋_GB2312" w:eastAsia="仿宋_GB2312" w:cs="仿宋_GB2312"/>
          <w:sz w:val="32"/>
          <w:szCs w:val="32"/>
          <w:lang w:val="en-US" w:eastAsia="zh-CN"/>
        </w:rPr>
        <w:t>15.60</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985752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D2E14E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年度财政拨款收、支总计408.99万元，与上年相比，</w:t>
      </w:r>
      <w:r>
        <w:rPr>
          <w:rFonts w:hint="eastAsia" w:ascii="仿宋_GB2312" w:hAnsi="仿宋_GB2312" w:eastAsia="仿宋_GB2312" w:cs="仿宋_GB2312"/>
          <w:sz w:val="32"/>
          <w:szCs w:val="32"/>
          <w:lang w:val="en-US" w:eastAsia="zh-CN"/>
        </w:rPr>
        <w:t>增加</w:t>
      </w:r>
      <w:r>
        <w:rPr>
          <w:rFonts w:hint="eastAsia" w:ascii="仿宋_GB2312" w:hAnsi="仿宋_GB2312" w:eastAsia="仿宋_GB2312" w:cs="仿宋_GB2312"/>
          <w:sz w:val="32"/>
          <w:szCs w:val="32"/>
        </w:rPr>
        <w:t>50.52万元,增长</w:t>
      </w:r>
      <w:r>
        <w:rPr>
          <w:rFonts w:hint="eastAsia" w:ascii="仿宋_GB2312" w:hAnsi="仿宋_GB2312" w:eastAsia="仿宋_GB2312" w:cs="仿宋_GB2312"/>
          <w:sz w:val="32"/>
          <w:szCs w:val="32"/>
          <w:lang w:val="en-US" w:eastAsia="zh-CN"/>
        </w:rPr>
        <w:t>14.09</w:t>
      </w:r>
      <w:r>
        <w:rPr>
          <w:rFonts w:hint="eastAsia" w:ascii="仿宋_GB2312" w:hAnsi="仿宋_GB2312" w:eastAsia="仿宋_GB2312" w:cs="仿宋_GB2312"/>
          <w:sz w:val="32"/>
          <w:szCs w:val="32"/>
        </w:rPr>
        <w:t>%，主要是因为主要是因为其他优抚支出</w:t>
      </w:r>
      <w:r>
        <w:rPr>
          <w:rFonts w:hint="eastAsia" w:ascii="仿宋_GB2312" w:hAnsi="仿宋_GB2312" w:eastAsia="仿宋_GB2312" w:cs="仿宋_GB2312"/>
          <w:sz w:val="32"/>
          <w:szCs w:val="32"/>
          <w:lang w:eastAsia="zh-CN"/>
        </w:rPr>
        <w:t>、其他环境保护管理事务支出</w:t>
      </w:r>
      <w:r>
        <w:rPr>
          <w:rFonts w:hint="eastAsia" w:ascii="仿宋_GB2312" w:hAnsi="仿宋_GB2312" w:eastAsia="仿宋_GB2312" w:cs="仿宋_GB2312"/>
          <w:sz w:val="32"/>
          <w:szCs w:val="32"/>
          <w:lang w:val="en-US" w:eastAsia="zh-CN"/>
        </w:rPr>
        <w:t>增加。</w:t>
      </w:r>
    </w:p>
    <w:p w14:paraId="4BB30A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年度财政拨款支出408.99万元，占本年支出合计的</w:t>
      </w:r>
      <w:r>
        <w:rPr>
          <w:rFonts w:hint="eastAsia" w:ascii="仿宋_GB2312" w:hAnsi="仿宋_GB2312" w:eastAsia="仿宋_GB2312" w:cs="仿宋_GB2312"/>
          <w:sz w:val="32"/>
          <w:szCs w:val="32"/>
          <w:lang w:val="en-US" w:eastAsia="zh-CN"/>
        </w:rPr>
        <w:t>75.73</w:t>
      </w:r>
      <w:r>
        <w:rPr>
          <w:rFonts w:hint="eastAsia" w:ascii="仿宋_GB2312" w:hAnsi="仿宋_GB2312" w:eastAsia="仿宋_GB2312" w:cs="仿宋_GB2312"/>
          <w:sz w:val="32"/>
          <w:szCs w:val="32"/>
        </w:rPr>
        <w:t>%，与上年相比，财政拨款支出增加50.52万元，增长</w:t>
      </w:r>
      <w:r>
        <w:rPr>
          <w:rFonts w:hint="eastAsia" w:ascii="仿宋_GB2312" w:hAnsi="仿宋_GB2312" w:eastAsia="仿宋_GB2312" w:cs="仿宋_GB2312"/>
          <w:sz w:val="32"/>
          <w:szCs w:val="32"/>
          <w:lang w:val="en-US" w:eastAsia="zh-CN"/>
        </w:rPr>
        <w:t>14.09</w:t>
      </w:r>
      <w:r>
        <w:rPr>
          <w:rFonts w:hint="eastAsia" w:ascii="仿宋_GB2312" w:hAnsi="仿宋_GB2312" w:eastAsia="仿宋_GB2312" w:cs="仿宋_GB2312"/>
          <w:sz w:val="32"/>
          <w:szCs w:val="32"/>
        </w:rPr>
        <w:t>%，主要是因为主要是因为其他优抚支出</w:t>
      </w:r>
      <w:r>
        <w:rPr>
          <w:rFonts w:hint="eastAsia" w:ascii="仿宋_GB2312" w:hAnsi="仿宋_GB2312" w:eastAsia="仿宋_GB2312" w:cs="仿宋_GB2312"/>
          <w:sz w:val="32"/>
          <w:szCs w:val="32"/>
          <w:lang w:eastAsia="zh-CN"/>
        </w:rPr>
        <w:t>、其他环境保护管理事务支出</w:t>
      </w:r>
      <w:r>
        <w:rPr>
          <w:rFonts w:hint="eastAsia" w:ascii="仿宋_GB2312" w:hAnsi="仿宋_GB2312" w:eastAsia="仿宋_GB2312" w:cs="仿宋_GB2312"/>
          <w:sz w:val="32"/>
          <w:szCs w:val="32"/>
          <w:lang w:val="en-US" w:eastAsia="zh-CN"/>
        </w:rPr>
        <w:t>增加。</w:t>
      </w:r>
    </w:p>
    <w:p w14:paraId="66C54C8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年度财政拨款支出408.99万元，主要用于以下方面：社会保障和就业支出（类）支出</w:t>
      </w:r>
      <w:r>
        <w:rPr>
          <w:rFonts w:hint="eastAsia" w:ascii="仿宋_GB2312" w:hAnsi="仿宋_GB2312" w:eastAsia="仿宋_GB2312" w:cs="仿宋_GB2312"/>
          <w:sz w:val="32"/>
          <w:szCs w:val="32"/>
          <w:lang w:val="en-US" w:eastAsia="zh-CN"/>
        </w:rPr>
        <w:t>74.66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18.25</w:t>
      </w:r>
      <w:r>
        <w:rPr>
          <w:rFonts w:hint="eastAsia" w:ascii="仿宋_GB2312" w:hAnsi="仿宋_GB2312" w:eastAsia="仿宋_GB2312" w:cs="仿宋_GB2312"/>
          <w:sz w:val="32"/>
          <w:szCs w:val="32"/>
        </w:rPr>
        <w:t>%；卫生健康支出（类）支出</w:t>
      </w:r>
      <w:r>
        <w:rPr>
          <w:rFonts w:hint="eastAsia" w:ascii="宋体" w:hAnsi="宋体" w:eastAsia="宋体" w:cs="Times New Roman"/>
          <w:color w:val="000000"/>
          <w:kern w:val="0"/>
          <w:sz w:val="32"/>
          <w:szCs w:val="24"/>
          <w:lang w:val="en-US" w:eastAsia="zh-CN" w:bidi="ar"/>
        </w:rPr>
        <w:t>13.33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3.26</w:t>
      </w:r>
      <w:r>
        <w:rPr>
          <w:rFonts w:hint="eastAsia" w:ascii="仿宋_GB2312" w:hAnsi="仿宋_GB2312" w:eastAsia="仿宋_GB2312" w:cs="仿宋_GB2312"/>
          <w:sz w:val="32"/>
          <w:szCs w:val="32"/>
        </w:rPr>
        <w:t>%;节能环保支出（类）支出</w:t>
      </w:r>
      <w:r>
        <w:rPr>
          <w:rFonts w:hint="eastAsia" w:ascii="宋体" w:hAnsi="宋体" w:eastAsia="宋体" w:cs="Times New Roman"/>
          <w:color w:val="000000"/>
          <w:kern w:val="0"/>
          <w:sz w:val="32"/>
          <w:szCs w:val="24"/>
          <w:lang w:val="en-US" w:eastAsia="zh-CN" w:bidi="ar"/>
        </w:rPr>
        <w:t>306.39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74.91</w:t>
      </w:r>
      <w:r>
        <w:rPr>
          <w:rFonts w:hint="eastAsia" w:ascii="仿宋_GB2312" w:hAnsi="仿宋_GB2312" w:eastAsia="仿宋_GB2312" w:cs="仿宋_GB2312"/>
          <w:sz w:val="32"/>
          <w:szCs w:val="32"/>
        </w:rPr>
        <w:t>%;住房保障支出（类）支出</w:t>
      </w:r>
      <w:r>
        <w:rPr>
          <w:rFonts w:hint="eastAsia" w:ascii="宋体" w:hAnsi="宋体" w:eastAsia="宋体" w:cs="Times New Roman"/>
          <w:color w:val="000000"/>
          <w:kern w:val="0"/>
          <w:sz w:val="32"/>
          <w:szCs w:val="24"/>
          <w:lang w:val="en-US" w:eastAsia="zh-CN" w:bidi="ar"/>
        </w:rPr>
        <w:t>14.61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3.57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5CDBADF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宋体" w:hAnsi="宋体"/>
          <w:sz w:val="32"/>
          <w:szCs w:val="24"/>
        </w:rPr>
        <w:t>263.22</w:t>
      </w:r>
      <w:r>
        <w:rPr>
          <w:rFonts w:hint="eastAsia" w:ascii="仿宋_GB2312" w:hAnsi="仿宋_GB2312" w:eastAsia="仿宋_GB2312" w:cs="仿宋_GB2312"/>
          <w:sz w:val="32"/>
          <w:szCs w:val="32"/>
        </w:rPr>
        <w:t>万元，支出决算数为408.99万元，完成年初预算的</w:t>
      </w:r>
      <w:r>
        <w:rPr>
          <w:rFonts w:hint="eastAsia" w:ascii="仿宋_GB2312" w:hAnsi="仿宋_GB2312" w:eastAsia="仿宋_GB2312" w:cs="仿宋_GB2312"/>
          <w:sz w:val="32"/>
          <w:szCs w:val="32"/>
          <w:lang w:val="en-US" w:eastAsia="zh-CN"/>
        </w:rPr>
        <w:t>155.38</w:t>
      </w:r>
      <w:r>
        <w:rPr>
          <w:rFonts w:hint="eastAsia" w:ascii="仿宋_GB2312" w:hAnsi="仿宋_GB2312" w:eastAsia="仿宋_GB2312" w:cs="仿宋_GB2312"/>
          <w:sz w:val="32"/>
          <w:szCs w:val="32"/>
        </w:rPr>
        <w:t>%，其中：</w:t>
      </w:r>
    </w:p>
    <w:p w14:paraId="237A4D6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1、社会保障和就业支出（类）行政事业单位养老支出（款）行政单位离退休（项）。</w:t>
      </w:r>
    </w:p>
    <w:p w14:paraId="7523608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宋体" w:hAnsi="宋体"/>
          <w:sz w:val="32"/>
          <w:szCs w:val="24"/>
        </w:rPr>
        <w:t>22.08</w:t>
      </w:r>
      <w:r>
        <w:rPr>
          <w:rFonts w:hint="eastAsia" w:ascii="仿宋_GB2312" w:hAnsi="仿宋_GB2312" w:eastAsia="仿宋_GB2312" w:cs="仿宋_GB2312"/>
          <w:sz w:val="32"/>
          <w:szCs w:val="32"/>
        </w:rPr>
        <w:t>万元，支出决算为22.08万元，完成年初预算的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严格按照预算控制支出。</w:t>
      </w:r>
    </w:p>
    <w:p w14:paraId="1BCBF95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、社会保障和就业支出（类）行政事业单位养老支出（款）机关事业单位基本养老保险缴费支出（项）。</w:t>
      </w:r>
    </w:p>
    <w:p w14:paraId="3B66FC8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宋体" w:hAnsi="宋体"/>
          <w:sz w:val="32"/>
          <w:szCs w:val="24"/>
        </w:rPr>
        <w:t>20.25</w:t>
      </w:r>
      <w:r>
        <w:rPr>
          <w:rFonts w:hint="eastAsia" w:ascii="仿宋_GB2312" w:hAnsi="仿宋_GB2312" w:eastAsia="仿宋_GB2312" w:cs="仿宋_GB2312"/>
          <w:sz w:val="32"/>
          <w:szCs w:val="32"/>
        </w:rPr>
        <w:t>万元，支出决算为20.25万元，完成年初预算的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严格按照预算执行。</w:t>
      </w:r>
    </w:p>
    <w:p w14:paraId="399A66D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、社会保障和就业支出（类）抚恤（款）其他优抚支出（项）。</w:t>
      </w:r>
    </w:p>
    <w:p w14:paraId="4A74190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宋体" w:hAnsi="宋体" w:eastAsia="仿宋_GB2312"/>
          <w:sz w:val="32"/>
          <w:szCs w:val="24"/>
          <w:lang w:val="en-US" w:eastAsia="zh-CN"/>
        </w:rPr>
        <w:t>0</w:t>
      </w:r>
      <w:r>
        <w:rPr>
          <w:rFonts w:hint="eastAsia" w:ascii="仿宋_GB2312" w:hAnsi="仿宋_GB2312" w:eastAsia="仿宋_GB2312" w:cs="仿宋_GB2312"/>
          <w:sz w:val="32"/>
          <w:szCs w:val="32"/>
        </w:rPr>
        <w:t>万元，支出决算为30.73万元，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年初预算数的主要原因是：其他优抚支出</w:t>
      </w:r>
      <w:r>
        <w:rPr>
          <w:rFonts w:hint="eastAsia" w:ascii="仿宋_GB2312" w:hAnsi="仿宋_GB2312" w:eastAsia="仿宋_GB2312" w:cs="仿宋_GB2312"/>
          <w:sz w:val="32"/>
          <w:szCs w:val="32"/>
          <w:lang w:eastAsia="zh-CN"/>
        </w:rPr>
        <w:t>年初未做预算</w:t>
      </w:r>
      <w:r>
        <w:rPr>
          <w:rFonts w:hint="eastAsia" w:ascii="仿宋_GB2312" w:hAnsi="仿宋_GB2312" w:eastAsia="仿宋_GB2312" w:cs="仿宋_GB2312"/>
          <w:sz w:val="32"/>
          <w:szCs w:val="32"/>
          <w:lang w:val="en-US" w:eastAsia="zh-CN"/>
        </w:rPr>
        <w:t>。</w:t>
      </w:r>
    </w:p>
    <w:p w14:paraId="3239AE1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、社会保障和就业支出（类）残疾人事业（款）其他残疾人事业支出（项）。</w:t>
      </w:r>
    </w:p>
    <w:p w14:paraId="318BF20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宋体" w:hAnsi="宋体" w:eastAsia="仿宋_GB2312"/>
          <w:sz w:val="32"/>
          <w:szCs w:val="24"/>
          <w:lang w:val="en-US" w:eastAsia="zh-CN"/>
        </w:rPr>
        <w:t>1.6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严格按照预算执行。</w:t>
      </w:r>
    </w:p>
    <w:p w14:paraId="3443D2AF">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、卫生健康支出（类）行政事业单位医疗（款）行政单位医疗（项）。</w:t>
      </w:r>
    </w:p>
    <w:p w14:paraId="68C02C81">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年初预算为13.33万元，支出决算为13.33万元，完成年初预算的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val="en-US" w:eastAsia="zh-CN"/>
        </w:rPr>
        <w:t>严格按照预算执行。</w:t>
      </w:r>
    </w:p>
    <w:p w14:paraId="69099974">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、卫生健康支出（类）行政事业单位医疗（款）公务员医疗补助（项）。</w:t>
      </w:r>
    </w:p>
    <w:p w14:paraId="2CB69388">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3.64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其他环境监测与监察支出。</w:t>
      </w:r>
    </w:p>
    <w:p w14:paraId="785CF980">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、节能环保支出（类）环境保护管理事务（款）行政运行（项）。</w:t>
      </w:r>
    </w:p>
    <w:p w14:paraId="4EB88436">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年初预算为187.71万元，支出决算为187.93万元，完成年初预算的</w:t>
      </w:r>
      <w:r>
        <w:rPr>
          <w:rFonts w:hint="eastAsia" w:ascii="仿宋_GB2312" w:hAnsi="仿宋_GB2312" w:eastAsia="仿宋_GB2312" w:cs="仿宋_GB2312"/>
          <w:sz w:val="32"/>
          <w:szCs w:val="32"/>
          <w:lang w:val="en-US" w:eastAsia="zh-CN"/>
        </w:rPr>
        <w:t>100.12</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部分</w:t>
      </w:r>
      <w:r>
        <w:rPr>
          <w:rFonts w:hint="eastAsia" w:ascii="仿宋_GB2312" w:hAnsi="仿宋_GB2312" w:eastAsia="仿宋_GB2312" w:cs="仿宋_GB2312"/>
          <w:sz w:val="32"/>
          <w:szCs w:val="32"/>
        </w:rPr>
        <w:t>年中追加项目支出</w:t>
      </w:r>
      <w:r>
        <w:rPr>
          <w:rFonts w:hint="eastAsia" w:ascii="仿宋_GB2312" w:hAnsi="仿宋_GB2312" w:eastAsia="仿宋_GB2312" w:cs="仿宋_GB2312"/>
          <w:sz w:val="32"/>
          <w:szCs w:val="32"/>
          <w:lang w:val="en-US" w:eastAsia="zh-CN"/>
        </w:rPr>
        <w:t>指标。</w:t>
      </w:r>
    </w:p>
    <w:p w14:paraId="63406949">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、节能环保支出（类）环境保护管理事务（款）其他环境保护管理事务支出（项）。</w:t>
      </w:r>
    </w:p>
    <w:p w14:paraId="29D9CDD4">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万元，支出决算为8.61万元，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于预算数为0，无法计算完成年初预算的百分比，决算数大于年初预算数的主要原因是：其他环境保护管理事务支出</w:t>
      </w:r>
      <w:r>
        <w:rPr>
          <w:rFonts w:hint="eastAsia" w:ascii="仿宋_GB2312" w:hAnsi="仿宋_GB2312" w:eastAsia="仿宋_GB2312" w:cs="仿宋_GB2312"/>
          <w:sz w:val="32"/>
          <w:szCs w:val="32"/>
          <w:lang w:eastAsia="zh-CN"/>
        </w:rPr>
        <w:t>年初未做预算。</w:t>
      </w:r>
    </w:p>
    <w:p w14:paraId="2439D781">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节能环保支出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环境监测与监察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其他环境监测与监察支出</w:t>
      </w:r>
      <w:r>
        <w:rPr>
          <w:rFonts w:hint="eastAsia" w:ascii="仿宋_GB2312" w:hAnsi="仿宋_GB2312" w:eastAsia="仿宋_GB2312" w:cs="仿宋_GB2312"/>
          <w:sz w:val="32"/>
          <w:szCs w:val="32"/>
        </w:rPr>
        <w:t>（项）。</w:t>
      </w:r>
    </w:p>
    <w:p w14:paraId="5C301DA5">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万元，支出决算为3.54万元，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于预算数为0，无法计算完成年初预算的百分比，决算数大于年初预算数的主要原因是：</w:t>
      </w:r>
      <w:r>
        <w:rPr>
          <w:rFonts w:hint="eastAsia" w:ascii="仿宋_GB2312" w:hAnsi="仿宋_GB2312" w:eastAsia="仿宋_GB2312" w:cs="仿宋_GB2312"/>
          <w:sz w:val="32"/>
          <w:szCs w:val="32"/>
          <w:lang w:val="en-US" w:eastAsia="zh-CN"/>
        </w:rPr>
        <w:t>他环境监测与监察支出</w:t>
      </w:r>
      <w:r>
        <w:rPr>
          <w:rFonts w:hint="eastAsia" w:ascii="仿宋_GB2312" w:hAnsi="仿宋_GB2312" w:eastAsia="仿宋_GB2312" w:cs="仿宋_GB2312"/>
          <w:sz w:val="32"/>
          <w:szCs w:val="32"/>
          <w:lang w:eastAsia="zh-CN"/>
        </w:rPr>
        <w:t>年初未做预算。</w:t>
      </w:r>
    </w:p>
    <w:p w14:paraId="5940FDD5">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节能环保支出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污染防治</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大气</w:t>
      </w:r>
      <w:r>
        <w:rPr>
          <w:rFonts w:hint="eastAsia" w:ascii="仿宋_GB2312" w:hAnsi="仿宋_GB2312" w:eastAsia="仿宋_GB2312" w:cs="仿宋_GB2312"/>
          <w:sz w:val="32"/>
          <w:szCs w:val="32"/>
        </w:rPr>
        <w:t>（项）。</w:t>
      </w:r>
    </w:p>
    <w:p w14:paraId="3DD5DFBB">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于预算数为0，无法计算完成年初预算的百分比，决算数大于年初预算数的主要原因是：</w:t>
      </w:r>
      <w:r>
        <w:rPr>
          <w:rFonts w:hint="eastAsia" w:ascii="仿宋_GB2312" w:hAnsi="仿宋_GB2312" w:eastAsia="仿宋_GB2312" w:cs="仿宋_GB2312"/>
          <w:sz w:val="32"/>
          <w:szCs w:val="32"/>
          <w:lang w:val="en-US" w:eastAsia="zh-CN"/>
        </w:rPr>
        <w:t>大气污染防治</w:t>
      </w:r>
      <w:r>
        <w:rPr>
          <w:rFonts w:hint="eastAsia" w:ascii="仿宋_GB2312" w:hAnsi="仿宋_GB2312" w:eastAsia="仿宋_GB2312" w:cs="仿宋_GB2312"/>
          <w:sz w:val="32"/>
          <w:szCs w:val="32"/>
          <w:lang w:eastAsia="zh-CN"/>
        </w:rPr>
        <w:t>年初未做预算。</w:t>
      </w:r>
    </w:p>
    <w:p w14:paraId="3EC18434">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节能环保支出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污染防治</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水体</w:t>
      </w:r>
      <w:r>
        <w:rPr>
          <w:rFonts w:hint="eastAsia" w:ascii="仿宋_GB2312" w:hAnsi="仿宋_GB2312" w:eastAsia="仿宋_GB2312" w:cs="仿宋_GB2312"/>
          <w:sz w:val="32"/>
          <w:szCs w:val="32"/>
        </w:rPr>
        <w:t>（项）。</w:t>
      </w:r>
    </w:p>
    <w:p w14:paraId="26BA648D">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于预算数为0，无法计算完成年初预算的百分比，决算数大于年初预算数的主要原因是：</w:t>
      </w:r>
      <w:r>
        <w:rPr>
          <w:rFonts w:hint="eastAsia" w:ascii="仿宋_GB2312" w:hAnsi="仿宋_GB2312" w:eastAsia="仿宋_GB2312" w:cs="仿宋_GB2312"/>
          <w:sz w:val="32"/>
          <w:szCs w:val="32"/>
          <w:lang w:val="en-US" w:eastAsia="zh-CN"/>
        </w:rPr>
        <w:t>水体污染防治</w:t>
      </w:r>
      <w:r>
        <w:rPr>
          <w:rFonts w:hint="eastAsia" w:ascii="仿宋_GB2312" w:hAnsi="仿宋_GB2312" w:eastAsia="仿宋_GB2312" w:cs="仿宋_GB2312"/>
          <w:sz w:val="32"/>
          <w:szCs w:val="32"/>
          <w:lang w:eastAsia="zh-CN"/>
        </w:rPr>
        <w:t>年初未做预算。</w:t>
      </w:r>
    </w:p>
    <w:p w14:paraId="53E582EB">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节能环保支出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自然生态保护</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农村环境保护</w:t>
      </w:r>
      <w:r>
        <w:rPr>
          <w:rFonts w:hint="eastAsia" w:ascii="仿宋_GB2312" w:hAnsi="仿宋_GB2312" w:eastAsia="仿宋_GB2312" w:cs="仿宋_GB2312"/>
          <w:sz w:val="32"/>
          <w:szCs w:val="32"/>
        </w:rPr>
        <w:t>（项）。</w:t>
      </w:r>
    </w:p>
    <w:p w14:paraId="28555767">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于预算数为0，无法计算完成年初预算的百分比，决算数大于年初预算数的主要原因是：</w:t>
      </w:r>
      <w:r>
        <w:rPr>
          <w:rFonts w:hint="eastAsia" w:ascii="仿宋_GB2312" w:hAnsi="仿宋_GB2312" w:eastAsia="仿宋_GB2312" w:cs="仿宋_GB2312"/>
          <w:sz w:val="32"/>
          <w:szCs w:val="32"/>
          <w:lang w:val="en-US" w:eastAsia="zh-CN"/>
        </w:rPr>
        <w:t>农村环境保护</w:t>
      </w:r>
      <w:r>
        <w:rPr>
          <w:rFonts w:hint="eastAsia" w:ascii="仿宋_GB2312" w:hAnsi="仿宋_GB2312" w:eastAsia="仿宋_GB2312" w:cs="仿宋_GB2312"/>
          <w:sz w:val="32"/>
          <w:szCs w:val="32"/>
          <w:lang w:eastAsia="zh-CN"/>
        </w:rPr>
        <w:t>年初未做预算。</w:t>
      </w:r>
    </w:p>
    <w:p w14:paraId="4E9B8403">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节能环保支出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污染减排</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生态环境执法监察</w:t>
      </w:r>
      <w:r>
        <w:rPr>
          <w:rFonts w:hint="eastAsia" w:ascii="仿宋_GB2312" w:hAnsi="仿宋_GB2312" w:eastAsia="仿宋_GB2312" w:cs="仿宋_GB2312"/>
          <w:sz w:val="32"/>
          <w:szCs w:val="32"/>
        </w:rPr>
        <w:t>（项）。</w:t>
      </w:r>
    </w:p>
    <w:p w14:paraId="1262B58E">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66.23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于预算数为0，无法计算完成年初预算的百分比，决算数大于年初预算数的主要原因是：</w:t>
      </w:r>
      <w:r>
        <w:rPr>
          <w:rFonts w:hint="eastAsia" w:ascii="仿宋_GB2312" w:hAnsi="仿宋_GB2312" w:eastAsia="仿宋_GB2312" w:cs="仿宋_GB2312"/>
          <w:sz w:val="32"/>
          <w:szCs w:val="32"/>
          <w:lang w:val="en-US" w:eastAsia="zh-CN"/>
        </w:rPr>
        <w:t>生态环境执法监察</w:t>
      </w:r>
      <w:r>
        <w:rPr>
          <w:rFonts w:hint="eastAsia" w:ascii="仿宋_GB2312" w:hAnsi="仿宋_GB2312" w:eastAsia="仿宋_GB2312" w:cs="仿宋_GB2312"/>
          <w:sz w:val="32"/>
          <w:szCs w:val="32"/>
          <w:lang w:eastAsia="zh-CN"/>
        </w:rPr>
        <w:t>年初未做预算。</w:t>
      </w:r>
    </w:p>
    <w:p w14:paraId="7F13DB61">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节能环保支出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其他节能环保支出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其他节能环保支出</w:t>
      </w:r>
      <w:r>
        <w:rPr>
          <w:rFonts w:hint="eastAsia" w:ascii="仿宋_GB2312" w:hAnsi="仿宋_GB2312" w:eastAsia="仿宋_GB2312" w:cs="仿宋_GB2312"/>
          <w:sz w:val="32"/>
          <w:szCs w:val="32"/>
        </w:rPr>
        <w:t>（项）。</w:t>
      </w:r>
    </w:p>
    <w:p w14:paraId="78597D05">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万元，支出决算为16.08万元，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于预算数为0，无法计算完成年初预算的百分比，决算数大于年初预算数的主要原因是：</w:t>
      </w:r>
      <w:r>
        <w:rPr>
          <w:rFonts w:hint="eastAsia" w:ascii="仿宋_GB2312" w:hAnsi="仿宋_GB2312" w:eastAsia="仿宋_GB2312" w:cs="仿宋_GB2312"/>
          <w:sz w:val="32"/>
          <w:szCs w:val="32"/>
          <w:lang w:val="en-US" w:eastAsia="zh-CN"/>
        </w:rPr>
        <w:t>其他节能环保支出</w:t>
      </w:r>
      <w:r>
        <w:rPr>
          <w:rFonts w:hint="eastAsia" w:ascii="仿宋_GB2312" w:hAnsi="仿宋_GB2312" w:eastAsia="仿宋_GB2312" w:cs="仿宋_GB2312"/>
          <w:sz w:val="32"/>
          <w:szCs w:val="32"/>
          <w:lang w:eastAsia="zh-CN"/>
        </w:rPr>
        <w:t>年初未做预算。</w:t>
      </w:r>
    </w:p>
    <w:p w14:paraId="42F1AE01">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住房改革支出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住房公积金</w:t>
      </w:r>
      <w:r>
        <w:rPr>
          <w:rFonts w:hint="eastAsia" w:ascii="仿宋_GB2312" w:hAnsi="仿宋_GB2312" w:eastAsia="仿宋_GB2312" w:cs="仿宋_GB2312"/>
          <w:sz w:val="32"/>
          <w:szCs w:val="32"/>
        </w:rPr>
        <w:t>（项）。</w:t>
      </w:r>
    </w:p>
    <w:p w14:paraId="14682E78">
      <w:pPr>
        <w:pStyle w:val="14"/>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年初预算为14.61万元，支出决算为14.61万元，完成年初预算的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严格按照预算执行</w:t>
      </w:r>
      <w:r>
        <w:rPr>
          <w:rFonts w:hint="eastAsia" w:ascii="仿宋_GB2312" w:hAnsi="仿宋_GB2312" w:eastAsia="仿宋_GB2312" w:cs="仿宋_GB2312"/>
          <w:sz w:val="32"/>
          <w:szCs w:val="32"/>
          <w:lang w:eastAsia="zh-CN"/>
        </w:rPr>
        <w:t>。</w:t>
      </w:r>
    </w:p>
    <w:p w14:paraId="373E8BA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财政拨款基本支出324.76万元，其中：</w:t>
      </w:r>
    </w:p>
    <w:p w14:paraId="02BCF71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279.07万元，占基本支出的</w:t>
      </w:r>
      <w:r>
        <w:rPr>
          <w:rFonts w:hint="eastAsia" w:ascii="仿宋_GB2312" w:hAnsi="仿宋_GB2312" w:eastAsia="仿宋_GB2312" w:cs="仿宋_GB2312"/>
          <w:sz w:val="32"/>
          <w:szCs w:val="32"/>
          <w:lang w:val="en-US" w:eastAsia="zh-CN"/>
        </w:rPr>
        <w:t>85.93</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、机关事业单位基本养老保险缴费、职工基本医疗保险缴费、其他社会保障缴费、住房公积金、医疗费、退休费、抚恤金、生活补助、医疗费补助、奖励金、其他对个人和家庭的补助。</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45.69万元，占基本支出的</w:t>
      </w:r>
      <w:r>
        <w:rPr>
          <w:rFonts w:hint="eastAsia" w:ascii="仿宋_GB2312" w:hAnsi="仿宋_GB2312" w:eastAsia="仿宋_GB2312" w:cs="仿宋_GB2312"/>
          <w:sz w:val="32"/>
          <w:szCs w:val="32"/>
          <w:lang w:val="en-US" w:eastAsia="zh-CN"/>
        </w:rPr>
        <w:t>14.07</w:t>
      </w:r>
      <w:r>
        <w:rPr>
          <w:rFonts w:hint="eastAsia" w:ascii="仿宋_GB2312" w:hAnsi="仿宋_GB2312" w:eastAsia="仿宋_GB2312" w:cs="仿宋_GB2312"/>
          <w:sz w:val="32"/>
          <w:szCs w:val="32"/>
        </w:rPr>
        <w:t>%，主要包括办公费、印刷费、咨询费、水费</w:t>
      </w:r>
      <w:r>
        <w:rPr>
          <w:rFonts w:hint="eastAsia" w:ascii="仿宋_GB2312" w:hAnsi="仿宋_GB2312" w:eastAsia="仿宋_GB2312" w:cs="仿宋_GB2312"/>
          <w:sz w:val="32"/>
          <w:szCs w:val="32"/>
          <w:lang w:eastAsia="zh-CN"/>
        </w:rPr>
        <w:t>、电费、物业管理费、差旅费、培训费、劳务费、工会经费、福利费、公务用车运行维护费、其他交通费用、其他商品和服务支出</w:t>
      </w:r>
      <w:r>
        <w:rPr>
          <w:rFonts w:hint="eastAsia" w:ascii="仿宋_GB2312" w:hAnsi="仿宋_GB2312" w:eastAsia="仿宋_GB2312" w:cs="仿宋_GB2312"/>
          <w:sz w:val="32"/>
          <w:szCs w:val="32"/>
        </w:rPr>
        <w:t>。</w:t>
      </w:r>
    </w:p>
    <w:p w14:paraId="238B27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highlight w:val="none"/>
        </w:rPr>
        <w:t xml:space="preserve"> 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黑体" w:hAnsi="黑体" w:eastAsia="黑体" w:cs="黑体"/>
          <w:b w:val="0"/>
          <w:bCs/>
          <w:color w:val="000000"/>
          <w:kern w:val="0"/>
          <w:sz w:val="32"/>
          <w:szCs w:val="32"/>
          <w:highlight w:val="none"/>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highlight w:val="yellow"/>
        </w:rPr>
      </w:pPr>
      <w:r>
        <w:rPr>
          <w:rFonts w:hint="eastAsia" w:ascii="Times New Roman" w:hAnsi="Times New Roman" w:eastAsia="仿宋_GB2312"/>
          <w:sz w:val="32"/>
          <w:szCs w:val="32"/>
          <w:highlight w:val="none"/>
          <w:lang w:val="en-US" w:eastAsia="zh-CN"/>
        </w:rPr>
        <w:t>2024年度国有资本经营预算财政拨款收入0万元；年初结转和结余0万；支出0万元，其中：基本支出0万元，项目支出0万元；年末结转和结余0万元。</w:t>
      </w:r>
    </w:p>
    <w:p w14:paraId="5876C25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4"/>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5.00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4.35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87.00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0.85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24.29</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val="en-US" w:eastAsia="zh-CN"/>
        </w:rPr>
        <w:t>例行节约</w:t>
      </w:r>
      <w:r>
        <w:rPr>
          <w:rFonts w:hint="eastAsia" w:ascii="仿宋_GB2312" w:hAnsi="仿宋_GB2312" w:eastAsia="仿宋_GB2312" w:cs="仿宋_GB2312"/>
          <w:sz w:val="32"/>
          <w:szCs w:val="32"/>
          <w:lang w:eastAsia="zh-CN"/>
        </w:rPr>
        <w:t>，严格控制“三公”经费</w:t>
      </w:r>
      <w:r>
        <w:rPr>
          <w:rFonts w:ascii="Times New Roman" w:hAnsi="Times New Roman" w:eastAsia="仿宋_GB2312" w:cs="Times New Roman"/>
          <w:sz w:val="32"/>
          <w:szCs w:val="32"/>
        </w:rPr>
        <w:t>。决算数大于上年数的主要原因是</w:t>
      </w:r>
      <w:r>
        <w:rPr>
          <w:rFonts w:hint="eastAsia" w:ascii="仿宋_GB2312" w:hAnsi="仿宋_GB2312" w:eastAsia="仿宋_GB2312" w:cs="仿宋_GB2312"/>
          <w:sz w:val="32"/>
          <w:szCs w:val="32"/>
          <w:lang w:eastAsia="zh-CN"/>
        </w:rPr>
        <w:t>公务用车运行维护费用增加</w:t>
      </w:r>
      <w:r>
        <w:rPr>
          <w:rFonts w:ascii="Times New Roman" w:hAnsi="Times New Roman" w:eastAsia="仿宋_GB2312" w:cs="Times New Roman"/>
          <w:sz w:val="32"/>
          <w:szCs w:val="32"/>
        </w:rPr>
        <w:t>。</w:t>
      </w:r>
    </w:p>
    <w:p w14:paraId="352D03A7">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522D7BB4">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5.00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4.35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87.00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0.85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24.29</w:t>
      </w:r>
      <w:r>
        <w:rPr>
          <w:rFonts w:ascii="Times New Roman" w:hAnsi="Times New Roman" w:eastAsia="仿宋_GB2312" w:cs="Times New Roman"/>
          <w:sz w:val="32"/>
          <w:szCs w:val="32"/>
        </w:rPr>
        <w:t>%。其中：</w:t>
      </w:r>
    </w:p>
    <w:p w14:paraId="7BFE6CA4">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D422951">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5.00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4.35</w:t>
      </w:r>
      <w:r>
        <w:rPr>
          <w:rFonts w:ascii="Times New Roman" w:hAnsi="Times New Roman" w:eastAsia="仿宋_GB2312" w:cs="Times New Roman"/>
          <w:sz w:val="32"/>
          <w:szCs w:val="32"/>
        </w:rPr>
        <w:t>万元，</w:t>
      </w:r>
    </w:p>
    <w:p w14:paraId="75A272CE">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rPr>
        <w:t>公执法车</w:t>
      </w:r>
      <w:r>
        <w:rPr>
          <w:rFonts w:hint="eastAsia" w:ascii="Times New Roman" w:hAnsi="Times New Roman" w:eastAsia="仿宋_GB2312" w:cs="Times New Roman"/>
          <w:sz w:val="32"/>
          <w:szCs w:val="32"/>
          <w:lang w:eastAsia="zh-CN"/>
        </w:rPr>
        <w:t>加油</w:t>
      </w:r>
      <w:r>
        <w:rPr>
          <w:rFonts w:hint="eastAsia" w:ascii="Times New Roman" w:hAnsi="Times New Roman" w:eastAsia="仿宋_GB2312" w:cs="Times New Roman"/>
          <w:sz w:val="32"/>
          <w:szCs w:val="32"/>
        </w:rPr>
        <w:t>、维修</w:t>
      </w:r>
      <w:r>
        <w:rPr>
          <w:rFonts w:hint="eastAsia" w:ascii="Times New Roman" w:hAnsi="Times New Roman" w:eastAsia="仿宋_GB2312" w:cs="Times New Roman"/>
          <w:sz w:val="32"/>
          <w:szCs w:val="32"/>
          <w:lang w:eastAsia="zh-CN"/>
        </w:rPr>
        <w:t>、保险</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87.00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0.85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24.29</w:t>
      </w:r>
      <w:r>
        <w:rPr>
          <w:rFonts w:ascii="Times New Roman" w:hAnsi="Times New Roman" w:eastAsia="仿宋_GB2312" w:cs="Times New Roman"/>
          <w:sz w:val="32"/>
          <w:szCs w:val="32"/>
        </w:rPr>
        <w:t>%。决算数大于（小于）上年数的主要原因是</w:t>
      </w:r>
      <w:r>
        <w:rPr>
          <w:rFonts w:hint="eastAsia" w:ascii="Times New Roman" w:hAnsi="Times New Roman" w:eastAsia="仿宋_GB2312" w:cs="Times New Roman"/>
          <w:sz w:val="32"/>
          <w:szCs w:val="32"/>
          <w:lang w:eastAsia="zh-CN"/>
        </w:rPr>
        <w:t>公务用车运行维护费用增加</w:t>
      </w:r>
      <w:r>
        <w:rPr>
          <w:rFonts w:ascii="Times New Roman" w:hAnsi="Times New Roman" w:eastAsia="仿宋_GB2312" w:cs="Times New Roman"/>
          <w:sz w:val="32"/>
          <w:szCs w:val="32"/>
        </w:rPr>
        <w:t>。截止</w:t>
      </w:r>
      <w:r>
        <w:rPr>
          <w:rFonts w:hint="eastAsia" w:ascii="Times New Roman" w:hAnsi="Times New Roman" w:eastAsia="仿宋_GB2312" w:cs="Times New Roman"/>
          <w:sz w:val="32"/>
          <w:szCs w:val="32"/>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039328FA">
      <w:pPr>
        <w:pStyle w:val="14"/>
        <w:overflowPunct w:val="0"/>
        <w:autoSpaceDE/>
        <w:autoSpaceDN/>
        <w:spacing w:line="600" w:lineRule="exact"/>
        <w:ind w:firstLine="640" w:firstLineChars="200"/>
        <w:jc w:val="both"/>
        <w:rPr>
          <w:rFonts w:hint="eastAsia" w:ascii="Times New Roman" w:hAnsi="Times New Roman" w:eastAsia="仿宋_GB2312"/>
          <w:b/>
          <w:color w:val="auto"/>
          <w:sz w:val="32"/>
          <w:szCs w:val="32"/>
          <w:lang w:eastAsia="zh-CN"/>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 xml:space="preserve"> 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决算数等于预算数，主要原因是严格执行中央八项规定；与上年一致，无增减变动，主要原因是按有关政策厉行节约，严控公务接待支出。</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3D06ACE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45.69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比上年决算数增加</w:t>
      </w:r>
      <w:r>
        <w:rPr>
          <w:rFonts w:hint="eastAsia" w:ascii="仿宋_GB2312" w:hAnsi="仿宋_GB2312" w:eastAsia="仿宋_GB2312" w:cs="仿宋_GB2312"/>
          <w:sz w:val="32"/>
          <w:szCs w:val="32"/>
          <w:highlight w:val="none"/>
          <w:lang w:val="en-US" w:eastAsia="zh-CN"/>
        </w:rPr>
        <w:t>1.15</w:t>
      </w:r>
      <w:r>
        <w:rPr>
          <w:rFonts w:hint="eastAsia" w:ascii="仿宋_GB2312" w:hAnsi="仿宋_GB2312" w:eastAsia="仿宋_GB2312" w:cs="仿宋_GB2312"/>
          <w:sz w:val="32"/>
          <w:szCs w:val="32"/>
          <w:highlight w:val="none"/>
        </w:rPr>
        <w:t xml:space="preserve"> 万元，增长</w:t>
      </w:r>
      <w:r>
        <w:rPr>
          <w:rFonts w:hint="eastAsia" w:ascii="仿宋_GB2312" w:hAnsi="仿宋_GB2312" w:eastAsia="仿宋_GB2312" w:cs="仿宋_GB2312"/>
          <w:sz w:val="32"/>
          <w:szCs w:val="32"/>
          <w:highlight w:val="none"/>
          <w:lang w:val="en-US" w:eastAsia="zh-CN"/>
        </w:rPr>
        <w:t>2.58</w:t>
      </w:r>
      <w:r>
        <w:rPr>
          <w:rFonts w:hint="eastAsia" w:ascii="仿宋_GB2312" w:hAnsi="仿宋_GB2312" w:eastAsia="仿宋_GB2312" w:cs="仿宋_GB2312"/>
          <w:sz w:val="32"/>
          <w:szCs w:val="32"/>
          <w:highlight w:val="none"/>
        </w:rPr>
        <w:t>%。主要原因是：电费</w:t>
      </w:r>
      <w:r>
        <w:rPr>
          <w:rFonts w:hint="eastAsia" w:ascii="仿宋_GB2312" w:hAnsi="仿宋_GB2312" w:eastAsia="仿宋_GB2312" w:cs="仿宋_GB2312"/>
          <w:sz w:val="32"/>
          <w:szCs w:val="32"/>
          <w:highlight w:val="none"/>
          <w:lang w:val="en-US" w:eastAsia="zh-CN"/>
        </w:rPr>
        <w:t>增加。</w:t>
      </w:r>
    </w:p>
    <w:p w14:paraId="39684EF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4"/>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w:t>
      </w:r>
      <w:r>
        <w:rPr>
          <w:rFonts w:hint="eastAsia" w:ascii="仿宋_GB2312" w:hAnsi="仿宋_GB2312" w:eastAsia="仿宋_GB2312" w:cs="仿宋_GB2312"/>
          <w:color w:val="000000"/>
          <w:kern w:val="0"/>
          <w:sz w:val="32"/>
          <w:szCs w:val="32"/>
          <w:lang w:val="en-US" w:eastAsia="zh-CN" w:bidi="ar-SA"/>
        </w:rPr>
        <w:t>，本单位无会议费的预算和支出决算数。</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培训费年初预算0.00万元，支出决算为0.26万元，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w:t>
      </w:r>
      <w:r>
        <w:rPr>
          <w:rFonts w:hint="eastAsia" w:ascii="仿宋_GB2312" w:hAnsi="仿宋_GB2312" w:eastAsia="仿宋_GB2312" w:cs="仿宋_GB2312"/>
          <w:color w:val="000000"/>
          <w:kern w:val="0"/>
          <w:sz w:val="32"/>
          <w:szCs w:val="32"/>
          <w:lang w:val="en-US" w:eastAsia="zh-CN" w:bidi="ar-SA"/>
        </w:rPr>
        <w:t>用于开展人员培训1次，人数2人，内容为新录入公务员初任培训。</w:t>
      </w:r>
    </w:p>
    <w:p w14:paraId="39C2EAB5">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52D0BE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21.75</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21.75</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21.75</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21.75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，工程采购授予中小企业合同金额占工程支出金额的</w:t>
      </w:r>
      <w:r>
        <w:rPr>
          <w:rFonts w:hint="eastAsia" w:ascii="仿宋_GB2312" w:hAnsi="仿宋_GB2312" w:eastAsia="仿宋_GB2312" w:cs="仿宋_GB2312"/>
          <w:sz w:val="32"/>
          <w:szCs w:val="32"/>
          <w:lang w:eastAsia="zh-CN"/>
        </w:rPr>
        <w:t>比重</w:t>
      </w:r>
      <w:r>
        <w:rPr>
          <w:rFonts w:hint="eastAsia" w:ascii="仿宋_GB2312" w:hAnsi="仿宋_GB2312" w:eastAsia="仿宋_GB2312" w:cs="仿宋_GB2312"/>
          <w:sz w:val="32"/>
          <w:szCs w:val="32"/>
        </w:rPr>
        <w:t>，服务采购授予中小企业合同金额占服务支出金额的</w:t>
      </w:r>
      <w:r>
        <w:rPr>
          <w:rFonts w:hint="eastAsia" w:ascii="仿宋_GB2312" w:hAnsi="仿宋_GB2312" w:eastAsia="仿宋_GB2312" w:cs="仿宋_GB2312"/>
          <w:sz w:val="32"/>
          <w:szCs w:val="32"/>
          <w:lang w:eastAsia="zh-CN"/>
        </w:rPr>
        <w:t>比重，由于以上各项合同金额为</w:t>
      </w:r>
      <w:r>
        <w:rPr>
          <w:rFonts w:hint="eastAsia" w:ascii="仿宋_GB2312" w:hAnsi="仿宋_GB2312" w:eastAsia="仿宋_GB2312" w:cs="仿宋_GB2312"/>
          <w:sz w:val="32"/>
          <w:szCs w:val="32"/>
          <w:lang w:val="en-US" w:eastAsia="zh-CN"/>
        </w:rPr>
        <w:t>0，故无法计算各项占比</w:t>
      </w:r>
      <w:r>
        <w:rPr>
          <w:rFonts w:hint="eastAsia" w:ascii="仿宋_GB2312" w:hAnsi="仿宋_GB2312" w:eastAsia="仿宋_GB2312" w:cs="仿宋_GB2312"/>
          <w:sz w:val="32"/>
          <w:szCs w:val="32"/>
        </w:rPr>
        <w:t>。</w:t>
      </w:r>
    </w:p>
    <w:p w14:paraId="246A0DF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044E38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辆，其他用车主要是1辆，其他用车主要是用于机要通信和应急保障之外公务用途的车辆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59.88</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59.88</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13.20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 xml:space="preserve"> 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 xml:space="preserve"> 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w:t>
      </w:r>
      <w:r>
        <w:rPr>
          <w:rFonts w:ascii="Times New Roman" w:hAnsi="Times New Roman" w:eastAsia="仿宋_GB2312" w:cs="Times New Roman"/>
          <w:kern w:val="0"/>
          <w:sz w:val="32"/>
          <w:szCs w:val="32"/>
          <w:highlight w:val="none"/>
        </w:rPr>
        <w:t>。</w:t>
      </w:r>
    </w:p>
    <w:p w14:paraId="69CA5DA3">
      <w:pPr>
        <w:overflowPunct w:val="0"/>
        <w:spacing w:line="600" w:lineRule="exact"/>
        <w:ind w:firstLine="640" w:firstLineChars="200"/>
        <w:rPr>
          <w:rFonts w:hint="eastAsia" w:ascii="Times New Roman" w:hAnsi="Times New Roman" w:eastAsia="仿宋_GB2312" w:cs="Times New Roman"/>
          <w:color w:val="FF0000"/>
          <w:kern w:val="0"/>
          <w:sz w:val="32"/>
          <w:szCs w:val="32"/>
          <w:lang w:val="en-US"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ascii="Times New Roman" w:hAnsi="Times New Roman" w:eastAsia="仿宋_GB2312" w:cs="Times New Roman"/>
          <w:b/>
          <w:bCs/>
          <w:color w:val="auto"/>
          <w:kern w:val="0"/>
          <w:sz w:val="32"/>
          <w:szCs w:val="32"/>
        </w:rPr>
        <w:t>。</w:t>
      </w:r>
      <w:r>
        <w:rPr>
          <w:rFonts w:hint="eastAsia" w:ascii="Times New Roman" w:hAnsi="Times New Roman" w:eastAsia="仿宋_GB2312" w:cs="Times New Roman"/>
          <w:color w:val="auto"/>
          <w:kern w:val="0"/>
          <w:sz w:val="32"/>
          <w:szCs w:val="32"/>
          <w:lang w:val="en-US" w:eastAsia="zh-CN"/>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color w:val="auto"/>
          <w:kern w:val="0"/>
          <w:sz w:val="32"/>
          <w:szCs w:val="32"/>
          <w:lang w:val="en-US" w:eastAsia="zh-CN"/>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525ECD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sz w:val="32"/>
          <w:szCs w:val="32"/>
          <w:lang w:val="en-US"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718.5</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540.03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75.16</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lang w:val="en-US" w:eastAsia="zh-CN"/>
        </w:rPr>
        <w:t>97.52</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仿宋_GB2312" w:eastAsia="仿宋_GB2312"/>
          <w:sz w:val="32"/>
          <w:szCs w:val="32"/>
          <w:lang w:val="en-US" w:eastAsia="zh-CN"/>
        </w:rPr>
        <w:t>我区空气质量优良率89.3%，同比上升2.6%</w:t>
      </w:r>
      <w:r>
        <w:rPr>
          <w:rFonts w:ascii="Times New Roman" w:hAnsi="Times New Roman" w:eastAsia="仿宋_GB2312" w:cs="Times New Roman"/>
          <w:sz w:val="32"/>
          <w:szCs w:val="32"/>
        </w:rPr>
        <w:t>；二是</w:t>
      </w:r>
      <w:r>
        <w:rPr>
          <w:rFonts w:hint="eastAsia" w:ascii="仿宋_GB2312" w:eastAsia="仿宋_GB2312"/>
          <w:sz w:val="32"/>
          <w:szCs w:val="32"/>
          <w:lang w:val="en-US" w:eastAsia="zh-CN"/>
        </w:rPr>
        <w:t>PM</w:t>
      </w:r>
      <w:r>
        <w:rPr>
          <w:rFonts w:hint="eastAsia" w:ascii="仿宋_GB2312" w:eastAsia="仿宋_GB2312"/>
          <w:sz w:val="32"/>
          <w:szCs w:val="32"/>
          <w:vertAlign w:val="subscript"/>
          <w:lang w:val="en-US" w:eastAsia="zh-CN"/>
        </w:rPr>
        <w:t>2.5</w:t>
      </w:r>
      <w:r>
        <w:rPr>
          <w:rFonts w:hint="eastAsia" w:ascii="仿宋_GB2312" w:eastAsia="仿宋_GB2312"/>
          <w:sz w:val="32"/>
          <w:szCs w:val="32"/>
          <w:lang w:val="en-US" w:eastAsia="zh-CN"/>
        </w:rPr>
        <w:t>为30.9微克/立方米，同比下降4%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w:t>
      </w:r>
      <w:r>
        <w:rPr>
          <w:rFonts w:hint="eastAsia" w:ascii="仿宋_GB2312" w:eastAsia="仿宋_GB2312"/>
          <w:sz w:val="32"/>
          <w:szCs w:val="32"/>
          <w:lang w:val="en-US" w:eastAsia="zh-CN"/>
        </w:rPr>
        <w:t>3个国、省考核断面水质总体达标率100%</w:t>
      </w:r>
      <w:r>
        <w:rPr>
          <w:rFonts w:ascii="Times New Roman" w:hAnsi="Times New Roman" w:eastAsia="仿宋_GB2312" w:cs="Times New Roman"/>
          <w:sz w:val="32"/>
          <w:szCs w:val="32"/>
        </w:rPr>
        <w:t>。发现的主要问题及原因：</w:t>
      </w:r>
      <w:r>
        <w:rPr>
          <w:rFonts w:hint="default" w:ascii="仿宋_GB2312" w:hAnsi="仿宋_GB2312" w:eastAsia="仿宋_GB2312" w:cs="仿宋_GB2312"/>
          <w:color w:val="000000"/>
          <w:spacing w:val="0"/>
          <w:kern w:val="0"/>
          <w:position w:val="0"/>
          <w:sz w:val="32"/>
          <w:szCs w:val="32"/>
          <w:lang w:val="en-US" w:eastAsia="zh-CN"/>
        </w:rPr>
        <w:t>一是环保基础设施偏弱。城镇污水收集率有待提高，污水处理厂进水BOD浓度没有达到目标要求，城区仍有少数区域雨污合流，高新区雨水排口、渗水点问题整改进展缓慢等。二是水气土治理压力较大。松杨湖水质没有达到地表水Ⅲ类目标，城区偶发性异味扰民问题时有发生，臭氧防治压力巨大，园外遗留小化工污染地块治理任务重。三是环保工作力量短缺。我区化工企业多、污染防治任务重</w:t>
      </w:r>
      <w:r>
        <w:rPr>
          <w:rFonts w:ascii="Times New Roman" w:hAnsi="Times New Roman" w:eastAsia="仿宋_GB2312" w:cs="Times New Roman"/>
          <w:sz w:val="32"/>
          <w:szCs w:val="32"/>
        </w:rPr>
        <w:t>。下一步改进措施：</w:t>
      </w:r>
      <w:r>
        <w:rPr>
          <w:rFonts w:hint="eastAsia" w:ascii="楷体_GB2312" w:hAnsi="楷体_GB2312" w:eastAsia="楷体_GB2312" w:cs="楷体_GB2312"/>
          <w:b/>
          <w:bCs/>
          <w:sz w:val="32"/>
          <w:szCs w:val="32"/>
          <w:lang w:val="en-US" w:eastAsia="zh-CN"/>
        </w:rPr>
        <w:t>一是持续推进污染防治攻坚。</w:t>
      </w:r>
      <w:r>
        <w:rPr>
          <w:rFonts w:hint="eastAsia" w:ascii="仿宋_GB2312" w:hAnsi="仿宋_GB2312" w:eastAsia="仿宋_GB2312" w:cs="仿宋_GB2312"/>
          <w:sz w:val="32"/>
          <w:szCs w:val="32"/>
          <w:lang w:val="en-US" w:eastAsia="zh-CN"/>
        </w:rPr>
        <w:t>以13条区级河、湖水质改善为重点，邀请专家现场指导帮扶，找准原因、靶向施策、综合治理，力争水质持续向好；进一步强化秸秆禁烧和挥发性有机物治理，扎实推进氮氧化物协同减排</w:t>
      </w:r>
      <w:r>
        <w:rPr>
          <w:rFonts w:hint="eastAsia" w:ascii="仿宋_GB2312" w:eastAsia="仿宋_GB2312" w:hAnsiTheme="minorHAnsi" w:cstheme="minorBidi"/>
          <w:sz w:val="32"/>
          <w:szCs w:val="32"/>
          <w:lang w:val="en-US" w:eastAsia="zh-CN"/>
        </w:rPr>
        <w:t>，并通过VOCs减排和洒水抑尘等措施来实现臭氧等因子稳定达标；强化固危废规范化管理，加大中央和省级专项资金争取力度，扎实推进天顺化工等污染地块修复。</w:t>
      </w:r>
    </w:p>
    <w:p w14:paraId="3E495A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楷体_GB2312" w:hAnsi="楷体_GB2312" w:eastAsia="楷体_GB2312" w:cs="楷体_GB2312"/>
          <w:b/>
          <w:bCs/>
          <w:sz w:val="32"/>
          <w:szCs w:val="32"/>
          <w:lang w:val="en-US" w:eastAsia="zh-CN"/>
        </w:rPr>
        <w:t>二是持续加强园区异味管控。</w:t>
      </w:r>
      <w:r>
        <w:rPr>
          <w:rFonts w:hint="eastAsia" w:ascii="仿宋_GB2312" w:hAnsi="仿宋_GB2312" w:eastAsia="仿宋_GB2312" w:cs="仿宋_GB2312"/>
          <w:sz w:val="32"/>
          <w:szCs w:val="32"/>
          <w:lang w:val="en-US" w:eastAsia="zh-CN"/>
        </w:rPr>
        <w:t>巩固拓展环保大体检成效，摸底数、找短板，建立健全重点涉气企业问题清单，做到有的放矢、精准监管；紧盯树脂等重点行业，强力推行“早巡夜查”管理模式和涉气专项监督检查，坚决打击环境违法行为；根据部、省要求，加快推动涉气企业低效废气处理设施淘汰和改造升级，</w:t>
      </w:r>
      <w:r>
        <w:rPr>
          <w:rFonts w:hint="eastAsia" w:ascii="仿宋_GB2312" w:eastAsia="仿宋_GB2312" w:hAnsiTheme="minorHAnsi" w:cstheme="minorBidi"/>
          <w:sz w:val="32"/>
          <w:szCs w:val="32"/>
          <w:lang w:val="en-US" w:eastAsia="zh-CN"/>
        </w:rPr>
        <w:t>逐步解决城区异味扰民问题</w:t>
      </w:r>
      <w:r>
        <w:rPr>
          <w:rFonts w:hint="eastAsia" w:ascii="仿宋_GB2312" w:hAnsi="仿宋_GB2312" w:eastAsia="仿宋_GB2312" w:cs="仿宋_GB2312"/>
          <w:b w:val="0"/>
          <w:bCs w:val="0"/>
          <w:color w:val="auto"/>
          <w:kern w:val="2"/>
          <w:sz w:val="32"/>
          <w:szCs w:val="32"/>
          <w:lang w:val="en-US" w:eastAsia="zh-CN" w:bidi="ar-SA"/>
        </w:rPr>
        <w:t>。</w:t>
      </w:r>
    </w:p>
    <w:p w14:paraId="5A631F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HAnsi" w:cstheme="minorBidi"/>
          <w:sz w:val="32"/>
          <w:szCs w:val="32"/>
        </w:rPr>
      </w:pPr>
      <w:r>
        <w:rPr>
          <w:rFonts w:hint="eastAsia" w:ascii="楷体_GB2312" w:hAnsi="楷体_GB2312" w:eastAsia="楷体_GB2312" w:cs="楷体_GB2312"/>
          <w:b/>
          <w:bCs/>
          <w:kern w:val="2"/>
          <w:sz w:val="32"/>
          <w:szCs w:val="32"/>
          <w:lang w:val="en-US" w:eastAsia="zh-CN" w:bidi="ar-SA"/>
        </w:rPr>
        <w:t>三是持续深化突出问题整改。</w:t>
      </w:r>
      <w:r>
        <w:rPr>
          <w:rFonts w:hint="eastAsia" w:ascii="仿宋_GB2312" w:hAnsi="仿宋_GB2312" w:eastAsia="仿宋_GB2312" w:cs="仿宋_GB2312"/>
          <w:kern w:val="2"/>
          <w:sz w:val="32"/>
          <w:szCs w:val="32"/>
          <w:lang w:val="en-US" w:eastAsia="zh-CN" w:bidi="ar-SA"/>
        </w:rPr>
        <w:t>紧盯中央、省级环保督察交办问题整改和“夏季攻势”任务，聚焦群众身边“难点”“热点”环境问题，挂图作战、跑表计时、到点验收</w:t>
      </w:r>
      <w:r>
        <w:rPr>
          <w:rFonts w:hint="eastAsia" w:ascii="仿宋_GB2312" w:hAnsi="仿宋_GB2312" w:eastAsia="仿宋_GB2312" w:cs="仿宋_GB2312"/>
          <w:b w:val="0"/>
          <w:bCs w:val="0"/>
          <w:color w:val="auto"/>
          <w:kern w:val="2"/>
          <w:sz w:val="32"/>
          <w:szCs w:val="32"/>
          <w:lang w:val="en-US" w:eastAsia="zh-CN" w:bidi="ar-SA"/>
        </w:rPr>
        <w:t>，确保按时如质完成整改任务</w:t>
      </w:r>
      <w:r>
        <w:rPr>
          <w:rFonts w:hint="eastAsia" w:ascii="仿宋_GB2312" w:eastAsia="仿宋_GB2312" w:hAnsiTheme="minorHAnsi" w:cstheme="minorBidi"/>
          <w:sz w:val="32"/>
          <w:szCs w:val="32"/>
        </w:rPr>
        <w:t>。</w:t>
      </w:r>
      <w:r>
        <w:rPr>
          <w:rFonts w:hint="eastAsia" w:ascii="仿宋_GB2312" w:hAnsi="仿宋_GB2312" w:eastAsia="仿宋_GB2312" w:cs="仿宋_GB2312"/>
          <w:b w:val="0"/>
          <w:bCs w:val="0"/>
          <w:color w:val="auto"/>
          <w:sz w:val="32"/>
          <w:szCs w:val="32"/>
          <w:highlight w:val="none"/>
          <w:lang w:val="en-US" w:eastAsia="zh-CN"/>
        </w:rPr>
        <w:t>坚</w:t>
      </w:r>
      <w:r>
        <w:rPr>
          <w:rFonts w:hint="eastAsia" w:ascii="仿宋_GB2312" w:eastAsia="仿宋_GB2312" w:hAnsiTheme="minorHAnsi" w:cstheme="minorBidi"/>
          <w:sz w:val="32"/>
          <w:szCs w:val="32"/>
        </w:rPr>
        <w:t>持“当下改”与“长久立”</w:t>
      </w:r>
      <w:r>
        <w:rPr>
          <w:rFonts w:hint="eastAsia" w:ascii="仿宋_GB2312" w:eastAsia="仿宋_GB2312" w:hAnsiTheme="minorHAnsi" w:cstheme="minorBidi"/>
          <w:sz w:val="32"/>
          <w:szCs w:val="32"/>
          <w:lang w:val="en-US" w:eastAsia="zh-CN"/>
        </w:rPr>
        <w:t>相结合</w:t>
      </w:r>
      <w:r>
        <w:rPr>
          <w:rFonts w:hint="eastAsia" w:ascii="仿宋_GB2312" w:eastAsia="仿宋_GB2312" w:hAnsiTheme="minorHAnsi" w:cstheme="minorBidi"/>
          <w:sz w:val="32"/>
          <w:szCs w:val="32"/>
        </w:rPr>
        <w:t>，</w:t>
      </w:r>
      <w:r>
        <w:rPr>
          <w:rFonts w:hint="eastAsia" w:ascii="仿宋_GB2312" w:eastAsia="仿宋_GB2312" w:hAnsiTheme="minorHAnsi" w:cstheme="minorBidi"/>
          <w:sz w:val="32"/>
          <w:szCs w:val="32"/>
          <w:lang w:val="en-US" w:eastAsia="zh-CN"/>
        </w:rPr>
        <w:t>健全完善长效机制，</w:t>
      </w:r>
      <w:r>
        <w:rPr>
          <w:rFonts w:hint="eastAsia" w:ascii="仿宋_GB2312" w:eastAsia="仿宋_GB2312" w:hAnsiTheme="minorHAnsi" w:cstheme="minorBidi"/>
          <w:sz w:val="32"/>
          <w:szCs w:val="32"/>
        </w:rPr>
        <w:t>不断巩固和扩大整改成果，</w:t>
      </w:r>
      <w:r>
        <w:rPr>
          <w:rFonts w:hint="eastAsia" w:ascii="仿宋_GB2312" w:eastAsia="仿宋_GB2312" w:hAnsiTheme="minorHAnsi" w:cstheme="minorBidi"/>
          <w:sz w:val="32"/>
          <w:szCs w:val="32"/>
          <w:lang w:val="en-US" w:eastAsia="zh-CN"/>
        </w:rPr>
        <w:t>努力提升群众生态环境获得感、幸福感</w:t>
      </w:r>
      <w:r>
        <w:rPr>
          <w:rFonts w:hint="eastAsia" w:ascii="仿宋_GB2312" w:eastAsia="仿宋_GB2312" w:hAnsiTheme="minorHAnsi" w:cstheme="minorBidi"/>
          <w:sz w:val="32"/>
          <w:szCs w:val="32"/>
        </w:rPr>
        <w:t>。</w:t>
      </w:r>
    </w:p>
    <w:p w14:paraId="5B8282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kern w:val="0"/>
          <w:sz w:val="32"/>
          <w:szCs w:val="32"/>
          <w:lang w:eastAsia="zh-CN"/>
        </w:rPr>
      </w:pPr>
      <w:r>
        <w:rPr>
          <w:rFonts w:hint="eastAsia" w:ascii="楷体_GB2312" w:hAnsi="楷体_GB2312" w:eastAsia="楷体_GB2312" w:cs="楷体_GB2312"/>
          <w:b/>
          <w:bCs/>
          <w:sz w:val="32"/>
          <w:szCs w:val="32"/>
          <w:lang w:val="en-US" w:eastAsia="zh-CN"/>
        </w:rPr>
        <w:t>四是持续提升环保服务效能。</w:t>
      </w:r>
      <w:r>
        <w:rPr>
          <w:rFonts w:hint="eastAsia" w:ascii="仿宋_GB2312" w:hAnsi="仿宋_GB2312" w:eastAsia="仿宋_GB2312" w:cs="仿宋_GB2312"/>
          <w:sz w:val="32"/>
          <w:szCs w:val="32"/>
          <w:lang w:val="en-US" w:eastAsia="zh-CN"/>
        </w:rPr>
        <w:t>认真践行“随叫随到、服务周到”工作理念，强化重大项目服务保障，压缩审批时限50%。全面贯彻落实《岳阳市化工中试基地和中试项目管理办法（试行）》要求，主动作为、靠前服务，开辟绿色通道，全力保障中试项目实施。坚持“无事不扰、小事容错、难事帮扶”导向，对信用优良企业降低执法频次，对主观故意环境违法行为严厉打击。</w:t>
      </w:r>
    </w:p>
    <w:p w14:paraId="3447FF75">
      <w:pPr>
        <w:overflowPunct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仿宋_GB2312" w:hAnsi="仿宋_GB2312" w:eastAsia="仿宋_GB2312" w:cs="仿宋_GB2312"/>
          <w:sz w:val="32"/>
          <w:szCs w:val="32"/>
          <w:lang w:val="en-US" w:eastAsia="zh-CN"/>
        </w:rPr>
        <w:t>本单位为二级预算单位，部门评价结果可详见上级部门决算公开说明；</w:t>
      </w:r>
    </w:p>
    <w:p w14:paraId="5DC4775D">
      <w:pPr>
        <w:overflowPunct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仿宋_GB2312" w:hAnsi="仿宋_GB2312" w:eastAsia="仿宋_GB2312" w:cs="仿宋_GB2312"/>
          <w:sz w:val="32"/>
          <w:szCs w:val="32"/>
          <w:lang w:val="en-US" w:eastAsia="zh-CN"/>
        </w:rPr>
        <w:t>本单位为二级预算单位，事前绩效评估结果可详见上级部门决算公开说明。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2E1CBAA7">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根据年初设定的绩效目标，绩效自评得分为97.52分。全年预算数为718.5万元，执行数为540.03万元，完成预算的75.16%</w:t>
      </w:r>
      <w:r>
        <w:rPr>
          <w:rFonts w:ascii="Times New Roman" w:hAnsi="Times New Roman" w:eastAsia="仿宋_GB2312" w:cs="Times New Roman"/>
          <w:color w:val="auto"/>
          <w:sz w:val="32"/>
          <w:szCs w:val="32"/>
          <w:highlight w:val="none"/>
        </w:rPr>
        <w:t>。</w:t>
      </w:r>
      <w:bookmarkStart w:id="0" w:name="_GoBack"/>
      <w:bookmarkEnd w:id="0"/>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8"/>
        <w:rPr>
          <w:rFonts w:hint="eastAsia"/>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3D83FDA1">
      <w:pPr>
        <w:pStyle w:val="14"/>
        <w:jc w:val="center"/>
        <w:rPr>
          <w:rFonts w:hint="eastAsia" w:ascii="方正小标宋_GBK" w:hAnsi="方正小标宋_GBK" w:eastAsia="方正小标宋_GBK" w:cs="方正小标宋_GBK"/>
          <w:sz w:val="72"/>
          <w:szCs w:val="72"/>
        </w:rPr>
      </w:pPr>
    </w:p>
    <w:p w14:paraId="6FB6F211">
      <w:pPr>
        <w:pStyle w:val="14"/>
        <w:jc w:val="center"/>
        <w:rPr>
          <w:rFonts w:hint="eastAsia" w:ascii="方正小标宋_GBK" w:hAnsi="方正小标宋_GBK" w:eastAsia="方正小标宋_GBK" w:cs="方正小标宋_GBK"/>
          <w:sz w:val="72"/>
          <w:szCs w:val="72"/>
        </w:rPr>
      </w:pPr>
    </w:p>
    <w:p w14:paraId="3A01B6B0">
      <w:pPr>
        <w:pStyle w:val="14"/>
        <w:jc w:val="center"/>
        <w:rPr>
          <w:rFonts w:hint="eastAsia" w:ascii="方正小标宋_GBK" w:hAnsi="方正小标宋_GBK" w:eastAsia="方正小标宋_GBK" w:cs="方正小标宋_GBK"/>
          <w:sz w:val="72"/>
          <w:szCs w:val="72"/>
        </w:rPr>
      </w:pPr>
    </w:p>
    <w:p w14:paraId="475C1000">
      <w:pPr>
        <w:pStyle w:val="14"/>
        <w:jc w:val="center"/>
        <w:rPr>
          <w:rFonts w:hint="eastAsia" w:ascii="方正小标宋_GBK" w:hAnsi="方正小标宋_GBK" w:eastAsia="方正小标宋_GBK" w:cs="方正小标宋_GBK"/>
          <w:sz w:val="72"/>
          <w:szCs w:val="72"/>
        </w:rPr>
      </w:pPr>
    </w:p>
    <w:p w14:paraId="6A5A782C">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8"/>
      </w:pPr>
    </w:p>
    <w:p w14:paraId="5331F884">
      <w:pPr>
        <w:pStyle w:val="4"/>
      </w:pPr>
    </w:p>
    <w:p w14:paraId="2CCAD852"/>
    <w:p w14:paraId="440E89DF">
      <w:pPr>
        <w:pStyle w:val="8"/>
      </w:pPr>
    </w:p>
    <w:p w14:paraId="645B9B76">
      <w:pPr>
        <w:pStyle w:val="4"/>
      </w:pPr>
    </w:p>
    <w:p w14:paraId="539F25AC"/>
    <w:p w14:paraId="47AFAB8F">
      <w:pPr>
        <w:pStyle w:val="8"/>
      </w:pPr>
    </w:p>
    <w:p w14:paraId="479D6353">
      <w:pPr>
        <w:pStyle w:val="4"/>
      </w:pPr>
    </w:p>
    <w:p w14:paraId="648103ED"/>
    <w:p w14:paraId="08A5EA8F">
      <w:pPr>
        <w:pStyle w:val="8"/>
      </w:pPr>
    </w:p>
    <w:p w14:paraId="3FD0BAB6">
      <w:pPr>
        <w:pStyle w:val="4"/>
      </w:pPr>
    </w:p>
    <w:p w14:paraId="1CAE18D7"/>
    <w:p w14:paraId="5994BDDC">
      <w:pPr>
        <w:pStyle w:val="8"/>
      </w:pPr>
    </w:p>
    <w:p w14:paraId="51F60F8D">
      <w:pPr>
        <w:pStyle w:val="4"/>
      </w:pPr>
    </w:p>
    <w:p w14:paraId="715B8195"/>
    <w:p w14:paraId="3F608935">
      <w:pPr>
        <w:pStyle w:val="8"/>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8"/>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185EC3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6365E0AB">
      <w:pPr>
        <w:pStyle w:val="4"/>
      </w:pPr>
    </w:p>
    <w:p w14:paraId="580CF8E4"/>
    <w:p w14:paraId="0C17744C">
      <w:pPr>
        <w:pStyle w:val="8"/>
      </w:pPr>
    </w:p>
    <w:p w14:paraId="7B8BABF4">
      <w:pPr>
        <w:pStyle w:val="4"/>
      </w:pPr>
    </w:p>
    <w:p w14:paraId="1942C0DC"/>
    <w:p w14:paraId="6E2D1EEF">
      <w:pPr>
        <w:pStyle w:val="8"/>
      </w:pPr>
    </w:p>
    <w:p w14:paraId="5F6ABC3B">
      <w:pPr>
        <w:pStyle w:val="4"/>
      </w:pPr>
    </w:p>
    <w:p w14:paraId="51BE6437"/>
    <w:p w14:paraId="05344CBA">
      <w:pPr>
        <w:pStyle w:val="8"/>
      </w:pPr>
    </w:p>
    <w:p w14:paraId="5C9170AD">
      <w:pPr>
        <w:pStyle w:val="4"/>
      </w:pPr>
    </w:p>
    <w:p w14:paraId="29D3A91E"/>
    <w:p w14:paraId="0D2A994E">
      <w:pPr>
        <w:pStyle w:val="8"/>
      </w:pPr>
    </w:p>
    <w:p w14:paraId="59CBCCA7">
      <w:pPr>
        <w:pStyle w:val="4"/>
      </w:pPr>
    </w:p>
    <w:p w14:paraId="67806EBD"/>
    <w:p w14:paraId="7C18BB03">
      <w:pPr>
        <w:pStyle w:val="8"/>
      </w:pPr>
    </w:p>
    <w:p w14:paraId="29230CAD">
      <w:pPr>
        <w:pStyle w:val="4"/>
      </w:pPr>
    </w:p>
    <w:p w14:paraId="724E0A54"/>
    <w:p w14:paraId="496F732E">
      <w:pPr>
        <w:pStyle w:val="8"/>
      </w:pPr>
    </w:p>
    <w:p w14:paraId="354ECFD8">
      <w:pPr>
        <w:pStyle w:val="4"/>
      </w:pPr>
    </w:p>
    <w:p w14:paraId="51C67B38"/>
    <w:p w14:paraId="4D131F3E"/>
    <w:p w14:paraId="7CFBCE3C">
      <w:pPr>
        <w:pStyle w:val="8"/>
      </w:pPr>
    </w:p>
    <w:p w14:paraId="5C3DE094">
      <w:pPr>
        <w:pStyle w:val="14"/>
        <w:jc w:val="both"/>
        <w:rPr>
          <w:rFonts w:hint="eastAsia" w:ascii="方正小标宋_GBK" w:hAnsi="方正小标宋_GBK" w:eastAsia="方正小标宋_GBK" w:cs="方正小标宋_GBK"/>
          <w:sz w:val="72"/>
          <w:szCs w:val="72"/>
        </w:rPr>
      </w:pPr>
    </w:p>
    <w:p w14:paraId="0C1858E3">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4"/>
        <w:jc w:val="both"/>
        <w:rPr>
          <w:rFonts w:hint="eastAsia" w:ascii="方正小标宋_GBK" w:hAnsi="方正小标宋_GBK" w:eastAsia="方正小标宋_GBK" w:cs="方正小标宋_GBK"/>
          <w:sz w:val="70"/>
          <w:szCs w:val="70"/>
          <w:lang w:eastAsia="zh-CN"/>
        </w:rPr>
      </w:pPr>
    </w:p>
    <w:p w14:paraId="490142D3">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0BD07968"/>
    <w:rsid w:val="11944E2C"/>
    <w:rsid w:val="12583BA5"/>
    <w:rsid w:val="13BA5B9C"/>
    <w:rsid w:val="19DC6865"/>
    <w:rsid w:val="1D97DEFF"/>
    <w:rsid w:val="1DFF72E5"/>
    <w:rsid w:val="1EFC6F07"/>
    <w:rsid w:val="1F0527A6"/>
    <w:rsid w:val="22AC03C2"/>
    <w:rsid w:val="283B15FE"/>
    <w:rsid w:val="2FDF85B8"/>
    <w:rsid w:val="2FFFEE04"/>
    <w:rsid w:val="307B44AD"/>
    <w:rsid w:val="30E43E01"/>
    <w:rsid w:val="31C95635"/>
    <w:rsid w:val="34DF85B0"/>
    <w:rsid w:val="3B247C1B"/>
    <w:rsid w:val="3B820DE6"/>
    <w:rsid w:val="3B8F36BC"/>
    <w:rsid w:val="43EB5BA5"/>
    <w:rsid w:val="461B1C1B"/>
    <w:rsid w:val="491FF225"/>
    <w:rsid w:val="4C8979F4"/>
    <w:rsid w:val="4EC310A1"/>
    <w:rsid w:val="4FFD214C"/>
    <w:rsid w:val="505F6C49"/>
    <w:rsid w:val="5247118F"/>
    <w:rsid w:val="5352765A"/>
    <w:rsid w:val="54A22501"/>
    <w:rsid w:val="551A14C2"/>
    <w:rsid w:val="55387892"/>
    <w:rsid w:val="573641A2"/>
    <w:rsid w:val="57454D4A"/>
    <w:rsid w:val="5777D4F5"/>
    <w:rsid w:val="57F22B6F"/>
    <w:rsid w:val="59304ABE"/>
    <w:rsid w:val="59DD8326"/>
    <w:rsid w:val="5C115B42"/>
    <w:rsid w:val="5DEF592A"/>
    <w:rsid w:val="5FC6BB1E"/>
    <w:rsid w:val="5FF720F1"/>
    <w:rsid w:val="622964C1"/>
    <w:rsid w:val="62CA201B"/>
    <w:rsid w:val="65183E3D"/>
    <w:rsid w:val="67FF5C0B"/>
    <w:rsid w:val="683C245B"/>
    <w:rsid w:val="6BAA4A2F"/>
    <w:rsid w:val="6D7B2ACC"/>
    <w:rsid w:val="6DDEC5C0"/>
    <w:rsid w:val="6EFC0924"/>
    <w:rsid w:val="6FB74722"/>
    <w:rsid w:val="6FEF8B7E"/>
    <w:rsid w:val="70152D8F"/>
    <w:rsid w:val="717FE77F"/>
    <w:rsid w:val="71A6591B"/>
    <w:rsid w:val="73313734"/>
    <w:rsid w:val="737D59BA"/>
    <w:rsid w:val="737F32B1"/>
    <w:rsid w:val="73BD3FCA"/>
    <w:rsid w:val="76F854DD"/>
    <w:rsid w:val="776BDA01"/>
    <w:rsid w:val="77C37683"/>
    <w:rsid w:val="783D6AFA"/>
    <w:rsid w:val="79FF515B"/>
    <w:rsid w:val="7B002BB2"/>
    <w:rsid w:val="7DFBFF20"/>
    <w:rsid w:val="7E9313BD"/>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semiHidden/>
    <w:qFormat/>
    <w:uiPriority w:val="0"/>
    <w:pPr>
      <w:widowControl w:val="0"/>
      <w:jc w:val="both"/>
    </w:pPr>
    <w:rPr>
      <w:rFonts w:ascii="仿宋" w:hAnsi="仿宋" w:eastAsia="仿宋" w:cs="仿宋"/>
      <w:kern w:val="2"/>
      <w:sz w:val="31"/>
      <w:szCs w:val="31"/>
      <w:lang w:val="en-US" w:eastAsia="en-US" w:bidi="ar-SA"/>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paragraph" w:styleId="9">
    <w:name w:val="Normal (Web)"/>
    <w:unhideWhenUsed/>
    <w:qFormat/>
    <w:uiPriority w:val="99"/>
    <w:pPr>
      <w:widowControl w:val="0"/>
      <w:autoSpaceDE w:val="0"/>
      <w:autoSpaceDN w:val="0"/>
      <w:adjustRightInd w:val="0"/>
      <w:textAlignment w:val="center"/>
    </w:pPr>
    <w:rPr>
      <w:rFonts w:hint="default" w:ascii="Arial" w:hAnsi="Arial" w:eastAsia="宋体" w:cs="Times New Roman"/>
      <w:color w:val="000000"/>
      <w:sz w:val="24"/>
      <w:szCs w:val="24"/>
      <w:lang w:val="en-US" w:eastAsia="zh-CN" w:bidi="ar"/>
    </w:rPr>
  </w:style>
  <w:style w:type="character" w:customStyle="1" w:styleId="12">
    <w:name w:val="页眉 Char"/>
    <w:basedOn w:val="11"/>
    <w:link w:val="7"/>
    <w:qFormat/>
    <w:uiPriority w:val="99"/>
    <w:rPr>
      <w:sz w:val="18"/>
      <w:szCs w:val="18"/>
    </w:rPr>
  </w:style>
  <w:style w:type="character" w:customStyle="1" w:styleId="13">
    <w:name w:val="页脚 Char"/>
    <w:basedOn w:val="11"/>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5"/>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9281</Words>
  <Characters>9921</Characters>
  <Lines>63</Lines>
  <Paragraphs>18</Paragraphs>
  <TotalTime>0</TotalTime>
  <ScaleCrop>false</ScaleCrop>
  <LinksUpToDate>false</LinksUpToDate>
  <CharactersWithSpaces>9949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严碧琪</cp:lastModifiedBy>
  <cp:lastPrinted>2024-08-11T02:20:00Z</cp:lastPrinted>
  <dcterms:modified xsi:type="dcterms:W3CDTF">2025-09-28T06:41:31Z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055A8D5E8B674A4087463B34C6A112F1_13</vt:lpwstr>
  </property>
  <property fmtid="{D5CDD505-2E9C-101B-9397-08002B2CF9AE}" pid="4" name="KSOTemplateDocerSaveRecord">
    <vt:lpwstr>eyJoZGlkIjoiNjgxZmIyZGM1NjlmYzFmNTczZGVkNWYyNWIwMGFjMmUiLCJ1c2VySWQiOiIyOTMyNjEyNDMifQ==</vt:lpwstr>
  </property>
</Properties>
</file>