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4"/>
        <w:jc w:val="center"/>
        <w:rPr>
          <w:sz w:val="56"/>
          <w:szCs w:val="56"/>
        </w:rPr>
      </w:pPr>
    </w:p>
    <w:p w14:paraId="3BDF5AB8">
      <w:pPr>
        <w:pStyle w:val="14"/>
        <w:jc w:val="center"/>
        <w:rPr>
          <w:sz w:val="56"/>
          <w:szCs w:val="56"/>
        </w:rPr>
      </w:pPr>
    </w:p>
    <w:p w14:paraId="60CA4575">
      <w:pPr>
        <w:pStyle w:val="14"/>
        <w:jc w:val="center"/>
        <w:rPr>
          <w:sz w:val="84"/>
          <w:szCs w:val="84"/>
        </w:rPr>
      </w:pPr>
    </w:p>
    <w:p w14:paraId="215EB31D">
      <w:pPr>
        <w:pStyle w:val="14"/>
        <w:jc w:val="center"/>
        <w:rPr>
          <w:sz w:val="84"/>
          <w:szCs w:val="84"/>
        </w:rPr>
      </w:pPr>
    </w:p>
    <w:p w14:paraId="376C8602">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4"/>
        <w:jc w:val="center"/>
        <w:rPr>
          <w:rFonts w:hint="eastAsia" w:ascii="方正小标宋_GBK" w:hAnsi="方正小标宋_GBK" w:eastAsia="方正小标宋_GBK" w:cs="方正小标宋_GBK"/>
          <w:sz w:val="84"/>
          <w:szCs w:val="84"/>
        </w:rPr>
      </w:pPr>
      <w:bookmarkStart w:id="0" w:name="OLE_LINK1"/>
      <w:r>
        <w:rPr>
          <w:rFonts w:hint="eastAsia" w:ascii="方正小标宋_GBK" w:hAnsi="方正小标宋_GBK" w:eastAsia="方正小标宋_GBK" w:cs="方正小标宋_GBK"/>
          <w:sz w:val="84"/>
          <w:szCs w:val="84"/>
          <w:lang w:val="en-US" w:eastAsia="zh-CN"/>
        </w:rPr>
        <w:t>岳阳市生态环境局岳阳县分局</w:t>
      </w:r>
      <w:bookmarkEnd w:id="0"/>
      <w:r>
        <w:rPr>
          <w:rFonts w:hint="eastAsia" w:ascii="方正小标宋_GBK" w:hAnsi="方正小标宋_GBK" w:eastAsia="方正小标宋_GBK" w:cs="方正小标宋_GBK"/>
          <w:sz w:val="84"/>
          <w:szCs w:val="84"/>
        </w:rPr>
        <w:t>部门（单位）部门决算</w:t>
      </w:r>
    </w:p>
    <w:p w14:paraId="25018D25">
      <w:pPr>
        <w:pStyle w:val="14"/>
        <w:jc w:val="both"/>
        <w:rPr>
          <w:sz w:val="56"/>
          <w:szCs w:val="56"/>
        </w:rPr>
      </w:pPr>
    </w:p>
    <w:p w14:paraId="5EE73A38">
      <w:pPr>
        <w:pStyle w:val="14"/>
        <w:jc w:val="center"/>
        <w:rPr>
          <w:sz w:val="56"/>
          <w:szCs w:val="56"/>
        </w:rPr>
      </w:pPr>
    </w:p>
    <w:p w14:paraId="297571C5">
      <w:pPr>
        <w:pStyle w:val="14"/>
        <w:jc w:val="center"/>
        <w:rPr>
          <w:sz w:val="32"/>
          <w:szCs w:val="32"/>
        </w:rPr>
      </w:pPr>
    </w:p>
    <w:p w14:paraId="08493D1E">
      <w:pPr>
        <w:pStyle w:val="14"/>
        <w:jc w:val="center"/>
        <w:rPr>
          <w:sz w:val="32"/>
          <w:szCs w:val="32"/>
        </w:rPr>
      </w:pPr>
    </w:p>
    <w:p w14:paraId="5BD6E8BD">
      <w:pPr>
        <w:pStyle w:val="14"/>
        <w:jc w:val="center"/>
        <w:rPr>
          <w:sz w:val="32"/>
          <w:szCs w:val="32"/>
        </w:rPr>
      </w:pPr>
    </w:p>
    <w:p w14:paraId="1062A3B4">
      <w:pPr>
        <w:pStyle w:val="14"/>
        <w:jc w:val="center"/>
        <w:rPr>
          <w:sz w:val="32"/>
          <w:szCs w:val="32"/>
        </w:rPr>
      </w:pPr>
    </w:p>
    <w:p w14:paraId="6311DFC7">
      <w:pPr>
        <w:pStyle w:val="14"/>
        <w:jc w:val="center"/>
        <w:rPr>
          <w:sz w:val="32"/>
          <w:szCs w:val="32"/>
        </w:rPr>
      </w:pPr>
    </w:p>
    <w:p w14:paraId="50228290">
      <w:pPr>
        <w:pStyle w:val="14"/>
        <w:spacing w:line="540" w:lineRule="exact"/>
        <w:jc w:val="center"/>
        <w:rPr>
          <w:sz w:val="56"/>
          <w:szCs w:val="56"/>
        </w:rPr>
      </w:pPr>
    </w:p>
    <w:p w14:paraId="459C483D">
      <w:pPr>
        <w:pStyle w:val="14"/>
        <w:spacing w:line="500" w:lineRule="exact"/>
        <w:jc w:val="both"/>
        <w:rPr>
          <w:b/>
          <w:sz w:val="36"/>
          <w:szCs w:val="28"/>
        </w:rPr>
      </w:pPr>
    </w:p>
    <w:p w14:paraId="24F3309B">
      <w:pPr>
        <w:pStyle w:val="14"/>
        <w:spacing w:line="500" w:lineRule="exact"/>
        <w:jc w:val="center"/>
        <w:rPr>
          <w:b/>
          <w:sz w:val="36"/>
          <w:szCs w:val="28"/>
        </w:rPr>
      </w:pPr>
      <w:r>
        <w:rPr>
          <w:rFonts w:hint="eastAsia"/>
          <w:b/>
          <w:sz w:val="36"/>
          <w:szCs w:val="28"/>
        </w:rPr>
        <w:t>目录</w:t>
      </w:r>
    </w:p>
    <w:p w14:paraId="6CBD0C22">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岳阳市生态环境局岳阳县分局</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14:paraId="060CB1D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4"/>
        <w:jc w:val="center"/>
        <w:rPr>
          <w:rFonts w:hint="eastAsia" w:ascii="方正小标宋_GBK" w:hAnsi="方正小标宋_GBK" w:eastAsia="方正小标宋_GBK" w:cs="方正小标宋_GBK"/>
          <w:sz w:val="84"/>
          <w:szCs w:val="84"/>
        </w:rPr>
      </w:pPr>
    </w:p>
    <w:p w14:paraId="1095DEAB">
      <w:pPr>
        <w:pStyle w:val="14"/>
        <w:jc w:val="center"/>
        <w:rPr>
          <w:rFonts w:hint="eastAsia" w:ascii="方正小标宋_GBK" w:hAnsi="方正小标宋_GBK" w:eastAsia="方正小标宋_GBK" w:cs="方正小标宋_GBK"/>
          <w:sz w:val="84"/>
          <w:szCs w:val="84"/>
        </w:rPr>
      </w:pPr>
    </w:p>
    <w:p w14:paraId="0DEEC24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4"/>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岳阳市生态环境局岳阳县分局部门（</w:t>
      </w:r>
      <w:r>
        <w:rPr>
          <w:rFonts w:hint="eastAsia" w:ascii="方正小标宋_GBK" w:hAnsi="方正小标宋_GBK" w:eastAsia="方正小标宋_GBK" w:cs="方正小标宋_GBK"/>
          <w:sz w:val="84"/>
          <w:szCs w:val="84"/>
        </w:rPr>
        <w:t>单位</w:t>
      </w:r>
      <w:r>
        <w:rPr>
          <w:rFonts w:hint="eastAsia" w:ascii="方正小标宋_GBK" w:hAnsi="方正小标宋_GBK" w:eastAsia="方正小标宋_GBK" w:cs="方正小标宋_GBK"/>
          <w:sz w:val="84"/>
          <w:szCs w:val="84"/>
          <w:lang w:eastAsia="zh-CN"/>
        </w:rPr>
        <w:t>）</w:t>
      </w:r>
      <w:r>
        <w:rPr>
          <w:rFonts w:hint="eastAsia" w:ascii="方正小标宋_GBK" w:hAnsi="方正小标宋_GBK" w:eastAsia="方正小标宋_GBK" w:cs="方正小标宋_GBK"/>
          <w:sz w:val="84"/>
          <w:szCs w:val="84"/>
        </w:rPr>
        <w:t>概况</w:t>
      </w:r>
    </w:p>
    <w:p w14:paraId="77A0C778">
      <w:pPr>
        <w:pStyle w:val="9"/>
        <w:rPr>
          <w:rFonts w:hint="eastAsia" w:ascii="方正小标宋_GBK" w:hAnsi="方正小标宋_GBK" w:eastAsia="方正小标宋_GBK" w:cs="方正小标宋_GBK"/>
          <w:sz w:val="84"/>
          <w:szCs w:val="84"/>
        </w:rPr>
      </w:pPr>
    </w:p>
    <w:p w14:paraId="397AC3FB">
      <w:pPr>
        <w:pStyle w:val="5"/>
        <w:rPr>
          <w:rFonts w:hint="eastAsia" w:ascii="方正小标宋_GBK" w:hAnsi="方正小标宋_GBK" w:eastAsia="方正小标宋_GBK" w:cs="方正小标宋_GBK"/>
          <w:sz w:val="84"/>
          <w:szCs w:val="84"/>
        </w:rPr>
      </w:pPr>
    </w:p>
    <w:p w14:paraId="1469560B">
      <w:pPr>
        <w:pStyle w:val="5"/>
        <w:ind w:left="0" w:leftChars="0" w:firstLine="0" w:firstLineChars="0"/>
        <w:rPr>
          <w:rFonts w:hint="eastAsia" w:ascii="方正小标宋_GBK" w:hAnsi="方正小标宋_GBK" w:eastAsia="方正小标宋_GBK" w:cs="方正小标宋_GBK"/>
          <w:sz w:val="84"/>
          <w:szCs w:val="84"/>
        </w:rPr>
      </w:pPr>
    </w:p>
    <w:p w14:paraId="24E14137">
      <w:pPr>
        <w:rPr>
          <w:rFonts w:hint="eastAsia" w:ascii="方正小标宋_GBK" w:hAnsi="方正小标宋_GBK" w:eastAsia="方正小标宋_GBK" w:cs="方正小标宋_GBK"/>
          <w:sz w:val="84"/>
          <w:szCs w:val="84"/>
        </w:rPr>
      </w:pPr>
    </w:p>
    <w:p w14:paraId="5B40DB3D">
      <w:pPr>
        <w:pStyle w:val="9"/>
        <w:rPr>
          <w:rFonts w:hint="eastAsia"/>
        </w:rPr>
      </w:pPr>
    </w:p>
    <w:p w14:paraId="55E857AF">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13918CD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（一）受岳阳市生态环境局委托，承担辖区内的生态环境相关工作；承担岳阳市生态环境局和岳阳县委、县政府交办的其他任务。</w:t>
      </w:r>
    </w:p>
    <w:p w14:paraId="23B72C9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建立健全本辖区环境保护制度；负责全县重大环境问题的统筹协调和监督管理；牵头协调重特大环境污染事故和生态破坏事件的调查处理；协调重特大突发环境事件的应急、预警工作；协调解决环境污染纠纷；统筹协调本县重点流域、区域污染防治工作；落实国家和省、市减排目标；组织实施本县主要污染物排放总量控制和排污许可制度，</w:t>
      </w:r>
      <w:r>
        <w:rPr>
          <w:rFonts w:hint="eastAsia" w:ascii="Times New Roman" w:hAnsi="Times New Roman" w:eastAsia="仿宋_GB2312" w:cs="仿宋_GB2312"/>
          <w:sz w:val="32"/>
          <w:szCs w:val="32"/>
          <w:lang w:eastAsia="zh-CN"/>
        </w:rPr>
        <w:t>提出</w:t>
      </w:r>
      <w:r>
        <w:rPr>
          <w:rFonts w:hint="eastAsia" w:ascii="Times New Roman" w:hAnsi="Times New Roman" w:eastAsia="仿宋_GB2312" w:cs="仿宋_GB2312"/>
          <w:sz w:val="32"/>
          <w:szCs w:val="32"/>
        </w:rPr>
        <w:t>实施总量控制的污染物名称和控制指标；督查、督办、核查本县污染物减排任务完成情况；负责全县环境污染防治的监督管理；指导、协调、监督全县生态保护工作；负责环境监测和信息发布等工作。</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C28436C">
      <w:pPr>
        <w:widowControl/>
        <w:spacing w:line="600" w:lineRule="exact"/>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（一）内设机构设置。岳阳市生态环境局岳阳县分局为岳阳市生态环境局管理的正科级机关（派出机构）</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单位内设机构包括：办公室、财务股、政工人事股、固废股、生态股、环评股、信息中心、法制股、水股、土股、气股、综合股、工会</w:t>
      </w:r>
      <w:r>
        <w:rPr>
          <w:rFonts w:hint="eastAsia" w:ascii="仿宋_GB2312" w:hAnsi="仿宋_GB2312" w:eastAsia="仿宋_GB2312" w:cs="仿宋_GB2312"/>
          <w:sz w:val="32"/>
          <w:szCs w:val="32"/>
          <w:lang w:val="en-US" w:eastAsia="zh-CN"/>
        </w:rPr>
        <w:t>13</w:t>
      </w:r>
      <w:r>
        <w:rPr>
          <w:rFonts w:hint="eastAsia" w:ascii="Times New Roman" w:hAnsi="Times New Roman" w:eastAsia="仿宋_GB2312" w:cs="仿宋_GB2312"/>
          <w:bCs/>
          <w:kern w:val="0"/>
          <w:sz w:val="32"/>
          <w:szCs w:val="32"/>
          <w:lang w:eastAsia="zh-CN"/>
        </w:rPr>
        <w:t>个股室；副科级机构</w:t>
      </w:r>
      <w:r>
        <w:rPr>
          <w:rFonts w:hint="eastAsia" w:ascii="仿宋_GB2312" w:hAnsi="仿宋_GB2312" w:eastAsia="仿宋_GB2312" w:cs="仿宋_GB2312"/>
          <w:sz w:val="32"/>
          <w:szCs w:val="32"/>
          <w:lang w:val="en-US" w:eastAsia="zh-CN"/>
        </w:rPr>
        <w:t>2</w:t>
      </w:r>
      <w:r>
        <w:rPr>
          <w:rFonts w:hint="eastAsia" w:ascii="Times New Roman" w:hAnsi="Times New Roman" w:eastAsia="仿宋_GB2312" w:cs="仿宋_GB2312"/>
          <w:bCs/>
          <w:kern w:val="0"/>
          <w:sz w:val="32"/>
          <w:szCs w:val="32"/>
          <w:lang w:eastAsia="zh-CN"/>
        </w:rPr>
        <w:t>个：生态环境保护综合行政执法大队、环境监测站。本单位编制人数</w:t>
      </w:r>
      <w:r>
        <w:rPr>
          <w:rFonts w:hint="eastAsia" w:ascii="仿宋_GB2312" w:hAnsi="仿宋_GB2312" w:eastAsia="仿宋_GB2312" w:cs="仿宋_GB2312"/>
          <w:sz w:val="32"/>
          <w:szCs w:val="32"/>
          <w:lang w:val="en-US" w:eastAsia="zh-CN"/>
        </w:rPr>
        <w:t>94</w:t>
      </w:r>
      <w:r>
        <w:rPr>
          <w:rFonts w:hint="eastAsia" w:ascii="Times New Roman" w:hAnsi="Times New Roman" w:eastAsia="仿宋_GB2312" w:cs="仿宋_GB2312"/>
          <w:bCs/>
          <w:kern w:val="0"/>
          <w:sz w:val="32"/>
          <w:szCs w:val="32"/>
          <w:lang w:val="en-US" w:eastAsia="zh-CN"/>
        </w:rPr>
        <w:t>人，实际人数</w:t>
      </w:r>
      <w:r>
        <w:rPr>
          <w:rFonts w:hint="eastAsia" w:ascii="仿宋_GB2312" w:hAnsi="仿宋_GB2312" w:eastAsia="仿宋_GB2312" w:cs="仿宋_GB2312"/>
          <w:sz w:val="32"/>
          <w:szCs w:val="32"/>
          <w:lang w:val="en-US" w:eastAsia="zh-CN"/>
        </w:rPr>
        <w:t>94</w:t>
      </w:r>
      <w:r>
        <w:rPr>
          <w:rFonts w:hint="eastAsia" w:ascii="Times New Roman" w:hAnsi="Times New Roman" w:eastAsia="仿宋_GB2312" w:cs="仿宋_GB2312"/>
          <w:bCs/>
          <w:kern w:val="0"/>
          <w:sz w:val="32"/>
          <w:szCs w:val="32"/>
          <w:lang w:val="en-US" w:eastAsia="zh-CN"/>
        </w:rPr>
        <w:t>人。</w:t>
      </w:r>
    </w:p>
    <w:p w14:paraId="57C27432">
      <w:pPr>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（二）决算单位构成。岳阳市生态环境局岳阳县分局</w:t>
      </w:r>
      <w:r>
        <w:rPr>
          <w:rFonts w:hint="eastAsia" w:ascii="仿宋_GB2312" w:hAnsi="仿宋_GB2312" w:eastAsia="仿宋_GB2312" w:cs="仿宋_GB2312"/>
          <w:sz w:val="32"/>
          <w:szCs w:val="32"/>
          <w:lang w:val="en-US" w:eastAsia="zh-CN"/>
        </w:rPr>
        <w:t>2024</w:t>
      </w:r>
      <w:r>
        <w:rPr>
          <w:rFonts w:hint="eastAsia" w:ascii="Times New Roman" w:hAnsi="Times New Roman" w:eastAsia="仿宋_GB2312" w:cs="仿宋_GB2312"/>
          <w:bCs/>
          <w:kern w:val="0"/>
          <w:sz w:val="32"/>
          <w:szCs w:val="32"/>
        </w:rPr>
        <w:t>年部门决算汇总公开单位构成包括：本单位无独立核算的下属单位，</w:t>
      </w:r>
      <w:r>
        <w:rPr>
          <w:rFonts w:hint="eastAsia" w:ascii="仿宋_GB2312" w:hAnsi="仿宋_GB2312" w:eastAsia="仿宋_GB2312" w:cs="仿宋_GB2312"/>
          <w:sz w:val="32"/>
          <w:szCs w:val="32"/>
          <w:lang w:val="en-US" w:eastAsia="zh-CN"/>
        </w:rPr>
        <w:t>2024</w:t>
      </w:r>
      <w:r>
        <w:rPr>
          <w:rFonts w:hint="eastAsia" w:ascii="Times New Roman" w:hAnsi="Times New Roman" w:eastAsia="仿宋_GB2312" w:cs="仿宋_GB2312"/>
          <w:bCs/>
          <w:kern w:val="0"/>
          <w:sz w:val="32"/>
          <w:szCs w:val="32"/>
        </w:rPr>
        <w:t>年度部门决算汇总公开单位仅包括岳阳市生态环境局岳阳县分局单位本级。</w:t>
      </w:r>
    </w:p>
    <w:p w14:paraId="510EDE7E"/>
    <w:p w14:paraId="3CE56614">
      <w:pPr>
        <w:pStyle w:val="9"/>
      </w:pPr>
    </w:p>
    <w:p w14:paraId="70B4D569">
      <w:pPr>
        <w:pStyle w:val="5"/>
      </w:pPr>
    </w:p>
    <w:p w14:paraId="5B1D6CBC"/>
    <w:p w14:paraId="7D6C31E4">
      <w:pPr>
        <w:pStyle w:val="9"/>
      </w:pPr>
    </w:p>
    <w:p w14:paraId="056E4ECA">
      <w:pPr>
        <w:pStyle w:val="5"/>
      </w:pPr>
    </w:p>
    <w:p w14:paraId="3288C9C5"/>
    <w:p w14:paraId="14507043">
      <w:pPr>
        <w:pStyle w:val="9"/>
      </w:pPr>
    </w:p>
    <w:p w14:paraId="465EA8BD">
      <w:pPr>
        <w:pStyle w:val="5"/>
      </w:pPr>
    </w:p>
    <w:p w14:paraId="49E51758"/>
    <w:p w14:paraId="3DC8C6CD">
      <w:pPr>
        <w:pStyle w:val="9"/>
      </w:pPr>
    </w:p>
    <w:p w14:paraId="36E702E5">
      <w:pPr>
        <w:pStyle w:val="5"/>
      </w:pPr>
    </w:p>
    <w:p w14:paraId="0416550A"/>
    <w:p w14:paraId="28B49BCE">
      <w:pPr>
        <w:pStyle w:val="9"/>
      </w:pPr>
    </w:p>
    <w:p w14:paraId="2B49F2B7">
      <w:pPr>
        <w:pStyle w:val="14"/>
        <w:jc w:val="both"/>
        <w:rPr>
          <w:rFonts w:hint="eastAsia" w:ascii="方正小标宋_GBK" w:hAnsi="方正小标宋_GBK" w:eastAsia="方正小标宋_GBK" w:cs="方正小标宋_GBK"/>
          <w:sz w:val="84"/>
          <w:szCs w:val="84"/>
        </w:rPr>
      </w:pPr>
    </w:p>
    <w:p w14:paraId="661BBFC8">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4"/>
        <w:jc w:val="center"/>
        <w:rPr>
          <w:rFonts w:hint="eastAsia" w:ascii="方正小标宋_GBK" w:hAnsi="方正小标宋_GBK" w:eastAsia="方正小标宋_GBK" w:cs="方正小标宋_GBK"/>
          <w:sz w:val="84"/>
          <w:szCs w:val="84"/>
        </w:rPr>
      </w:pPr>
    </w:p>
    <w:p w14:paraId="3860F185">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4"/>
        <w:jc w:val="center"/>
        <w:rPr>
          <w:rFonts w:hint="eastAsia" w:ascii="仿宋_GB2312" w:hAnsi="仿宋_GB2312" w:eastAsia="仿宋_GB2312" w:cs="仿宋_GB2312"/>
          <w:b w:val="0"/>
          <w:bCs w:val="0"/>
          <w:sz w:val="72"/>
          <w:szCs w:val="72"/>
          <w:lang w:eastAsia="zh-CN"/>
        </w:rPr>
      </w:pPr>
    </w:p>
    <w:p w14:paraId="0568D1B8">
      <w:pPr>
        <w:pStyle w:val="14"/>
        <w:jc w:val="center"/>
        <w:rPr>
          <w:rFonts w:hint="eastAsia" w:ascii="仿宋_GB2312" w:hAnsi="仿宋_GB2312" w:eastAsia="仿宋_GB2312" w:cs="仿宋_GB2312"/>
          <w:b w:val="0"/>
          <w:bCs w:val="0"/>
          <w:sz w:val="72"/>
          <w:szCs w:val="72"/>
          <w:lang w:eastAsia="zh-CN"/>
        </w:rPr>
      </w:pPr>
    </w:p>
    <w:p w14:paraId="5C65B646">
      <w:pPr>
        <w:pStyle w:val="14"/>
        <w:jc w:val="center"/>
        <w:rPr>
          <w:rFonts w:hint="eastAsia" w:ascii="仿宋_GB2312" w:hAnsi="仿宋_GB2312" w:eastAsia="仿宋_GB2312" w:cs="仿宋_GB2312"/>
          <w:b w:val="0"/>
          <w:bCs w:val="0"/>
          <w:sz w:val="72"/>
          <w:szCs w:val="72"/>
          <w:lang w:eastAsia="zh-CN"/>
        </w:rPr>
      </w:pPr>
    </w:p>
    <w:p w14:paraId="62EA5E89">
      <w:pPr>
        <w:pStyle w:val="14"/>
        <w:jc w:val="center"/>
        <w:rPr>
          <w:rFonts w:hint="eastAsia" w:ascii="仿宋_GB2312" w:hAnsi="仿宋_GB2312" w:eastAsia="仿宋_GB2312" w:cs="仿宋_GB2312"/>
          <w:b w:val="0"/>
          <w:bCs w:val="0"/>
          <w:sz w:val="72"/>
          <w:szCs w:val="72"/>
          <w:lang w:eastAsia="zh-CN"/>
        </w:rPr>
      </w:pPr>
    </w:p>
    <w:p w14:paraId="63BFFD84">
      <w:pPr>
        <w:pStyle w:val="14"/>
        <w:jc w:val="center"/>
        <w:rPr>
          <w:rFonts w:hint="eastAsia" w:ascii="仿宋_GB2312" w:hAnsi="仿宋_GB2312" w:eastAsia="仿宋_GB2312" w:cs="仿宋_GB2312"/>
          <w:b w:val="0"/>
          <w:bCs w:val="0"/>
          <w:sz w:val="72"/>
          <w:szCs w:val="72"/>
          <w:lang w:eastAsia="zh-CN"/>
        </w:rPr>
      </w:pPr>
    </w:p>
    <w:p w14:paraId="4565BABE">
      <w:pPr>
        <w:pStyle w:val="14"/>
        <w:jc w:val="center"/>
        <w:rPr>
          <w:rFonts w:hint="eastAsia" w:ascii="仿宋_GB2312" w:hAnsi="仿宋_GB2312" w:eastAsia="仿宋_GB2312" w:cs="仿宋_GB2312"/>
          <w:b w:val="0"/>
          <w:bCs w:val="0"/>
          <w:sz w:val="72"/>
          <w:szCs w:val="72"/>
          <w:lang w:eastAsia="zh-CN"/>
        </w:rPr>
      </w:pPr>
    </w:p>
    <w:p w14:paraId="7A44A82E">
      <w:pPr>
        <w:pStyle w:val="14"/>
        <w:jc w:val="both"/>
        <w:rPr>
          <w:rFonts w:hint="eastAsia" w:ascii="方正小标宋_GBK" w:hAnsi="方正小标宋_GBK" w:eastAsia="方正小标宋_GBK" w:cs="方正小标宋_GBK"/>
          <w:sz w:val="72"/>
          <w:szCs w:val="72"/>
          <w:lang w:eastAsia="zh-CN"/>
        </w:rPr>
      </w:pPr>
    </w:p>
    <w:p w14:paraId="64129B2D">
      <w:pPr>
        <w:pStyle w:val="14"/>
        <w:jc w:val="both"/>
        <w:rPr>
          <w:rFonts w:hint="eastAsia" w:ascii="方正小标宋_GBK" w:hAnsi="方正小标宋_GBK" w:eastAsia="方正小标宋_GBK" w:cs="方正小标宋_GBK"/>
          <w:sz w:val="72"/>
          <w:szCs w:val="72"/>
          <w:lang w:eastAsia="zh-CN"/>
        </w:rPr>
      </w:pPr>
    </w:p>
    <w:p w14:paraId="06211665">
      <w:pPr>
        <w:pStyle w:val="14"/>
        <w:jc w:val="both"/>
        <w:rPr>
          <w:rFonts w:hint="eastAsia" w:ascii="方正小标宋_GBK" w:hAnsi="方正小标宋_GBK" w:eastAsia="方正小标宋_GBK" w:cs="方正小标宋_GBK"/>
          <w:sz w:val="72"/>
          <w:szCs w:val="72"/>
        </w:rPr>
      </w:pPr>
    </w:p>
    <w:p w14:paraId="7804FBAA">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4"/>
        <w:jc w:val="center"/>
        <w:rPr>
          <w:rFonts w:hint="eastAsia" w:ascii="方正小标宋_GBK" w:hAnsi="方正小标宋_GBK" w:eastAsia="方正小标宋_GBK" w:cs="方正小标宋_GBK"/>
          <w:sz w:val="70"/>
          <w:szCs w:val="70"/>
        </w:rPr>
      </w:pPr>
    </w:p>
    <w:p w14:paraId="4F77A5A6">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4"/>
        <w:jc w:val="center"/>
        <w:rPr>
          <w:rFonts w:hint="eastAsia" w:ascii="方正小标宋_GBK" w:hAnsi="方正小标宋_GBK" w:eastAsia="方正小标宋_GBK" w:cs="方正小标宋_GBK"/>
          <w:sz w:val="70"/>
          <w:szCs w:val="70"/>
        </w:rPr>
      </w:pPr>
    </w:p>
    <w:p w14:paraId="6EEC30AB">
      <w:pPr>
        <w:pStyle w:val="14"/>
        <w:jc w:val="center"/>
        <w:rPr>
          <w:rFonts w:hint="eastAsia" w:ascii="方正小标宋_GBK" w:hAnsi="方正小标宋_GBK" w:eastAsia="方正小标宋_GBK" w:cs="方正小标宋_GBK"/>
          <w:sz w:val="70"/>
          <w:szCs w:val="70"/>
        </w:rPr>
      </w:pPr>
    </w:p>
    <w:p w14:paraId="5EF1049C">
      <w:pPr>
        <w:pStyle w:val="14"/>
        <w:jc w:val="both"/>
        <w:rPr>
          <w:rFonts w:hint="eastAsia" w:ascii="方正小标宋_GBK" w:hAnsi="方正小标宋_GBK" w:eastAsia="方正小标宋_GBK" w:cs="方正小标宋_GBK"/>
          <w:sz w:val="70"/>
          <w:szCs w:val="70"/>
        </w:rPr>
      </w:pPr>
    </w:p>
    <w:p w14:paraId="7E4B3CF9">
      <w:pPr>
        <w:pStyle w:val="14"/>
        <w:jc w:val="center"/>
        <w:rPr>
          <w:rFonts w:hint="eastAsia" w:ascii="方正小标宋_GBK" w:hAnsi="方正小标宋_GBK" w:eastAsia="方正小标宋_GBK" w:cs="方正小标宋_GBK"/>
          <w:sz w:val="70"/>
          <w:szCs w:val="70"/>
        </w:rPr>
      </w:pPr>
    </w:p>
    <w:p w14:paraId="514C0722">
      <w:pPr>
        <w:pStyle w:val="14"/>
        <w:jc w:val="center"/>
        <w:rPr>
          <w:rFonts w:hint="eastAsia" w:ascii="方正小标宋_GBK" w:hAnsi="方正小标宋_GBK" w:eastAsia="方正小标宋_GBK" w:cs="方正小标宋_GBK"/>
          <w:sz w:val="70"/>
          <w:szCs w:val="70"/>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2411C08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155.25万元。与上年相比，减少1,232.78万元，减少</w:t>
      </w:r>
      <w:r>
        <w:rPr>
          <w:rFonts w:hint="eastAsia" w:ascii="仿宋_GB2312" w:hAnsi="仿宋_GB2312" w:eastAsia="仿宋_GB2312" w:cs="仿宋_GB2312"/>
          <w:sz w:val="32"/>
          <w:szCs w:val="32"/>
          <w:lang w:val="en-US" w:eastAsia="zh-CN"/>
        </w:rPr>
        <w:t>39.07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项目减少。</w:t>
      </w:r>
    </w:p>
    <w:p w14:paraId="07DA9E3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2"/>
          <w:sz w:val="32"/>
          <w:szCs w:val="32"/>
          <w:lang w:val="en-US" w:eastAsia="zh-CN" w:bidi="ar-SA"/>
        </w:rPr>
        <w:t>2024</w:t>
      </w:r>
      <w:r>
        <w:rPr>
          <w:rFonts w:hint="eastAsia" w:ascii="仿宋_GB2312" w:hAnsi="仿宋_GB2312" w:eastAsia="仿宋_GB2312" w:cs="仿宋_GB2312"/>
          <w:sz w:val="32"/>
          <w:szCs w:val="32"/>
        </w:rPr>
        <w:t>年度收入合计3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148.34万元，其中：财政拨款收入2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102.93万元，占</w:t>
      </w:r>
      <w:r>
        <w:rPr>
          <w:rFonts w:hint="eastAsia" w:ascii="仿宋_GB2312" w:hAnsi="仿宋_GB2312" w:eastAsia="仿宋_GB2312" w:cs="仿宋_GB2312"/>
          <w:sz w:val="32"/>
          <w:szCs w:val="32"/>
          <w:lang w:val="en-US" w:eastAsia="zh-CN"/>
        </w:rPr>
        <w:t>66.80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045.41万元，占</w:t>
      </w:r>
      <w:r>
        <w:rPr>
          <w:rFonts w:hint="eastAsia" w:ascii="仿宋_GB2312" w:hAnsi="仿宋_GB2312" w:eastAsia="仿宋_GB2312" w:cs="仿宋_GB2312"/>
          <w:sz w:val="32"/>
          <w:szCs w:val="32"/>
          <w:lang w:val="en-US" w:eastAsia="zh-CN"/>
        </w:rPr>
        <w:t>33.20</w:t>
      </w:r>
      <w:r>
        <w:rPr>
          <w:rFonts w:hint="eastAsia" w:ascii="仿宋_GB2312" w:hAnsi="仿宋_GB2312" w:eastAsia="仿宋_GB2312" w:cs="仿宋_GB2312"/>
          <w:sz w:val="32"/>
          <w:szCs w:val="32"/>
        </w:rPr>
        <w:t>%。</w:t>
      </w:r>
    </w:p>
    <w:p w14:paraId="2D1A2B4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2024年度支出合计3,151.00万元，其中：基本支出1,848.36万元，占58.66%；项目支出1,302.64万元，占41.34%；上缴上级支出0.00万元，占0.00%；经营支出0.00万元，占0.00%；对附属单位补助支出0.00万元，占0.00%。</w:t>
      </w:r>
    </w:p>
    <w:p w14:paraId="6985752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ED35F49">
      <w:pPr>
        <w:pStyle w:val="14"/>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auto"/>
          <w:kern w:val="2"/>
          <w:sz w:val="32"/>
          <w:szCs w:val="32"/>
          <w:lang w:val="en-US" w:eastAsia="zh-CN" w:bidi="ar-SA"/>
        </w:rPr>
        <w:t>2024年度财政拨款收、支总计2,102.93万元，与上年相比，增加234.67万元,增长11.16%，主要是因为节能环保支出基本支出增加。</w:t>
      </w:r>
    </w:p>
    <w:p w14:paraId="4BB30A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4CFEEC2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102.93万元，占本年支出合计的</w:t>
      </w:r>
      <w:r>
        <w:rPr>
          <w:rFonts w:hint="eastAsia" w:ascii="仿宋_GB2312" w:hAnsi="仿宋_GB2312" w:eastAsia="仿宋_GB2312" w:cs="仿宋_GB2312"/>
          <w:sz w:val="32"/>
          <w:szCs w:val="32"/>
          <w:lang w:val="en-US" w:eastAsia="zh-CN"/>
        </w:rPr>
        <w:t>66.74</w:t>
      </w:r>
      <w:r>
        <w:rPr>
          <w:rFonts w:hint="eastAsia" w:ascii="仿宋_GB2312" w:hAnsi="仿宋_GB2312" w:eastAsia="仿宋_GB2312" w:cs="仿宋_GB2312"/>
          <w:sz w:val="32"/>
          <w:szCs w:val="32"/>
        </w:rPr>
        <w:t>%，与上年相比，财政拨款支出增加234.67万元,增长</w:t>
      </w:r>
      <w:r>
        <w:rPr>
          <w:rFonts w:hint="eastAsia" w:ascii="仿宋_GB2312" w:hAnsi="仿宋_GB2312" w:eastAsia="仿宋_GB2312" w:cs="仿宋_GB2312"/>
          <w:sz w:val="32"/>
          <w:szCs w:val="32"/>
          <w:lang w:val="en-US" w:eastAsia="zh-CN"/>
        </w:rPr>
        <w:t>11.16</w:t>
      </w:r>
      <w:r>
        <w:rPr>
          <w:rFonts w:hint="eastAsia" w:ascii="仿宋_GB2312" w:hAnsi="仿宋_GB2312" w:eastAsia="仿宋_GB2312" w:cs="仿宋_GB2312"/>
          <w:sz w:val="32"/>
          <w:szCs w:val="32"/>
        </w:rPr>
        <w:t>%，主要是因为节能环保</w:t>
      </w:r>
      <w:r>
        <w:rPr>
          <w:rFonts w:hint="eastAsia" w:ascii="仿宋_GB2312" w:hAnsi="仿宋_GB2312" w:eastAsia="仿宋_GB2312" w:cs="仿宋_GB2312"/>
          <w:sz w:val="32"/>
          <w:szCs w:val="32"/>
          <w:lang w:val="en-US" w:eastAsia="zh-CN"/>
        </w:rPr>
        <w:t>支出基本支出增加。</w:t>
      </w:r>
    </w:p>
    <w:p w14:paraId="66C54C8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2"/>
          <w:sz w:val="32"/>
          <w:szCs w:val="32"/>
          <w:lang w:val="en-US" w:eastAsia="zh-CN" w:bidi="ar-SA"/>
        </w:rPr>
        <w:t>2024年度财政拨款支出2,102.93万元，主要用于以下方面：社会保障和就业支出212.45万元，占10.10%；卫生健康支出54.51万元，占2.60%;节能环保支出1,731.76万元，占82.35%;住房保障支出104.2万元，占4.95</w:t>
      </w:r>
      <w:r>
        <w:rPr>
          <w:rFonts w:hint="eastAsia" w:ascii="仿宋_GB2312" w:hAnsi="仿宋_GB2312" w:eastAsia="仿宋_GB2312" w:cs="仿宋_GB2312"/>
          <w:sz w:val="32"/>
          <w:szCs w:val="32"/>
        </w:rPr>
        <w:t>%;</w:t>
      </w:r>
    </w:p>
    <w:p w14:paraId="5CDBADF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758.83万元，支出决算数为2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102.93万元，完成年初预算的</w:t>
      </w:r>
      <w:r>
        <w:rPr>
          <w:rFonts w:hint="eastAsia" w:ascii="仿宋_GB2312" w:hAnsi="仿宋_GB2312" w:eastAsia="仿宋_GB2312" w:cs="仿宋_GB2312"/>
          <w:sz w:val="32"/>
          <w:szCs w:val="32"/>
          <w:lang w:val="en-US" w:eastAsia="zh-CN"/>
        </w:rPr>
        <w:t>119.56</w:t>
      </w:r>
      <w:r>
        <w:rPr>
          <w:rFonts w:hint="eastAsia" w:ascii="仿宋_GB2312" w:hAnsi="仿宋_GB2312" w:eastAsia="仿宋_GB2312" w:cs="仿宋_GB2312"/>
          <w:sz w:val="32"/>
          <w:szCs w:val="32"/>
        </w:rPr>
        <w:t>%，其中：</w:t>
      </w:r>
    </w:p>
    <w:p w14:paraId="237A4D6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7523608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144.36</w:t>
      </w:r>
      <w:r>
        <w:rPr>
          <w:rFonts w:hint="eastAsia" w:ascii="仿宋_GB2312" w:hAnsi="仿宋_GB2312" w:eastAsia="仿宋_GB2312" w:cs="仿宋_GB2312"/>
          <w:sz w:val="32"/>
          <w:szCs w:val="32"/>
          <w:highlight w:val="none"/>
        </w:rPr>
        <w:t>万元，支出决算为144.36万元，完成年初预算的</w:t>
      </w:r>
      <w:r>
        <w:rPr>
          <w:rFonts w:hint="eastAsia" w:ascii="仿宋_GB2312" w:hAnsi="仿宋_GB2312" w:eastAsia="仿宋_GB2312" w:cs="仿宋_GB2312"/>
          <w:sz w:val="32"/>
          <w:szCs w:val="32"/>
          <w:highlight w:val="none"/>
          <w:lang w:val="en-US" w:eastAsia="zh-CN"/>
        </w:rPr>
        <w:t>100.00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等于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lang w:eastAsia="zh-CN"/>
        </w:rPr>
        <w:t>严格按照预算执行</w:t>
      </w:r>
      <w:r>
        <w:rPr>
          <w:rFonts w:hint="eastAsia" w:ascii="仿宋_GB2312" w:hAnsi="仿宋_GB2312" w:eastAsia="仿宋_GB2312" w:cs="仿宋_GB2312"/>
          <w:sz w:val="32"/>
          <w:szCs w:val="32"/>
          <w:highlight w:val="none"/>
          <w:lang w:eastAsia="zh-CN"/>
        </w:rPr>
        <w:t>。</w:t>
      </w:r>
    </w:p>
    <w:p w14:paraId="3443D2A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2、社会保障和就业支出（类）抚恤（款）其他优抚支出（项）。</w:t>
      </w:r>
    </w:p>
    <w:p w14:paraId="2A8FC45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33.80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highlight w:val="none"/>
        </w:rPr>
        <w:t>，决算数大于年初预算数的主要原因是：其他优抚支出</w:t>
      </w:r>
      <w:r>
        <w:rPr>
          <w:rFonts w:hint="eastAsia" w:ascii="仿宋_GB2312" w:hAnsi="仿宋_GB2312" w:eastAsia="仿宋_GB2312" w:cs="仿宋_GB2312"/>
          <w:sz w:val="32"/>
          <w:szCs w:val="32"/>
          <w:highlight w:val="none"/>
          <w:lang w:val="en-US" w:eastAsia="zh-CN"/>
        </w:rPr>
        <w:t>年初未做预算。</w:t>
      </w:r>
    </w:p>
    <w:p w14:paraId="3788EB3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社会保障和就业支出（类）残疾人事业（款）其他残疾人事业支出（项）。</w:t>
      </w:r>
    </w:p>
    <w:p w14:paraId="2322A37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年初预算为3.82万元，支出决算为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%，决算数小于年初预算数的主要原因是</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体现在</w:t>
      </w:r>
      <w:r>
        <w:rPr>
          <w:rFonts w:hint="eastAsia" w:ascii="仿宋_GB2312" w:hAnsi="仿宋_GB2312" w:eastAsia="仿宋_GB2312" w:cs="仿宋_GB2312"/>
          <w:sz w:val="32"/>
          <w:szCs w:val="32"/>
          <w:highlight w:val="none"/>
        </w:rPr>
        <w:t>其他优抚支出</w:t>
      </w:r>
      <w:r>
        <w:rPr>
          <w:rFonts w:hint="eastAsia" w:ascii="仿宋_GB2312" w:hAnsi="仿宋_GB2312" w:eastAsia="仿宋_GB2312" w:cs="仿宋_GB2312"/>
          <w:sz w:val="32"/>
          <w:szCs w:val="32"/>
          <w:highlight w:val="none"/>
          <w:lang w:val="en-US" w:eastAsia="zh-CN"/>
        </w:rPr>
        <w:t>中</w:t>
      </w:r>
      <w:r>
        <w:rPr>
          <w:rFonts w:hint="eastAsia" w:ascii="仿宋_GB2312" w:hAnsi="仿宋_GB2312" w:eastAsia="仿宋_GB2312" w:cs="仿宋_GB2312"/>
          <w:sz w:val="32"/>
          <w:szCs w:val="32"/>
          <w:highlight w:val="none"/>
          <w:lang w:eastAsia="zh-CN"/>
        </w:rPr>
        <w:t>。</w:t>
      </w:r>
    </w:p>
    <w:p w14:paraId="7555712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社会保障和就业支出（类）其他社会保障和就业支出（款）其他社会保障和就业支出（项）。</w:t>
      </w:r>
    </w:p>
    <w:p w14:paraId="7E230B73">
      <w:pPr>
        <w:widowControl w:val="0"/>
        <w:autoSpaceDE w:val="0"/>
        <w:autoSpaceDN w:val="0"/>
        <w:adjustRightInd w:val="0"/>
        <w:ind w:firstLine="800" w:firstLineChars="25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年初预算为34.29万元，支出决算为</w:t>
      </w:r>
      <w:r>
        <w:rPr>
          <w:rFonts w:hint="eastAsia" w:ascii="仿宋_GB2312" w:hAnsi="仿宋_GB2312" w:eastAsia="仿宋_GB2312" w:cs="仿宋_GB2312"/>
          <w:sz w:val="32"/>
          <w:szCs w:val="32"/>
          <w:highlight w:val="none"/>
          <w:lang w:val="en-US" w:eastAsia="zh-CN"/>
        </w:rPr>
        <w:t>34.29</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100.00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等于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lang w:eastAsia="zh-CN"/>
        </w:rPr>
        <w:t>严格按照预算执行</w:t>
      </w:r>
      <w:r>
        <w:rPr>
          <w:rFonts w:hint="eastAsia" w:ascii="仿宋_GB2312" w:hAnsi="仿宋_GB2312" w:eastAsia="仿宋_GB2312" w:cs="仿宋_GB2312"/>
          <w:sz w:val="32"/>
          <w:szCs w:val="32"/>
          <w:highlight w:val="none"/>
          <w:lang w:eastAsia="zh-CN"/>
        </w:rPr>
        <w:t>。</w:t>
      </w:r>
    </w:p>
    <w:p w14:paraId="5556D1D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卫生健康支出（类）行政事业单位医疗（款）行政单位医疗（项）。</w:t>
      </w:r>
    </w:p>
    <w:p w14:paraId="6AC8256E">
      <w:pPr>
        <w:pStyle w:val="9"/>
        <w:ind w:firstLine="960" w:firstLineChars="3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年初预算为54.51万元，支出决算为54.51万元，完成年初预算的100.00%，决算数等于年初预算数的主要原因是：严格按照预算执行。</w:t>
      </w:r>
    </w:p>
    <w:p w14:paraId="1A9816D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6、卫生健康支出（类）行政事业单位医疗（款）公务员医疗补助（项）。</w:t>
      </w:r>
    </w:p>
    <w:p w14:paraId="54949F3E">
      <w:pPr>
        <w:pStyle w:val="9"/>
        <w:ind w:firstLine="960" w:firstLineChars="3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年初预算为14.21万元，支出决算为0.00万元，完成年初预算的0.00%，决算数小于年初预算数的主要原因是：体现在行政单位医疗支出中。</w:t>
      </w:r>
    </w:p>
    <w:p w14:paraId="1525961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7、节能环保支出（类）环境保护管理事务（款）行政运行（项）。</w:t>
      </w:r>
    </w:p>
    <w:p w14:paraId="16A3369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年初预算为1329.83万元，支出决算为1,305.95万元，完成年初预算的98.20%，决算数小于年初预算数的主要原因是：部分支出决算计</w:t>
      </w:r>
      <w:bookmarkStart w:id="1" w:name="_GoBack"/>
      <w:bookmarkEnd w:id="1"/>
      <w:r>
        <w:rPr>
          <w:rFonts w:hint="eastAsia" w:ascii="仿宋_GB2312" w:hAnsi="仿宋_GB2312" w:eastAsia="仿宋_GB2312" w:cs="仿宋_GB2312"/>
          <w:kern w:val="2"/>
          <w:sz w:val="32"/>
          <w:szCs w:val="32"/>
          <w:lang w:val="en-US" w:eastAsia="zh-CN" w:bidi="ar-SA"/>
        </w:rPr>
        <w:t>入</w:t>
      </w:r>
      <w:r>
        <w:rPr>
          <w:rFonts w:hint="eastAsia" w:ascii="仿宋_GB2312" w:hAnsi="仿宋_GB2312" w:eastAsia="仿宋_GB2312" w:cs="仿宋_GB2312"/>
          <w:sz w:val="32"/>
          <w:szCs w:val="32"/>
          <w:highlight w:val="none"/>
        </w:rPr>
        <w:t>其他环境保护管理事务支出</w:t>
      </w:r>
      <w:r>
        <w:rPr>
          <w:rFonts w:hint="eastAsia" w:ascii="仿宋_GB2312" w:hAnsi="仿宋_GB2312" w:eastAsia="仿宋_GB2312" w:cs="仿宋_GB2312"/>
          <w:kern w:val="2"/>
          <w:sz w:val="32"/>
          <w:szCs w:val="32"/>
          <w:lang w:val="en-US" w:eastAsia="zh-CN" w:bidi="ar-SA"/>
        </w:rPr>
        <w:t>。</w:t>
      </w:r>
    </w:p>
    <w:p w14:paraId="2A7561E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8、节能环保支出（类）环境保护管理事务（款）一般行政管理事务（项）。</w:t>
      </w:r>
    </w:p>
    <w:p w14:paraId="7AD4B0A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eastAsia="仿宋_GB2312"/>
          <w:highlight w:val="none"/>
          <w:lang w:val="en-US" w:eastAsia="zh-CN"/>
        </w:rPr>
      </w:pPr>
      <w:r>
        <w:rPr>
          <w:rFonts w:hint="eastAsia" w:ascii="仿宋_GB2312" w:hAnsi="仿宋_GB2312" w:eastAsia="仿宋_GB2312" w:cs="仿宋_GB2312"/>
          <w:kern w:val="2"/>
          <w:sz w:val="32"/>
          <w:szCs w:val="32"/>
          <w:lang w:val="en-US" w:eastAsia="zh-CN" w:bidi="ar-SA"/>
        </w:rPr>
        <w:t>年初预算为73.61万元，支出决算为61.30万元，完成年初预算的83.28%，决算数小于年初预算数的主要原因是：部分支出决算计入</w:t>
      </w:r>
      <w:r>
        <w:rPr>
          <w:rFonts w:hint="eastAsia" w:ascii="仿宋_GB2312" w:hAnsi="仿宋_GB2312" w:eastAsia="仿宋_GB2312" w:cs="仿宋_GB2312"/>
          <w:sz w:val="32"/>
          <w:szCs w:val="32"/>
          <w:highlight w:val="none"/>
        </w:rPr>
        <w:t>其他环境保护管理事务支出</w:t>
      </w:r>
      <w:r>
        <w:rPr>
          <w:rFonts w:hint="eastAsia" w:ascii="仿宋_GB2312" w:hAnsi="仿宋_GB2312" w:eastAsia="仿宋_GB2312" w:cs="仿宋_GB2312"/>
          <w:sz w:val="32"/>
          <w:szCs w:val="32"/>
          <w:highlight w:val="none"/>
          <w:lang w:eastAsia="zh-CN"/>
        </w:rPr>
        <w:t>。</w:t>
      </w:r>
    </w:p>
    <w:p w14:paraId="01F495C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节能环保支出（类）环境保护管理事务（款）其他环境保护管理事务支出（项）。</w:t>
      </w:r>
    </w:p>
    <w:p w14:paraId="3B72DABB">
      <w:pPr>
        <w:pStyle w:val="9"/>
        <w:ind w:firstLine="960" w:firstLineChars="300"/>
        <w:rPr>
          <w:rFonts w:hint="default" w:eastAsia="仿宋_GB2312"/>
          <w:highlight w:val="yellow"/>
          <w:lang w:val="en-US" w:eastAsia="zh-CN"/>
        </w:rPr>
      </w:pPr>
      <w:r>
        <w:rPr>
          <w:rFonts w:hint="eastAsia" w:ascii="仿宋_GB2312" w:hAnsi="仿宋_GB2312" w:eastAsia="仿宋_GB2312" w:cs="仿宋_GB2312"/>
          <w:sz w:val="32"/>
          <w:szCs w:val="32"/>
          <w:highlight w:val="none"/>
        </w:rPr>
        <w:t>年初预算</w:t>
      </w:r>
      <w:r>
        <w:rPr>
          <w:rFonts w:hint="eastAsia" w:ascii="仿宋_GB2312" w:hAnsi="仿宋_GB2312" w:eastAsia="仿宋_GB2312" w:cs="仿宋_GB2312"/>
          <w:kern w:val="2"/>
          <w:sz w:val="32"/>
          <w:szCs w:val="32"/>
          <w:lang w:val="en-US" w:eastAsia="zh-CN" w:bidi="ar-SA"/>
        </w:rPr>
        <w:t>为0.00万</w:t>
      </w:r>
      <w:r>
        <w:rPr>
          <w:rFonts w:hint="eastAsia" w:ascii="仿宋_GB2312" w:hAnsi="仿宋_GB2312" w:eastAsia="仿宋_GB2312" w:cs="仿宋_GB2312"/>
          <w:sz w:val="32"/>
          <w:szCs w:val="32"/>
          <w:highlight w:val="none"/>
        </w:rPr>
        <w:t>元，支出决算为</w:t>
      </w:r>
      <w:r>
        <w:rPr>
          <w:rFonts w:hint="eastAsia" w:ascii="仿宋_GB2312" w:hAnsi="仿宋_GB2312" w:eastAsia="仿宋_GB2312" w:cs="仿宋_GB2312"/>
          <w:kern w:val="2"/>
          <w:sz w:val="32"/>
          <w:szCs w:val="32"/>
          <w:lang w:val="en-US" w:eastAsia="zh-CN" w:bidi="ar-SA"/>
        </w:rPr>
        <w:t>219.96万</w:t>
      </w:r>
      <w:r>
        <w:rPr>
          <w:rFonts w:hint="eastAsia" w:ascii="仿宋_GB2312" w:hAnsi="仿宋_GB2312" w:eastAsia="仿宋_GB2312" w:cs="仿宋_GB2312"/>
          <w:sz w:val="32"/>
          <w:szCs w:val="32"/>
          <w:highlight w:val="none"/>
        </w:rPr>
        <w:t>元，</w:t>
      </w:r>
      <w:r>
        <w:rPr>
          <w:rFonts w:hint="eastAsia" w:ascii="仿宋_GB2312" w:hAnsi="仿宋_GB2312" w:eastAsia="仿宋_GB2312" w:cs="仿宋_GB2312"/>
          <w:sz w:val="32"/>
          <w:szCs w:val="32"/>
          <w:lang w:val="en-US" w:eastAsia="zh-CN"/>
        </w:rPr>
        <w:t>由于预算数为0，无法计</w:t>
      </w:r>
      <w:r>
        <w:rPr>
          <w:rFonts w:hint="eastAsia" w:ascii="仿宋_GB2312" w:hAnsi="仿宋_GB2312" w:eastAsia="仿宋_GB2312" w:cs="仿宋_GB2312"/>
          <w:sz w:val="32"/>
          <w:szCs w:val="32"/>
          <w:highlight w:val="none"/>
          <w:lang w:val="en-US" w:eastAsia="zh-CN"/>
        </w:rPr>
        <w:t>算完成年初预算的百分比</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大于</w:t>
      </w:r>
      <w:r>
        <w:rPr>
          <w:rFonts w:hint="eastAsia" w:ascii="仿宋_GB2312" w:hAnsi="仿宋_GB2312" w:eastAsia="仿宋_GB2312" w:cs="仿宋_GB2312"/>
          <w:sz w:val="32"/>
          <w:szCs w:val="32"/>
          <w:highlight w:val="none"/>
        </w:rPr>
        <w:t>年初预算数的主要原因是：其他环境保护管理事务支出</w:t>
      </w:r>
      <w:r>
        <w:rPr>
          <w:rFonts w:hint="eastAsia" w:ascii="仿宋_GB2312" w:hAnsi="仿宋_GB2312" w:eastAsia="仿宋_GB2312" w:cs="仿宋_GB2312"/>
          <w:sz w:val="32"/>
          <w:szCs w:val="32"/>
          <w:highlight w:val="none"/>
          <w:lang w:val="en-US" w:eastAsia="zh-CN"/>
        </w:rPr>
        <w:t>年初未做预算。</w:t>
      </w:r>
    </w:p>
    <w:p w14:paraId="2CBFA5F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节能环保支出（类）环境监测与监察（款）其他环境监测与监察支出（项）。</w:t>
      </w:r>
    </w:p>
    <w:p w14:paraId="070DF8B1">
      <w:pPr>
        <w:pStyle w:val="9"/>
        <w:ind w:firstLine="960" w:firstLineChars="300"/>
        <w:rPr>
          <w:rFonts w:hint="default" w:eastAsia="仿宋_GB2312"/>
          <w:highlight w:val="yellow"/>
          <w:lang w:val="en-US"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13.80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由于预算数为0，无法计算完成年初预算的百分比</w:t>
      </w:r>
      <w:r>
        <w:rPr>
          <w:rFonts w:hint="eastAsia" w:ascii="仿宋_GB2312" w:hAnsi="仿宋_GB2312" w:eastAsia="仿宋_GB2312" w:cs="仿宋_GB2312"/>
          <w:sz w:val="32"/>
          <w:szCs w:val="32"/>
          <w:highlight w:val="none"/>
        </w:rPr>
        <w:t>，决算数大于年初预算数的主要原因是：其他环境监测与监察支出</w:t>
      </w:r>
      <w:r>
        <w:rPr>
          <w:rFonts w:hint="eastAsia" w:ascii="仿宋_GB2312" w:hAnsi="仿宋_GB2312" w:eastAsia="仿宋_GB2312" w:cs="仿宋_GB2312"/>
          <w:sz w:val="32"/>
          <w:szCs w:val="32"/>
          <w:highlight w:val="none"/>
          <w:lang w:val="en-US" w:eastAsia="zh-CN"/>
        </w:rPr>
        <w:t>年初未做预算。</w:t>
      </w:r>
    </w:p>
    <w:p w14:paraId="51D4043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节能环保支出（类）污染防治（款）其他污染防治支出（项）。</w:t>
      </w:r>
    </w:p>
    <w:p w14:paraId="196C6C21">
      <w:pPr>
        <w:pStyle w:val="9"/>
        <w:ind w:firstLine="960" w:firstLineChars="300"/>
        <w:rPr>
          <w:rFonts w:hint="default" w:eastAsia="仿宋_GB2312"/>
          <w:highlight w:val="none"/>
          <w:lang w:val="en-US"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32.52</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lang w:val="en-US" w:eastAsia="zh-CN"/>
        </w:rPr>
        <w:t>由于预算数为0，无</w:t>
      </w:r>
      <w:r>
        <w:rPr>
          <w:rFonts w:hint="eastAsia" w:ascii="仿宋_GB2312" w:hAnsi="仿宋_GB2312" w:eastAsia="仿宋_GB2312" w:cs="仿宋_GB2312"/>
          <w:sz w:val="32"/>
          <w:szCs w:val="32"/>
          <w:highlight w:val="none"/>
          <w:lang w:val="en-US" w:eastAsia="zh-CN"/>
        </w:rPr>
        <w:t>法计算完成年初预算的百分比</w:t>
      </w:r>
      <w:r>
        <w:rPr>
          <w:rFonts w:hint="eastAsia" w:ascii="仿宋_GB2312" w:hAnsi="仿宋_GB2312" w:eastAsia="仿宋_GB2312" w:cs="仿宋_GB2312"/>
          <w:sz w:val="32"/>
          <w:szCs w:val="32"/>
          <w:highlight w:val="none"/>
        </w:rPr>
        <w:t>，决算数大于年初预算数的主要原因是：其他污染防治支出</w:t>
      </w:r>
      <w:r>
        <w:rPr>
          <w:rFonts w:hint="eastAsia" w:ascii="仿宋_GB2312" w:hAnsi="仿宋_GB2312" w:eastAsia="仿宋_GB2312" w:cs="仿宋_GB2312"/>
          <w:sz w:val="32"/>
          <w:szCs w:val="32"/>
          <w:highlight w:val="none"/>
          <w:lang w:val="en-US" w:eastAsia="zh-CN"/>
        </w:rPr>
        <w:t>支出年初未做预算。</w:t>
      </w:r>
    </w:p>
    <w:p w14:paraId="24F2A06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12、</w:t>
      </w:r>
      <w:r>
        <w:rPr>
          <w:rFonts w:hint="eastAsia" w:ascii="仿宋_GB2312" w:hAnsi="仿宋_GB2312" w:eastAsia="仿宋_GB2312" w:cs="仿宋_GB2312"/>
          <w:sz w:val="32"/>
          <w:szCs w:val="32"/>
          <w:highlight w:val="none"/>
        </w:rPr>
        <w:t>节能环保支出（类）污染减排（款）生态环境执法监察（项）。</w:t>
      </w:r>
    </w:p>
    <w:p w14:paraId="6D59D722">
      <w:pPr>
        <w:pStyle w:val="9"/>
        <w:ind w:firstLine="960" w:firstLineChars="300"/>
        <w:rPr>
          <w:rFonts w:hint="default" w:eastAsia="仿宋_GB2312"/>
          <w:highlight w:val="yellow"/>
          <w:lang w:val="en-US"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28.00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由于预算数为0，无法计算完成年初预算的百分比</w:t>
      </w:r>
      <w:r>
        <w:rPr>
          <w:rFonts w:hint="eastAsia" w:ascii="仿宋_GB2312" w:hAnsi="仿宋_GB2312" w:eastAsia="仿宋_GB2312" w:cs="仿宋_GB2312"/>
          <w:sz w:val="32"/>
          <w:szCs w:val="32"/>
          <w:highlight w:val="none"/>
        </w:rPr>
        <w:t>，决算数大于年初预算数的主要原因是：生态环境执法监察</w:t>
      </w:r>
      <w:r>
        <w:rPr>
          <w:rFonts w:hint="eastAsia" w:ascii="仿宋_GB2312" w:hAnsi="仿宋_GB2312" w:eastAsia="仿宋_GB2312" w:cs="仿宋_GB2312"/>
          <w:sz w:val="32"/>
          <w:szCs w:val="32"/>
          <w:highlight w:val="none"/>
          <w:lang w:val="en-US" w:eastAsia="zh-CN"/>
        </w:rPr>
        <w:t>支出年初未做预算。</w:t>
      </w:r>
    </w:p>
    <w:p w14:paraId="48088AD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13、</w:t>
      </w:r>
      <w:r>
        <w:rPr>
          <w:rFonts w:hint="eastAsia" w:ascii="仿宋_GB2312" w:hAnsi="仿宋_GB2312" w:eastAsia="仿宋_GB2312" w:cs="仿宋_GB2312"/>
          <w:sz w:val="32"/>
          <w:szCs w:val="32"/>
          <w:highlight w:val="none"/>
        </w:rPr>
        <w:t>节能环保支出（类）其他节能环保支出（款）其他节能环保支出（项）。</w:t>
      </w:r>
    </w:p>
    <w:p w14:paraId="77BCD7EE">
      <w:pPr>
        <w:pStyle w:val="9"/>
        <w:ind w:firstLine="960" w:firstLineChars="300"/>
        <w:rPr>
          <w:rFonts w:hint="default" w:eastAsia="仿宋_GB2312"/>
          <w:highlight w:val="none"/>
          <w:lang w:val="en-US"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70.24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highlight w:val="none"/>
        </w:rPr>
        <w:t>，决算数大于年初预算数的主要原因是：其他节能环保支出</w:t>
      </w:r>
      <w:r>
        <w:rPr>
          <w:rFonts w:hint="eastAsia" w:ascii="仿宋_GB2312" w:hAnsi="仿宋_GB2312" w:eastAsia="仿宋_GB2312" w:cs="仿宋_GB2312"/>
          <w:sz w:val="32"/>
          <w:szCs w:val="32"/>
          <w:highlight w:val="none"/>
          <w:lang w:val="en-US" w:eastAsia="zh-CN"/>
        </w:rPr>
        <w:t>年初未做预算。</w:t>
      </w:r>
    </w:p>
    <w:p w14:paraId="5882BB2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14、</w:t>
      </w:r>
      <w:r>
        <w:rPr>
          <w:rFonts w:hint="eastAsia" w:ascii="仿宋_GB2312" w:hAnsi="仿宋_GB2312" w:eastAsia="仿宋_GB2312" w:cs="仿宋_GB2312"/>
          <w:sz w:val="32"/>
          <w:szCs w:val="32"/>
          <w:highlight w:val="none"/>
        </w:rPr>
        <w:t>住房保障支出（类）住房改革支出（款）住房公积金（项）。</w:t>
      </w:r>
    </w:p>
    <w:p w14:paraId="02F6C9DE">
      <w:pPr>
        <w:pStyle w:val="9"/>
        <w:ind w:firstLine="960" w:firstLineChars="300"/>
        <w:rPr>
          <w:rFonts w:hint="eastAsia"/>
        </w:rPr>
      </w:pPr>
      <w:r>
        <w:rPr>
          <w:rFonts w:hint="eastAsia" w:ascii="仿宋_GB2312" w:hAnsi="仿宋_GB2312" w:eastAsia="仿宋_GB2312" w:cs="仿宋_GB2312"/>
          <w:sz w:val="32"/>
          <w:szCs w:val="32"/>
          <w:highlight w:val="none"/>
        </w:rPr>
        <w:t>年初预算为104.2</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万元，支出决算为104.2</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等于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lang w:eastAsia="zh-CN"/>
        </w:rPr>
        <w:t>严格按照预算执行。</w:t>
      </w:r>
    </w:p>
    <w:p w14:paraId="373E8BA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846.16万元，其中：</w:t>
      </w:r>
    </w:p>
    <w:p w14:paraId="763B784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color w:val="auto"/>
          <w:kern w:val="2"/>
          <w:sz w:val="32"/>
          <w:szCs w:val="32"/>
          <w:lang w:val="en-US" w:eastAsia="zh-CN" w:bidi="ar-SA"/>
        </w:rPr>
        <w:t>1,590.16</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86.13</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绩效工资、机关事业单位基本养老保险缴费、职业年金缴费、职工基本医疗保险缴费、公务员医疗补助缴费、其他社会保障缴费、住房公积金、医疗费、其他工资福利支出、退休费、抚恤金、医疗费补助、其他对个人和家庭的补助。</w:t>
      </w:r>
    </w:p>
    <w:p w14:paraId="4A7CE8E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color w:val="auto"/>
          <w:kern w:val="2"/>
          <w:sz w:val="32"/>
          <w:szCs w:val="32"/>
          <w:lang w:val="en-US" w:eastAsia="zh-CN" w:bidi="ar-SA"/>
        </w:rPr>
        <w:t>256.00</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13.84</w:t>
      </w:r>
      <w:r>
        <w:rPr>
          <w:rFonts w:hint="eastAsia" w:ascii="仿宋_GB2312" w:hAnsi="仿宋_GB2312" w:eastAsia="仿宋_GB2312" w:cs="仿宋_GB2312"/>
          <w:sz w:val="32"/>
          <w:szCs w:val="32"/>
        </w:rPr>
        <w:t>%，主要包括办公费、印刷费、电费</w:t>
      </w:r>
      <w:r>
        <w:rPr>
          <w:rFonts w:hint="eastAsia" w:ascii="仿宋_GB2312" w:hAnsi="仿宋_GB2312" w:eastAsia="仿宋_GB2312" w:cs="仿宋_GB2312"/>
          <w:sz w:val="32"/>
          <w:szCs w:val="32"/>
          <w:lang w:eastAsia="zh-CN"/>
        </w:rPr>
        <w:t>、邮电费、物业管理费、差旅费、维修（护）费、会议费、培训费、公务接待费、专用材料费、劳务费、委托业务费、工会经费、福利费、公务用车运行维护费、其他交通费用、其他商品和服务支出</w:t>
      </w:r>
      <w:r>
        <w:rPr>
          <w:rFonts w:hint="eastAsia" w:ascii="仿宋_GB2312" w:hAnsi="仿宋_GB2312" w:eastAsia="仿宋_GB2312" w:cs="仿宋_GB2312"/>
          <w:sz w:val="32"/>
          <w:szCs w:val="32"/>
        </w:rPr>
        <w:t>。</w:t>
      </w:r>
    </w:p>
    <w:p w14:paraId="238B27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2024年度政府性基金预算财政拨款收入</w:t>
      </w:r>
      <w:r>
        <w:rPr>
          <w:rFonts w:hint="eastAsia" w:ascii="仿宋_GB2312" w:hAnsi="仿宋_GB2312" w:eastAsia="仿宋_GB2312" w:cs="仿宋_GB2312"/>
          <w:color w:val="auto"/>
          <w:kern w:val="2"/>
          <w:sz w:val="32"/>
          <w:szCs w:val="32"/>
          <w:lang w:val="en-US" w:eastAsia="zh-CN" w:bidi="ar-SA"/>
        </w:rPr>
        <w:t>0万</w:t>
      </w:r>
      <w:r>
        <w:rPr>
          <w:rFonts w:hint="eastAsia" w:ascii="Times New Roman" w:hAnsi="Times New Roman" w:eastAsia="仿宋_GB2312"/>
          <w:sz w:val="32"/>
          <w:szCs w:val="32"/>
          <w:lang w:val="en-US" w:eastAsia="zh-CN"/>
        </w:rPr>
        <w:t>元；年初结转和结</w:t>
      </w:r>
      <w:r>
        <w:rPr>
          <w:rFonts w:hint="eastAsia" w:ascii="仿宋_GB2312" w:hAnsi="仿宋_GB2312" w:eastAsia="仿宋_GB2312" w:cs="仿宋_GB2312"/>
          <w:color w:val="auto"/>
          <w:kern w:val="2"/>
          <w:sz w:val="32"/>
          <w:szCs w:val="32"/>
          <w:lang w:val="en-US" w:eastAsia="zh-CN" w:bidi="ar-SA"/>
        </w:rPr>
        <w:t>余0万元；支出0万元，其中基本支出0万元，项目支出0万元；年末结转和结余0万元</w:t>
      </w:r>
      <w:r>
        <w:rPr>
          <w:rFonts w:hint="eastAsia" w:ascii="Times New Roman" w:hAnsi="Times New Roman" w:eastAsia="仿宋_GB2312"/>
          <w:sz w:val="32"/>
          <w:szCs w:val="32"/>
          <w:lang w:val="en-US" w:eastAsia="zh-CN"/>
        </w:rPr>
        <w:t>。</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014D543B">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w:t>
      </w:r>
      <w:r>
        <w:rPr>
          <w:rFonts w:hint="eastAsia" w:ascii="仿宋_GB2312" w:hAnsi="仿宋_GB2312" w:eastAsia="仿宋_GB2312" w:cs="仿宋_GB2312"/>
          <w:color w:val="auto"/>
          <w:kern w:val="2"/>
          <w:sz w:val="32"/>
          <w:szCs w:val="32"/>
          <w:lang w:val="en-US" w:eastAsia="zh-CN" w:bidi="ar-SA"/>
        </w:rPr>
        <w:t>财政拨款收入0万元；年初结转和结余0万；支出0万元，其中：基本支出0万元，项目支出0万元；年末结转和结余0万</w:t>
      </w:r>
      <w:r>
        <w:rPr>
          <w:rFonts w:hint="eastAsia" w:ascii="仿宋_GB2312" w:hAnsi="仿宋_GB2312" w:eastAsia="仿宋_GB2312" w:cs="仿宋_GB2312"/>
          <w:color w:val="000000"/>
          <w:kern w:val="0"/>
          <w:sz w:val="32"/>
          <w:szCs w:val="32"/>
          <w:highlight w:val="none"/>
          <w:lang w:val="en-US" w:eastAsia="zh-CN" w:bidi="ar-SA"/>
        </w:rPr>
        <w:t>元。</w:t>
      </w:r>
    </w:p>
    <w:p w14:paraId="5876C25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度“三公”经费财政拨款支出预算为6.00万元，支出决算为3.60万元，完成预算的60.00%；与上年相比减少1.67万元，降低68.31%。决算数小于预算数的主要原因是厉行节约，严格控制“三公”经费。决算数小于上年数的主要原因是厉行节约，严格控制“三公”经费。</w:t>
      </w:r>
    </w:p>
    <w:p w14:paraId="352D03A7">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26258094">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因公出国（境）费支出预算为0万元，支出决算为0万元，决算数等于预算数，主要原因是我单位严格按预算执行决算；与上年一致，无增减变动，主要原因是未安排因公出国（境）活动。2024年度安排因公出国（境）团组0个，累计0人次。</w:t>
      </w:r>
    </w:p>
    <w:p w14:paraId="65978CA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2.公务用车购置费及运行维护费支出预算为3.00万元，支出决算为3.00万元，完成预算的100.00%；与上年相比减少0.30万元，降低9.10%。其中：</w:t>
      </w:r>
    </w:p>
    <w:p w14:paraId="35E56CB0">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公务用车购置费支出预算为0万元，支出决算为0万元，决算数等于预算数，主要原因是我单位严格按预算执行决算；与上年一致，无增减变动，主要原因是两年均未购置公务用车。本单位更新公务用车0辆。</w:t>
      </w:r>
    </w:p>
    <w:p w14:paraId="1D42295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公务用车运行维护费支出预算为3.00万元，支出决算为3.00万元，</w:t>
      </w:r>
    </w:p>
    <w:p w14:paraId="75A272C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主要是公务用车加油、维修、保险支出，完成预算的100.00%；与上年相比减少0.30万元，降低9.10%。决算数等于预算数的主要原因是严格按照年初预算执行。决算数小于上年数的主要原因是按有关政策厉行节约，严控公务用车运行维护费。截止到2024年12月31日，我单位开支财政拨款的公务用车保有量为1辆。</w:t>
      </w:r>
    </w:p>
    <w:p w14:paraId="1C7E262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公务接待费支出预算为3.00万元，支出决算为0.6万元，完成预算的2.00%；与上年相比减少1.37万元，降低69.54%。决算数小于预算数的主要原因是按有关政策厉行节约，严控公务接待费支出。决算数小于上年数的主要原因是按有关政策厉行节约，严控公务接待费支出。2024年度共接待来访团组6个、来宾50人次，主要是环境执法检查、环保督查、企业双随机抽查、环境监测等发生的接待支出。</w:t>
      </w:r>
    </w:p>
    <w:p w14:paraId="3D06ACE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本部门2024年度机关运行经费支出256.00万元，比上年决算数减少4.64万元，降低1.78%。主要原因是：严格控制经费支出。</w:t>
      </w:r>
    </w:p>
    <w:p w14:paraId="39684EF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2024年年度，会议费年初预算2.00万元，支出决算为0.20万元，完成年初预算的10.00%。用于召开岳阳县生态环境保护大会，人数60人，内容为岳阳县生态环境保护大会的会议。</w:t>
      </w:r>
    </w:p>
    <w:p w14:paraId="6BF19328">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培训费年初预算0.00万元，支出决算为0.82万元，由于预算数为0，无法计算完成年初预算的百分比。用于开展生态环境执法、固体废物规范化环境管理等业务学习培训，人数60人，内容为生态环境执法无人机应用、固体废物规范化环境管理、专业业务等学习培训。</w:t>
      </w:r>
    </w:p>
    <w:p w14:paraId="39C2EAB5">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举办节庆、晚会、论坛、赛事活动年初预算0.00万元，支出决算为0.00万元，由于预算数为0，无法计算完成年初预算的百分比，主要是本单位无举办节庆、晚会、论坛、赛事等活动的预算和支出决算数。</w:t>
      </w:r>
    </w:p>
    <w:p w14:paraId="252D0BE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部门2024年度政府采购支出总额390.30万元，其中：政府采购货物支出134.29万元、政府采购工程支出0.00万元、政府采购服务支出256.01万元。授予中小企业合同金额390.30万元，占政府采购支出总额的100.00%，其中：授予小微企业合同金额390.30万元，占授予中小企业合同金额的100.00%。货物采购授予中小企业合同金额占货物支出金额的100.00%，工程采购授予中小企业合同金额占工程支出金额的100.00%，服务采购授予中小企业合同金额占服务支出金额的100.00%。</w:t>
      </w:r>
    </w:p>
    <w:p w14:paraId="246A0DF6">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044E38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截至2024年12月31日，部门（单位）共有车辆1辆，其中，副部（省）级及以上领导用车0辆、主要负责人用车0辆、机要通信用车0辆、应急保障用车0辆、执法执勤用车0辆、特种专业技术用车0辆、离退休干部服务用车0辆、其他用车1辆，其他用车主要是公务用车；单位价值100万元以上设备（不含车辆）0台（套）。</w:t>
      </w:r>
    </w:p>
    <w:p w14:paraId="0A8224AC">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3E6B6DCD">
      <w:pPr>
        <w:overflowPunct w:val="0"/>
        <w:spacing w:line="60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hint="eastAsia" w:ascii="仿宋_GB2312" w:hAnsi="仿宋_GB2312" w:eastAsia="仿宋_GB2312" w:cs="仿宋_GB2312"/>
          <w:color w:val="auto"/>
          <w:kern w:val="2"/>
          <w:sz w:val="32"/>
          <w:szCs w:val="32"/>
          <w:lang w:val="en-US" w:eastAsia="zh-CN" w:bidi="ar-SA"/>
        </w:rPr>
        <w:t>组织对2024年度本部门（单位）整体支出开展绩效自评，涉及项目1个，共涉及资金69.86万元。其中，一般公共预算项目1个69.86万元，占一般公共预算支出总额的27.20%；政府性基金预算项目0个0.00万元，由于政府性基金预算项目支出总额为0，故无法计算占政府性基金预算项目支出总额的比重；国有资本经营预算项目0个0.00万元，由于国有资本经营预算项目支出总额为0，故无法计算占国有资本经营预算项目支出总额的比重；社会保险基金预算项目0个0.00万元，由于社会保险基金预算项目支出总额为0，故无法计算占社会保险基金预算项目支出总额的比重。</w:t>
      </w:r>
    </w:p>
    <w:p w14:paraId="7C65853C">
      <w:pPr>
        <w:overflowPunct w:val="0"/>
        <w:spacing w:line="60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仿宋_GB2312" w:hAnsi="仿宋_GB2312" w:eastAsia="仿宋_GB2312" w:cs="仿宋_GB2312"/>
          <w:color w:val="auto"/>
          <w:kern w:val="2"/>
          <w:sz w:val="32"/>
          <w:szCs w:val="32"/>
          <w:lang w:val="en-US" w:eastAsia="zh-CN" w:bidi="ar-SA"/>
        </w:rPr>
        <w:t>本单位为二级预算单位，部门评价开展情况可详见上级部门决算公开说明。</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kern w:val="0"/>
          <w:sz w:val="32"/>
          <w:szCs w:val="32"/>
          <w:lang w:val="en-US" w:eastAsia="zh-CN"/>
        </w:rPr>
        <w:t>本单位为二级预算单位，事前绩效评估开展情况可详见上级部门决算公开说明</w:t>
      </w:r>
      <w:r>
        <w:rPr>
          <w:rFonts w:ascii="Times New Roman" w:hAnsi="Times New Roman" w:eastAsia="仿宋_GB2312" w:cs="Times New Roman"/>
          <w:kern w:val="0"/>
          <w:sz w:val="32"/>
          <w:szCs w:val="32"/>
        </w:rPr>
        <w:t>。</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3F32372E">
      <w:pPr>
        <w:widowControl/>
        <w:spacing w:line="56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hint="eastAsia" w:ascii="仿宋_GB2312" w:hAnsi="仿宋_GB2312" w:eastAsia="仿宋_GB2312" w:cs="仿宋_GB2312"/>
          <w:color w:val="auto"/>
          <w:kern w:val="2"/>
          <w:sz w:val="32"/>
          <w:szCs w:val="32"/>
          <w:lang w:val="en-US" w:eastAsia="zh-CN" w:bidi="ar-SA"/>
        </w:rPr>
        <w:t>2024年度本部门（单位）整体支出全年预算数3，259.92万元，执行数3，151.00万元，完成预算的96.66%，绩效自评得分98.96分，评价等级为“优”。绩效目标完成情况：一是县城空气质量优良率达到89%以上，PM2.5浓度控制在35ug/m3以下；二是国、省控断面水质达标率达到市级考核要求，集中式饮用水水源地水质达标率保持在100%；三是不发生重大环境污染事故和重大生态破坏事件。发现的主要问题及原因：一是生态环境质量改善压力大。水环境方面，我县国控水质断面虽能达到省级考核目标，但受县城区排水影响，八仙桥断面总磷浓度仍不能稳定达标；大气环境方面，在有效控制PM2.5浓度上措施还不够有力，特别是在秸秆禁烧上部门、乡镇在协同发力上还有差距；二是党建引领中心工作不够深。日常工作中聚焦于生态环境考核目标任务的完成，导致在制定工作计划、分配工作资源时，党建工作所有弱化，党建工作与生态环境监管、环境质量改善、重点项目实施的融合度不高；三是队伍综合素质有待提高。部分执法人员在专业知识和业务水平上系统学习不够，不主动，敬业精神不够强，主动担当作为不够，发现问题、处理问题、应对问题的能力还有待提高。下一步改进措施：一是加强财务管理，严格财务审批。在费用报账支付时，按照预算规定的费用项目和用途进行资金使用、审核，列报支付，财务核算杜绝超支现象的发生；二是加强培训。建议多开展部门整体绩效评价工作的业务工作培训，组织开展部门之间、单位之间的经验交流，特别是要组织非财务部门的人员参与评价工作，切实推进绩效评价工作的开展；三是保持大气、水环境、土壤环境质量良好状态，达到考核标准，统筹抓好整改，完成上级交办的突出环境问题整治任务，保障全年不发生重大环境污染事故和重大生态破坏事件。</w:t>
      </w:r>
    </w:p>
    <w:p w14:paraId="3042549D">
      <w:pPr>
        <w:overflowPunct w:val="0"/>
        <w:spacing w:line="60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b w:val="0"/>
          <w:bCs w:val="0"/>
          <w:kern w:val="0"/>
          <w:sz w:val="32"/>
          <w:szCs w:val="32"/>
          <w:lang w:val="en-US" w:eastAsia="zh-CN"/>
        </w:rPr>
        <w:t>本</w:t>
      </w:r>
      <w:r>
        <w:rPr>
          <w:rFonts w:hint="eastAsia" w:ascii="仿宋_GB2312" w:hAnsi="仿宋_GB2312" w:eastAsia="仿宋_GB2312" w:cs="仿宋_GB2312"/>
          <w:color w:val="auto"/>
          <w:kern w:val="2"/>
          <w:sz w:val="32"/>
          <w:szCs w:val="32"/>
          <w:lang w:val="en-US" w:eastAsia="zh-CN" w:bidi="ar-SA"/>
        </w:rPr>
        <w:t>单位为二级预算单位，部门评价结果可详见上级部门决算公开说明。</w:t>
      </w:r>
    </w:p>
    <w:p w14:paraId="5DC4775D">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b w:val="0"/>
          <w:bCs w:val="0"/>
          <w:kern w:val="0"/>
          <w:sz w:val="32"/>
          <w:szCs w:val="32"/>
          <w:highlight w:val="none"/>
          <w:lang w:val="en-US" w:eastAsia="zh-CN"/>
        </w:rPr>
        <w:t>本单位为二级预算单位，部门评价结果可详见上级部门决算公开说明。</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2E1CBAA7">
      <w:pPr>
        <w:overflowPunct w:val="0"/>
        <w:spacing w:line="60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请根据2024年度绩效自评结果、部门评价结果、事前绩效评价结果对本部门2025年度预算安排，支出结构调整，资金管理，制度建设等方面结果运用进行简要说明。</w:t>
      </w:r>
    </w:p>
    <w:p w14:paraId="5E8AD5A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BEA247">
      <w:pPr>
        <w:pStyle w:val="9"/>
        <w:rPr>
          <w:rFonts w:hint="eastAsia"/>
          <w:lang w:val="en-US" w:eastAsia="zh-CN"/>
        </w:rPr>
      </w:pPr>
    </w:p>
    <w:p w14:paraId="47586AB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147E06D0">
      <w:pPr>
        <w:pStyle w:val="14"/>
        <w:jc w:val="both"/>
        <w:rPr>
          <w:rFonts w:hint="eastAsia" w:ascii="方正小标宋_GBK" w:hAnsi="方正小标宋_GBK" w:eastAsia="方正小标宋_GBK" w:cs="方正小标宋_GBK"/>
          <w:sz w:val="24"/>
          <w:szCs w:val="24"/>
        </w:rPr>
      </w:pPr>
    </w:p>
    <w:p w14:paraId="3D83FDA1">
      <w:pPr>
        <w:pStyle w:val="14"/>
        <w:jc w:val="center"/>
        <w:rPr>
          <w:rFonts w:hint="eastAsia" w:ascii="方正小标宋_GBK" w:hAnsi="方正小标宋_GBK" w:eastAsia="方正小标宋_GBK" w:cs="方正小标宋_GBK"/>
          <w:sz w:val="72"/>
          <w:szCs w:val="72"/>
        </w:rPr>
      </w:pPr>
    </w:p>
    <w:p w14:paraId="6FB6F211">
      <w:pPr>
        <w:pStyle w:val="14"/>
        <w:jc w:val="center"/>
        <w:rPr>
          <w:rFonts w:hint="eastAsia" w:ascii="方正小标宋_GBK" w:hAnsi="方正小标宋_GBK" w:eastAsia="方正小标宋_GBK" w:cs="方正小标宋_GBK"/>
          <w:sz w:val="72"/>
          <w:szCs w:val="72"/>
        </w:rPr>
      </w:pPr>
    </w:p>
    <w:p w14:paraId="3A01B6B0">
      <w:pPr>
        <w:pStyle w:val="14"/>
        <w:jc w:val="center"/>
        <w:rPr>
          <w:rFonts w:hint="eastAsia" w:ascii="方正小标宋_GBK" w:hAnsi="方正小标宋_GBK" w:eastAsia="方正小标宋_GBK" w:cs="方正小标宋_GBK"/>
          <w:sz w:val="72"/>
          <w:szCs w:val="72"/>
        </w:rPr>
      </w:pPr>
    </w:p>
    <w:p w14:paraId="75D04053">
      <w:pPr>
        <w:pStyle w:val="14"/>
        <w:jc w:val="center"/>
        <w:rPr>
          <w:rFonts w:hint="eastAsia" w:ascii="方正小标宋_GBK" w:hAnsi="方正小标宋_GBK" w:eastAsia="方正小标宋_GBK" w:cs="方正小标宋_GBK"/>
          <w:sz w:val="72"/>
          <w:szCs w:val="72"/>
        </w:rPr>
      </w:pPr>
    </w:p>
    <w:p w14:paraId="05319520">
      <w:pPr>
        <w:pStyle w:val="14"/>
        <w:jc w:val="center"/>
        <w:rPr>
          <w:rFonts w:hint="eastAsia" w:ascii="方正小标宋_GBK" w:hAnsi="方正小标宋_GBK" w:eastAsia="方正小标宋_GBK" w:cs="方正小标宋_GBK"/>
          <w:sz w:val="72"/>
          <w:szCs w:val="72"/>
        </w:rPr>
      </w:pPr>
    </w:p>
    <w:p w14:paraId="2FE617A6">
      <w:pPr>
        <w:pStyle w:val="14"/>
        <w:jc w:val="center"/>
        <w:rPr>
          <w:rFonts w:hint="eastAsia" w:ascii="方正小标宋_GBK" w:hAnsi="方正小标宋_GBK" w:eastAsia="方正小标宋_GBK" w:cs="方正小标宋_GBK"/>
          <w:sz w:val="72"/>
          <w:szCs w:val="72"/>
        </w:rPr>
      </w:pPr>
    </w:p>
    <w:p w14:paraId="3C4A1722">
      <w:pPr>
        <w:pStyle w:val="14"/>
        <w:jc w:val="center"/>
        <w:rPr>
          <w:rFonts w:hint="eastAsia" w:ascii="方正小标宋_GBK" w:hAnsi="方正小标宋_GBK" w:eastAsia="方正小标宋_GBK" w:cs="方正小标宋_GBK"/>
          <w:sz w:val="72"/>
          <w:szCs w:val="72"/>
        </w:rPr>
      </w:pPr>
    </w:p>
    <w:p w14:paraId="6C696008">
      <w:pPr>
        <w:pStyle w:val="14"/>
        <w:jc w:val="center"/>
        <w:rPr>
          <w:rFonts w:hint="eastAsia" w:ascii="方正小标宋_GBK" w:hAnsi="方正小标宋_GBK" w:eastAsia="方正小标宋_GBK" w:cs="方正小标宋_GBK"/>
          <w:sz w:val="72"/>
          <w:szCs w:val="72"/>
        </w:rPr>
      </w:pPr>
    </w:p>
    <w:p w14:paraId="5F80431D">
      <w:pPr>
        <w:pStyle w:val="14"/>
        <w:jc w:val="center"/>
        <w:rPr>
          <w:rFonts w:hint="eastAsia" w:ascii="方正小标宋_GBK" w:hAnsi="方正小标宋_GBK" w:eastAsia="方正小标宋_GBK" w:cs="方正小标宋_GBK"/>
          <w:sz w:val="72"/>
          <w:szCs w:val="72"/>
        </w:rPr>
      </w:pPr>
    </w:p>
    <w:p w14:paraId="034C2695">
      <w:pPr>
        <w:pStyle w:val="14"/>
        <w:jc w:val="center"/>
        <w:rPr>
          <w:rFonts w:hint="eastAsia" w:ascii="方正小标宋_GBK" w:hAnsi="方正小标宋_GBK" w:eastAsia="方正小标宋_GBK" w:cs="方正小标宋_GBK"/>
          <w:sz w:val="72"/>
          <w:szCs w:val="72"/>
        </w:rPr>
      </w:pPr>
    </w:p>
    <w:p w14:paraId="0872BBD2">
      <w:pPr>
        <w:pStyle w:val="14"/>
        <w:jc w:val="center"/>
        <w:rPr>
          <w:rFonts w:hint="eastAsia" w:ascii="方正小标宋_GBK" w:hAnsi="方正小标宋_GBK" w:eastAsia="方正小标宋_GBK" w:cs="方正小标宋_GBK"/>
          <w:sz w:val="72"/>
          <w:szCs w:val="72"/>
        </w:rPr>
      </w:pPr>
    </w:p>
    <w:p w14:paraId="4D11C2DF">
      <w:pPr>
        <w:pStyle w:val="14"/>
        <w:jc w:val="center"/>
        <w:rPr>
          <w:rFonts w:hint="eastAsia" w:ascii="方正小标宋_GBK" w:hAnsi="方正小标宋_GBK" w:eastAsia="方正小标宋_GBK" w:cs="方正小标宋_GBK"/>
          <w:sz w:val="72"/>
          <w:szCs w:val="72"/>
        </w:rPr>
      </w:pPr>
    </w:p>
    <w:p w14:paraId="49BC0F71">
      <w:pPr>
        <w:pStyle w:val="14"/>
        <w:jc w:val="center"/>
        <w:rPr>
          <w:rFonts w:hint="eastAsia" w:ascii="方正小标宋_GBK" w:hAnsi="方正小标宋_GBK" w:eastAsia="方正小标宋_GBK" w:cs="方正小标宋_GBK"/>
          <w:sz w:val="72"/>
          <w:szCs w:val="72"/>
        </w:rPr>
      </w:pPr>
    </w:p>
    <w:p w14:paraId="4A843E25">
      <w:pPr>
        <w:pStyle w:val="14"/>
        <w:jc w:val="both"/>
        <w:rPr>
          <w:rFonts w:hint="eastAsia" w:ascii="方正小标宋_GBK" w:hAnsi="方正小标宋_GBK" w:eastAsia="方正小标宋_GBK" w:cs="方正小标宋_GBK"/>
          <w:sz w:val="72"/>
          <w:szCs w:val="72"/>
        </w:rPr>
      </w:pPr>
    </w:p>
    <w:p w14:paraId="475C1000">
      <w:pPr>
        <w:pStyle w:val="14"/>
        <w:jc w:val="center"/>
        <w:rPr>
          <w:rFonts w:hint="eastAsia" w:ascii="方正小标宋_GBK" w:hAnsi="方正小标宋_GBK" w:eastAsia="方正小标宋_GBK" w:cs="方正小标宋_GBK"/>
          <w:sz w:val="72"/>
          <w:szCs w:val="72"/>
        </w:rPr>
      </w:pPr>
    </w:p>
    <w:p w14:paraId="6A5A782C">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9"/>
      </w:pPr>
    </w:p>
    <w:p w14:paraId="5331F884">
      <w:pPr>
        <w:pStyle w:val="5"/>
      </w:pPr>
    </w:p>
    <w:p w14:paraId="6AE9CDCC"/>
    <w:p w14:paraId="01162873">
      <w:pPr>
        <w:pStyle w:val="2"/>
      </w:pPr>
    </w:p>
    <w:p w14:paraId="2A7E228F">
      <w:pPr>
        <w:pStyle w:val="3"/>
      </w:pPr>
    </w:p>
    <w:p w14:paraId="2CCAD852"/>
    <w:p w14:paraId="440E89DF">
      <w:pPr>
        <w:pStyle w:val="9"/>
      </w:pPr>
    </w:p>
    <w:p w14:paraId="645B9B76">
      <w:pPr>
        <w:pStyle w:val="5"/>
      </w:pPr>
    </w:p>
    <w:p w14:paraId="539F25AC"/>
    <w:p w14:paraId="47AFAB8F">
      <w:pPr>
        <w:pStyle w:val="9"/>
      </w:pPr>
    </w:p>
    <w:p w14:paraId="479D6353">
      <w:pPr>
        <w:pStyle w:val="5"/>
      </w:pPr>
    </w:p>
    <w:p w14:paraId="648103ED"/>
    <w:p w14:paraId="08A5EA8F">
      <w:pPr>
        <w:pStyle w:val="9"/>
      </w:pPr>
    </w:p>
    <w:p w14:paraId="3FD0BAB6">
      <w:pPr>
        <w:pStyle w:val="5"/>
      </w:pPr>
    </w:p>
    <w:p w14:paraId="1CAE18D7"/>
    <w:p w14:paraId="5994BDDC">
      <w:pPr>
        <w:pStyle w:val="9"/>
      </w:pPr>
    </w:p>
    <w:p w14:paraId="51F60F8D">
      <w:pPr>
        <w:pStyle w:val="5"/>
      </w:pPr>
    </w:p>
    <w:p w14:paraId="715B8195"/>
    <w:p w14:paraId="3F608935">
      <w:pPr>
        <w:pStyle w:val="9"/>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9"/>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185EC3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7D4850A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765DC1B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2AE81CE8">
      <w:pPr>
        <w:pStyle w:val="14"/>
        <w:jc w:val="center"/>
        <w:rPr>
          <w:rFonts w:hint="eastAsia" w:ascii="仿宋_GB2312" w:hAnsi="仿宋_GB2312" w:eastAsia="仿宋_GB2312" w:cs="仿宋_GB2312"/>
          <w:sz w:val="32"/>
          <w:szCs w:val="32"/>
        </w:rPr>
      </w:pPr>
    </w:p>
    <w:p w14:paraId="1D47518A">
      <w:pPr>
        <w:pStyle w:val="5"/>
      </w:pPr>
    </w:p>
    <w:p w14:paraId="580CF8E4"/>
    <w:p w14:paraId="0C17744C">
      <w:pPr>
        <w:pStyle w:val="9"/>
      </w:pPr>
    </w:p>
    <w:p w14:paraId="7B8BABF4">
      <w:pPr>
        <w:pStyle w:val="5"/>
      </w:pPr>
    </w:p>
    <w:p w14:paraId="1942C0DC"/>
    <w:p w14:paraId="6E2D1EEF">
      <w:pPr>
        <w:pStyle w:val="9"/>
      </w:pPr>
    </w:p>
    <w:p w14:paraId="5F6ABC3B">
      <w:pPr>
        <w:pStyle w:val="5"/>
      </w:pPr>
    </w:p>
    <w:p w14:paraId="51BE6437"/>
    <w:p w14:paraId="05344CBA">
      <w:pPr>
        <w:pStyle w:val="9"/>
      </w:pPr>
    </w:p>
    <w:p w14:paraId="5C9170AD">
      <w:pPr>
        <w:pStyle w:val="5"/>
      </w:pPr>
    </w:p>
    <w:p w14:paraId="29D3A91E"/>
    <w:p w14:paraId="0D2A994E">
      <w:pPr>
        <w:pStyle w:val="9"/>
      </w:pPr>
    </w:p>
    <w:p w14:paraId="59CBCCA7">
      <w:pPr>
        <w:pStyle w:val="5"/>
      </w:pPr>
    </w:p>
    <w:p w14:paraId="67806EBD"/>
    <w:p w14:paraId="7C18BB03">
      <w:pPr>
        <w:pStyle w:val="9"/>
      </w:pPr>
    </w:p>
    <w:p w14:paraId="29230CAD">
      <w:pPr>
        <w:pStyle w:val="5"/>
      </w:pPr>
    </w:p>
    <w:p w14:paraId="724E0A54"/>
    <w:p w14:paraId="496F732E">
      <w:pPr>
        <w:pStyle w:val="9"/>
      </w:pPr>
    </w:p>
    <w:p w14:paraId="354ECFD8">
      <w:pPr>
        <w:pStyle w:val="5"/>
      </w:pPr>
    </w:p>
    <w:p w14:paraId="51C67B38"/>
    <w:p w14:paraId="4D131F3E"/>
    <w:p w14:paraId="7CFBCE3C">
      <w:pPr>
        <w:pStyle w:val="9"/>
      </w:pPr>
    </w:p>
    <w:p w14:paraId="5C3DE094">
      <w:pPr>
        <w:pStyle w:val="14"/>
        <w:jc w:val="both"/>
        <w:rPr>
          <w:rFonts w:hint="eastAsia" w:ascii="方正小标宋_GBK" w:hAnsi="方正小标宋_GBK" w:eastAsia="方正小标宋_GBK" w:cs="方正小标宋_GBK"/>
          <w:sz w:val="72"/>
          <w:szCs w:val="72"/>
        </w:rPr>
      </w:pPr>
    </w:p>
    <w:p w14:paraId="0C1858E3">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4"/>
        <w:jc w:val="both"/>
        <w:rPr>
          <w:rFonts w:hint="eastAsia" w:ascii="方正小标宋_GBK" w:hAnsi="方正小标宋_GBK" w:eastAsia="方正小标宋_GBK" w:cs="方正小标宋_GBK"/>
          <w:sz w:val="70"/>
          <w:szCs w:val="70"/>
          <w:lang w:eastAsia="zh-CN"/>
        </w:rPr>
      </w:pPr>
    </w:p>
    <w:p w14:paraId="490142D3">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24B"/>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49802FF"/>
    <w:rsid w:val="059958AD"/>
    <w:rsid w:val="06C857E7"/>
    <w:rsid w:val="08C24A73"/>
    <w:rsid w:val="11944E2C"/>
    <w:rsid w:val="123A6FE6"/>
    <w:rsid w:val="12583BA5"/>
    <w:rsid w:val="13BA5B9C"/>
    <w:rsid w:val="13EE1CEA"/>
    <w:rsid w:val="1C676ADD"/>
    <w:rsid w:val="1C6F46DA"/>
    <w:rsid w:val="1CDD5132"/>
    <w:rsid w:val="1D97DEFF"/>
    <w:rsid w:val="1DFF72E5"/>
    <w:rsid w:val="1EFC6F07"/>
    <w:rsid w:val="1F0527A6"/>
    <w:rsid w:val="1F336115"/>
    <w:rsid w:val="22AC03C2"/>
    <w:rsid w:val="283B15FE"/>
    <w:rsid w:val="2B2D7144"/>
    <w:rsid w:val="2EE46838"/>
    <w:rsid w:val="2FDF85B8"/>
    <w:rsid w:val="2FFFEE04"/>
    <w:rsid w:val="31C95635"/>
    <w:rsid w:val="34DF85B0"/>
    <w:rsid w:val="36B7407B"/>
    <w:rsid w:val="380469FD"/>
    <w:rsid w:val="3B8F36BC"/>
    <w:rsid w:val="405820D4"/>
    <w:rsid w:val="42B20202"/>
    <w:rsid w:val="43EB5BA5"/>
    <w:rsid w:val="462C5BD6"/>
    <w:rsid w:val="47797541"/>
    <w:rsid w:val="491FF225"/>
    <w:rsid w:val="4C2757BD"/>
    <w:rsid w:val="4E3F1E8E"/>
    <w:rsid w:val="4EC310A1"/>
    <w:rsid w:val="4FFD214C"/>
    <w:rsid w:val="5352765A"/>
    <w:rsid w:val="55D164FA"/>
    <w:rsid w:val="5777D4F5"/>
    <w:rsid w:val="57F22B6F"/>
    <w:rsid w:val="59DD8326"/>
    <w:rsid w:val="59F14D15"/>
    <w:rsid w:val="5DEF592A"/>
    <w:rsid w:val="5FC6BB1E"/>
    <w:rsid w:val="5FF720F1"/>
    <w:rsid w:val="622964C1"/>
    <w:rsid w:val="670C09A8"/>
    <w:rsid w:val="67FF5C0B"/>
    <w:rsid w:val="6BAA4A2F"/>
    <w:rsid w:val="6DDEC5C0"/>
    <w:rsid w:val="6EFC0924"/>
    <w:rsid w:val="6FB74722"/>
    <w:rsid w:val="6FEF8B7E"/>
    <w:rsid w:val="717FE77F"/>
    <w:rsid w:val="71A6591B"/>
    <w:rsid w:val="737D59BA"/>
    <w:rsid w:val="737F32B1"/>
    <w:rsid w:val="73BD3FCA"/>
    <w:rsid w:val="776BDA01"/>
    <w:rsid w:val="77C37683"/>
    <w:rsid w:val="79FF515B"/>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ascii="仿宋" w:hAnsi="仿宋" w:eastAsia="仿宋" w:cs="仿宋"/>
      <w:sz w:val="31"/>
      <w:szCs w:val="31"/>
      <w:lang w:val="en-US" w:eastAsia="en-US" w:bidi="ar-SA"/>
    </w:rPr>
  </w:style>
  <w:style w:type="paragraph" w:styleId="3">
    <w:name w:val="toc 5"/>
    <w:basedOn w:val="1"/>
    <w:next w:val="1"/>
    <w:qFormat/>
    <w:uiPriority w:val="0"/>
    <w:pPr>
      <w:ind w:left="1680" w:leftChars="800"/>
    </w:pPr>
    <w:rPr>
      <w:rFonts w:hint="eastAsia" w:ascii="Times New Roman" w:hAnsi="Times New Roman" w:eastAsia="宋体" w:cs="Times New Roman"/>
      <w:sz w:val="21"/>
      <w:szCs w:val="24"/>
    </w:r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6775</Words>
  <Characters>7550</Characters>
  <Lines>63</Lines>
  <Paragraphs>18</Paragraphs>
  <TotalTime>0</TotalTime>
  <ScaleCrop>false</ScaleCrop>
  <LinksUpToDate>false</LinksUpToDate>
  <CharactersWithSpaces>7565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严碧琪</cp:lastModifiedBy>
  <cp:lastPrinted>2024-08-11T02:20:00Z</cp:lastPrinted>
  <dcterms:modified xsi:type="dcterms:W3CDTF">2025-09-28T08:37:51Z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30165BCF095E4EAF96F68E90705B0055_13</vt:lpwstr>
  </property>
  <property fmtid="{D5CDD505-2E9C-101B-9397-08002B2CF9AE}" pid="4" name="KSOTemplateDocerSaveRecord">
    <vt:lpwstr>eyJoZGlkIjoiNjgxZmIyZGM1NjlmYzFmNTczZGVkNWYyNWIwMGFjMmUiLCJ1c2VySWQiOiIyOTMyNjEyNDMifQ==</vt:lpwstr>
  </property>
</Properties>
</file>