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DCFF1">
      <w:pPr>
        <w:pStyle w:val="14"/>
        <w:jc w:val="center"/>
        <w:rPr>
          <w:sz w:val="56"/>
          <w:szCs w:val="56"/>
        </w:rPr>
      </w:pPr>
    </w:p>
    <w:p w14:paraId="3BDF5AB8">
      <w:pPr>
        <w:pStyle w:val="14"/>
        <w:jc w:val="center"/>
        <w:rPr>
          <w:sz w:val="56"/>
          <w:szCs w:val="56"/>
        </w:rPr>
      </w:pPr>
    </w:p>
    <w:p w14:paraId="60CA4575">
      <w:pPr>
        <w:pStyle w:val="14"/>
        <w:jc w:val="center"/>
        <w:rPr>
          <w:sz w:val="84"/>
          <w:szCs w:val="84"/>
        </w:rPr>
      </w:pPr>
    </w:p>
    <w:p w14:paraId="215EB31D">
      <w:pPr>
        <w:pStyle w:val="14"/>
        <w:jc w:val="center"/>
        <w:rPr>
          <w:sz w:val="84"/>
          <w:szCs w:val="84"/>
        </w:rPr>
      </w:pPr>
    </w:p>
    <w:p w14:paraId="376C8602">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4</w:t>
      </w:r>
      <w:r>
        <w:rPr>
          <w:rFonts w:hint="eastAsia" w:ascii="方正小标宋_GBK" w:hAnsi="方正小标宋_GBK" w:eastAsia="方正小标宋_GBK" w:cs="方正小标宋_GBK"/>
          <w:sz w:val="84"/>
          <w:szCs w:val="84"/>
        </w:rPr>
        <w:t>年度</w:t>
      </w:r>
    </w:p>
    <w:p w14:paraId="25018D25">
      <w:pPr>
        <w:pStyle w:val="14"/>
        <w:jc w:val="center"/>
        <w:rPr>
          <w:sz w:val="56"/>
          <w:szCs w:val="56"/>
        </w:rPr>
      </w:pPr>
      <w:r>
        <w:rPr>
          <w:rFonts w:hint="eastAsia" w:ascii="方正小标宋_GBK" w:hAnsi="方正小标宋_GBK" w:eastAsia="方正小标宋_GBK" w:cs="方正小标宋_GBK"/>
          <w:sz w:val="84"/>
          <w:szCs w:val="84"/>
        </w:rPr>
        <w:t>岳阳市生态环境局岳阳经济技术开发区分局部门（单位）部门决算</w:t>
      </w:r>
    </w:p>
    <w:p w14:paraId="5EE73A38">
      <w:pPr>
        <w:pStyle w:val="14"/>
        <w:jc w:val="center"/>
        <w:rPr>
          <w:sz w:val="56"/>
          <w:szCs w:val="56"/>
        </w:rPr>
      </w:pPr>
    </w:p>
    <w:p w14:paraId="297571C5">
      <w:pPr>
        <w:pStyle w:val="14"/>
        <w:jc w:val="center"/>
        <w:rPr>
          <w:sz w:val="32"/>
          <w:szCs w:val="32"/>
        </w:rPr>
      </w:pPr>
    </w:p>
    <w:p w14:paraId="08493D1E">
      <w:pPr>
        <w:pStyle w:val="14"/>
        <w:jc w:val="center"/>
        <w:rPr>
          <w:sz w:val="32"/>
          <w:szCs w:val="32"/>
        </w:rPr>
      </w:pPr>
    </w:p>
    <w:p w14:paraId="5BD6E8BD">
      <w:pPr>
        <w:pStyle w:val="14"/>
        <w:jc w:val="center"/>
        <w:rPr>
          <w:sz w:val="32"/>
          <w:szCs w:val="32"/>
        </w:rPr>
      </w:pPr>
    </w:p>
    <w:p w14:paraId="1062A3B4">
      <w:pPr>
        <w:pStyle w:val="14"/>
        <w:jc w:val="center"/>
        <w:rPr>
          <w:sz w:val="32"/>
          <w:szCs w:val="32"/>
        </w:rPr>
      </w:pPr>
    </w:p>
    <w:p w14:paraId="6311DFC7">
      <w:pPr>
        <w:pStyle w:val="14"/>
        <w:jc w:val="center"/>
        <w:rPr>
          <w:sz w:val="32"/>
          <w:szCs w:val="32"/>
        </w:rPr>
      </w:pPr>
    </w:p>
    <w:p w14:paraId="50228290">
      <w:pPr>
        <w:pStyle w:val="14"/>
        <w:spacing w:line="540" w:lineRule="exact"/>
        <w:jc w:val="center"/>
        <w:rPr>
          <w:sz w:val="56"/>
          <w:szCs w:val="56"/>
        </w:rPr>
      </w:pPr>
    </w:p>
    <w:p w14:paraId="24F3309B">
      <w:pPr>
        <w:pStyle w:val="14"/>
        <w:spacing w:line="500" w:lineRule="exact"/>
        <w:jc w:val="center"/>
        <w:rPr>
          <w:b/>
          <w:sz w:val="36"/>
          <w:szCs w:val="28"/>
        </w:rPr>
      </w:pPr>
      <w:r>
        <w:rPr>
          <w:rFonts w:hint="eastAsia"/>
          <w:b/>
          <w:sz w:val="36"/>
          <w:szCs w:val="28"/>
        </w:rPr>
        <w:t>目录</w:t>
      </w:r>
    </w:p>
    <w:p w14:paraId="6CBD0C22">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岳阳市生态环境局岳阳经济技术开发区分局</w:t>
      </w:r>
      <w:r>
        <w:rPr>
          <w:rFonts w:hint="eastAsia" w:ascii="黑体" w:hAnsi="黑体" w:eastAsia="黑体" w:cs="黑体"/>
          <w:b w:val="0"/>
          <w:bCs/>
          <w:sz w:val="28"/>
          <w:szCs w:val="28"/>
          <w:lang w:eastAsia="zh-CN"/>
        </w:rPr>
        <w:t>部门（</w:t>
      </w:r>
      <w:r>
        <w:rPr>
          <w:rFonts w:hint="eastAsia" w:ascii="黑体" w:hAnsi="黑体" w:eastAsia="黑体" w:cs="黑体"/>
          <w:b w:val="0"/>
          <w:bCs/>
          <w:sz w:val="28"/>
          <w:szCs w:val="28"/>
        </w:rPr>
        <w:t>单位</w:t>
      </w:r>
      <w:r>
        <w:rPr>
          <w:rFonts w:hint="eastAsia" w:ascii="黑体" w:hAnsi="黑体" w:eastAsia="黑体" w:cs="黑体"/>
          <w:b w:val="0"/>
          <w:bCs/>
          <w:sz w:val="28"/>
          <w:szCs w:val="28"/>
          <w:lang w:eastAsia="zh-CN"/>
        </w:rPr>
        <w:t>）</w:t>
      </w:r>
      <w:r>
        <w:rPr>
          <w:rFonts w:hint="eastAsia" w:ascii="黑体" w:hAnsi="黑体" w:eastAsia="黑体" w:cs="黑体"/>
          <w:b w:val="0"/>
          <w:bCs/>
          <w:sz w:val="28"/>
          <w:szCs w:val="28"/>
        </w:rPr>
        <w:t>概况</w:t>
      </w:r>
    </w:p>
    <w:p w14:paraId="060CB1DC">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315E49DA">
      <w:pPr>
        <w:pStyle w:val="14"/>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3CE431DD">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B1DE222">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8DAEA9B">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4189E141">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621647E">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28E0B171">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0A1DA969">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2E9A333">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316661B6">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3827588">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69B4707F">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30D2819C">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2F99AFEC">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69796A8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2F5763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551B6B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0BC2CE3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11D8554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5F6B554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14:paraId="71D9102A">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371B64F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1624E73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6C86A3E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5E15A64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5BD7D26C">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14:paraId="51852483">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7D866A9C">
      <w:pPr>
        <w:pStyle w:val="14"/>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2E7F14A9">
      <w:pPr>
        <w:pStyle w:val="14"/>
        <w:jc w:val="center"/>
        <w:rPr>
          <w:rFonts w:hint="eastAsia" w:ascii="方正小标宋_GBK" w:hAnsi="方正小标宋_GBK" w:eastAsia="方正小标宋_GBK" w:cs="方正小标宋_GBK"/>
          <w:sz w:val="84"/>
          <w:szCs w:val="84"/>
        </w:rPr>
      </w:pPr>
    </w:p>
    <w:p w14:paraId="1095DEAB">
      <w:pPr>
        <w:pStyle w:val="14"/>
        <w:jc w:val="center"/>
        <w:rPr>
          <w:rFonts w:hint="eastAsia" w:ascii="方正小标宋_GBK" w:hAnsi="方正小标宋_GBK" w:eastAsia="方正小标宋_GBK" w:cs="方正小标宋_GBK"/>
          <w:sz w:val="84"/>
          <w:szCs w:val="84"/>
        </w:rPr>
      </w:pPr>
    </w:p>
    <w:p w14:paraId="0DEEC249">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5C6A94F8">
      <w:pPr>
        <w:pStyle w:val="14"/>
        <w:jc w:val="center"/>
        <w:rPr>
          <w:rFonts w:hint="eastAsia" w:ascii="方正小标宋_GBK" w:hAnsi="方正小标宋_GBK" w:eastAsia="方正小标宋_GBK" w:cs="方正小标宋_GBK"/>
          <w:sz w:val="84"/>
          <w:szCs w:val="84"/>
        </w:rPr>
      </w:pPr>
    </w:p>
    <w:p w14:paraId="5EF69A9D">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岳阳市生态环境局岳阳经济技术开发区分局</w:t>
      </w:r>
      <w:r>
        <w:rPr>
          <w:rFonts w:hint="eastAsia" w:ascii="方正小标宋_GBK" w:hAnsi="方正小标宋_GBK" w:eastAsia="方正小标宋_GBK" w:cs="方正小标宋_GBK"/>
          <w:sz w:val="84"/>
          <w:szCs w:val="84"/>
          <w:lang w:eastAsia="zh-CN"/>
        </w:rPr>
        <w:t>部门（</w:t>
      </w:r>
      <w:r>
        <w:rPr>
          <w:rFonts w:hint="eastAsia" w:ascii="方正小标宋_GBK" w:hAnsi="方正小标宋_GBK" w:eastAsia="方正小标宋_GBK" w:cs="方正小标宋_GBK"/>
          <w:sz w:val="84"/>
          <w:szCs w:val="84"/>
        </w:rPr>
        <w:t>单位</w:t>
      </w:r>
      <w:r>
        <w:rPr>
          <w:rFonts w:hint="eastAsia" w:ascii="方正小标宋_GBK" w:hAnsi="方正小标宋_GBK" w:eastAsia="方正小标宋_GBK" w:cs="方正小标宋_GBK"/>
          <w:sz w:val="84"/>
          <w:szCs w:val="84"/>
          <w:lang w:eastAsia="zh-CN"/>
        </w:rPr>
        <w:t>）</w:t>
      </w:r>
      <w:r>
        <w:rPr>
          <w:rFonts w:hint="eastAsia" w:ascii="方正小标宋_GBK" w:hAnsi="方正小标宋_GBK" w:eastAsia="方正小标宋_GBK" w:cs="方正小标宋_GBK"/>
          <w:sz w:val="84"/>
          <w:szCs w:val="84"/>
        </w:rPr>
        <w:t>概况</w:t>
      </w:r>
    </w:p>
    <w:p w14:paraId="77A0C778">
      <w:pPr>
        <w:pStyle w:val="2"/>
        <w:rPr>
          <w:rFonts w:hint="eastAsia" w:ascii="方正小标宋_GBK" w:hAnsi="方正小标宋_GBK" w:eastAsia="方正小标宋_GBK" w:cs="方正小标宋_GBK"/>
          <w:sz w:val="84"/>
          <w:szCs w:val="84"/>
        </w:rPr>
      </w:pPr>
    </w:p>
    <w:p w14:paraId="397AC3FB">
      <w:pPr>
        <w:pStyle w:val="3"/>
        <w:rPr>
          <w:rFonts w:hint="eastAsia" w:ascii="方正小标宋_GBK" w:hAnsi="方正小标宋_GBK" w:eastAsia="方正小标宋_GBK" w:cs="方正小标宋_GBK"/>
          <w:sz w:val="84"/>
          <w:szCs w:val="84"/>
        </w:rPr>
      </w:pPr>
    </w:p>
    <w:p w14:paraId="128B0AE2">
      <w:pPr>
        <w:pStyle w:val="2"/>
        <w:rPr>
          <w:rFonts w:hint="eastAsia" w:ascii="方正小标宋_GBK" w:hAnsi="方正小标宋_GBK" w:eastAsia="方正小标宋_GBK" w:cs="方正小标宋_GBK"/>
          <w:sz w:val="84"/>
          <w:szCs w:val="84"/>
        </w:rPr>
      </w:pPr>
    </w:p>
    <w:p w14:paraId="55E857AF">
      <w:pPr>
        <w:pStyle w:val="15"/>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3B11A7D6">
      <w:pPr>
        <w:widowControl/>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一）负责贯彻执行国家、省、市环境保护的方针、政策和法律、法规，拟订全区环境保护制度和环境保护技术政策并监督实施。组织编制全区环境功能区划，组织拟订并监督实施重点区域、流域污染防治规划和饮用水水源地环境保护规划，组织实施环境友好型社会建设目标，参与制定全区主体功能区规划。</w:t>
      </w:r>
    </w:p>
    <w:p w14:paraId="6B7928B6">
      <w:pPr>
        <w:widowControl/>
        <w:spacing w:line="600" w:lineRule="exact"/>
        <w:ind w:firstLine="640" w:firstLineChars="200"/>
        <w:rPr>
          <w:rFonts w:hint="default"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eastAsia="zh-CN"/>
        </w:rPr>
        <w:t>（二）负责重大环境问题的统筹协调和监督管理。调查处理重大环境污染事故和生态破坏事件，负责全区重大突发环境事件的应急、预警工作，协调县市区环境污染纠纷，组织和协调市内长江流域、洞庭湖流域等重点区域污染防治工作。</w:t>
      </w:r>
      <w:r>
        <w:rPr>
          <w:rFonts w:hint="eastAsia" w:ascii="Times New Roman" w:hAnsi="Times New Roman" w:eastAsia="仿宋_GB2312" w:cs="仿宋_GB2312"/>
          <w:bCs/>
          <w:kern w:val="0"/>
          <w:sz w:val="32"/>
          <w:szCs w:val="32"/>
          <w:lang w:val="en-US" w:eastAsia="zh-CN"/>
        </w:rPr>
        <w:tab/>
      </w:r>
    </w:p>
    <w:p w14:paraId="2DC82B10">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38AE043A">
      <w:pPr>
        <w:widowControl/>
        <w:spacing w:line="600" w:lineRule="exact"/>
        <w:ind w:firstLine="640" w:firstLineChars="200"/>
        <w:rPr>
          <w:rFonts w:hint="eastAsia"/>
        </w:rPr>
      </w:pPr>
      <w:r>
        <w:rPr>
          <w:rFonts w:hint="eastAsia" w:ascii="Times New Roman" w:hAnsi="Times New Roman" w:eastAsia="仿宋_GB2312" w:cs="仿宋_GB2312"/>
          <w:bCs/>
          <w:kern w:val="0"/>
          <w:sz w:val="32"/>
          <w:szCs w:val="32"/>
        </w:rPr>
        <w:t>（一）内设机构设置。岳阳市生态环境局岳阳经济技术开发区分局单位内设机构包括：办公室、规划财务股、人事股、水环境管理股、自然生态保护股、环境监测和科技标准股、法制宣传股、行政审批股等股室</w:t>
      </w:r>
      <w:r>
        <w:rPr>
          <w:rFonts w:hint="eastAsia" w:ascii="Times New Roman" w:hAnsi="Times New Roman" w:eastAsia="仿宋_GB2312" w:cs="仿宋_GB2312"/>
          <w:bCs/>
          <w:color w:val="auto"/>
          <w:kern w:val="0"/>
          <w:sz w:val="32"/>
          <w:szCs w:val="32"/>
          <w:lang w:eastAsia="zh-CN"/>
        </w:rPr>
        <w:t>。本年编制人数11人，在职人员11人，退休人员2人；</w:t>
      </w:r>
    </w:p>
    <w:p w14:paraId="4B709876">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eastAsia="zh-CN"/>
        </w:rPr>
        <w:t>本单位无独立核算的下属单位，</w:t>
      </w:r>
      <w:r>
        <w:rPr>
          <w:rFonts w:hint="eastAsia" w:ascii="Times New Roman" w:hAnsi="Times New Roman" w:eastAsia="仿宋_GB2312" w:cs="仿宋_GB2312"/>
          <w:bCs/>
          <w:kern w:val="0"/>
          <w:sz w:val="32"/>
          <w:szCs w:val="32"/>
          <w:lang w:val="en-US" w:eastAsia="zh-CN"/>
        </w:rPr>
        <w:t>2024年度部门决算汇总公开单位仅包括</w:t>
      </w:r>
      <w:r>
        <w:rPr>
          <w:rFonts w:hint="eastAsia" w:ascii="Times New Roman" w:hAnsi="Times New Roman" w:eastAsia="仿宋_GB2312" w:cs="仿宋_GB2312"/>
          <w:bCs/>
          <w:kern w:val="0"/>
          <w:sz w:val="32"/>
          <w:szCs w:val="32"/>
        </w:rPr>
        <w:t>岳阳市生态环境局岳阳经济技术开发区分局</w:t>
      </w:r>
      <w:r>
        <w:rPr>
          <w:rFonts w:hint="eastAsia" w:ascii="Times New Roman" w:hAnsi="Times New Roman" w:eastAsia="仿宋_GB2312" w:cs="仿宋_GB2312"/>
          <w:bCs/>
          <w:kern w:val="0"/>
          <w:sz w:val="32"/>
          <w:szCs w:val="32"/>
          <w:lang w:val="en-US" w:eastAsia="zh-CN"/>
        </w:rPr>
        <w:t>单位本级</w:t>
      </w:r>
      <w:r>
        <w:rPr>
          <w:rFonts w:hint="eastAsia" w:ascii="Times New Roman" w:hAnsi="Times New Roman" w:eastAsia="仿宋_GB2312" w:cs="仿宋_GB2312"/>
          <w:bCs/>
          <w:kern w:val="0"/>
          <w:sz w:val="32"/>
          <w:szCs w:val="32"/>
        </w:rPr>
        <w:t>。</w:t>
      </w:r>
    </w:p>
    <w:p w14:paraId="38152785">
      <w:pPr>
        <w:pStyle w:val="2"/>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val="en-US" w:eastAsia="zh-CN"/>
        </w:rPr>
        <w:t>.</w:t>
      </w:r>
    </w:p>
    <w:p w14:paraId="11BC175F">
      <w:pPr>
        <w:rPr>
          <w:rFonts w:hint="eastAsia" w:ascii="Times New Roman" w:hAnsi="Times New Roman" w:eastAsia="仿宋_GB2312" w:cs="仿宋_GB2312"/>
          <w:bCs/>
          <w:kern w:val="0"/>
          <w:sz w:val="32"/>
          <w:szCs w:val="32"/>
          <w:lang w:val="en-US" w:eastAsia="zh-CN"/>
        </w:rPr>
      </w:pPr>
    </w:p>
    <w:p w14:paraId="43CC2606">
      <w:pPr>
        <w:pStyle w:val="2"/>
        <w:rPr>
          <w:rFonts w:hint="eastAsia" w:ascii="Times New Roman" w:hAnsi="Times New Roman" w:eastAsia="仿宋_GB2312" w:cs="仿宋_GB2312"/>
          <w:bCs/>
          <w:kern w:val="0"/>
          <w:sz w:val="32"/>
          <w:szCs w:val="32"/>
          <w:lang w:val="en-US" w:eastAsia="zh-CN"/>
        </w:rPr>
      </w:pPr>
    </w:p>
    <w:p w14:paraId="48C44553">
      <w:pPr>
        <w:pStyle w:val="3"/>
        <w:rPr>
          <w:rFonts w:hint="eastAsia" w:ascii="Times New Roman" w:hAnsi="Times New Roman" w:eastAsia="仿宋_GB2312" w:cs="仿宋_GB2312"/>
          <w:bCs/>
          <w:kern w:val="0"/>
          <w:sz w:val="32"/>
          <w:szCs w:val="32"/>
          <w:lang w:val="en-US" w:eastAsia="zh-CN"/>
        </w:rPr>
      </w:pPr>
    </w:p>
    <w:p w14:paraId="09F620EC">
      <w:pPr>
        <w:rPr>
          <w:rFonts w:hint="eastAsia" w:ascii="Times New Roman" w:hAnsi="Times New Roman" w:eastAsia="仿宋_GB2312" w:cs="仿宋_GB2312"/>
          <w:bCs/>
          <w:kern w:val="0"/>
          <w:sz w:val="32"/>
          <w:szCs w:val="32"/>
          <w:lang w:val="en-US" w:eastAsia="zh-CN"/>
        </w:rPr>
      </w:pPr>
    </w:p>
    <w:p w14:paraId="09DA26F0">
      <w:pPr>
        <w:pStyle w:val="2"/>
        <w:rPr>
          <w:rFonts w:hint="eastAsia" w:ascii="Times New Roman" w:hAnsi="Times New Roman" w:eastAsia="仿宋_GB2312" w:cs="仿宋_GB2312"/>
          <w:bCs/>
          <w:kern w:val="0"/>
          <w:sz w:val="32"/>
          <w:szCs w:val="32"/>
          <w:lang w:val="en-US" w:eastAsia="zh-CN"/>
        </w:rPr>
      </w:pPr>
    </w:p>
    <w:p w14:paraId="168866DC">
      <w:pPr>
        <w:pStyle w:val="3"/>
      </w:pPr>
    </w:p>
    <w:p w14:paraId="26B0AA77">
      <w:pPr>
        <w:pStyle w:val="2"/>
      </w:pPr>
    </w:p>
    <w:p w14:paraId="7991FFBA">
      <w:pPr>
        <w:pStyle w:val="3"/>
      </w:pPr>
    </w:p>
    <w:p w14:paraId="7FFB1518"/>
    <w:p w14:paraId="5B1D6CBC"/>
    <w:p w14:paraId="01206267">
      <w:pPr>
        <w:pStyle w:val="2"/>
      </w:pPr>
    </w:p>
    <w:p w14:paraId="0464CF32">
      <w:pPr>
        <w:pStyle w:val="3"/>
      </w:pPr>
    </w:p>
    <w:p w14:paraId="78F2E1F2"/>
    <w:p w14:paraId="7A6722B9">
      <w:pPr>
        <w:pStyle w:val="2"/>
      </w:pPr>
    </w:p>
    <w:p w14:paraId="7D6C31E4">
      <w:pPr>
        <w:pStyle w:val="2"/>
      </w:pPr>
    </w:p>
    <w:p w14:paraId="056E4ECA">
      <w:pPr>
        <w:pStyle w:val="3"/>
      </w:pPr>
    </w:p>
    <w:p w14:paraId="661BBFC8">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FB02ED5">
      <w:pPr>
        <w:pStyle w:val="14"/>
        <w:jc w:val="center"/>
        <w:rPr>
          <w:rFonts w:hint="eastAsia" w:ascii="方正小标宋_GBK" w:hAnsi="方正小标宋_GBK" w:eastAsia="方正小标宋_GBK" w:cs="方正小标宋_GBK"/>
          <w:sz w:val="84"/>
          <w:szCs w:val="84"/>
        </w:rPr>
      </w:pPr>
    </w:p>
    <w:p w14:paraId="3860F185">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50A5962C">
      <w:pPr>
        <w:pStyle w:val="14"/>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325AF5B5">
      <w:pPr>
        <w:pStyle w:val="14"/>
        <w:jc w:val="center"/>
        <w:rPr>
          <w:rFonts w:hint="eastAsia" w:ascii="仿宋_GB2312" w:hAnsi="仿宋_GB2312" w:eastAsia="仿宋_GB2312" w:cs="仿宋_GB2312"/>
          <w:b w:val="0"/>
          <w:bCs w:val="0"/>
          <w:sz w:val="72"/>
          <w:szCs w:val="72"/>
          <w:lang w:eastAsia="zh-CN"/>
        </w:rPr>
      </w:pPr>
    </w:p>
    <w:p w14:paraId="0568D1B8">
      <w:pPr>
        <w:pStyle w:val="14"/>
        <w:jc w:val="center"/>
        <w:rPr>
          <w:rFonts w:hint="eastAsia" w:ascii="仿宋_GB2312" w:hAnsi="仿宋_GB2312" w:eastAsia="仿宋_GB2312" w:cs="仿宋_GB2312"/>
          <w:b w:val="0"/>
          <w:bCs w:val="0"/>
          <w:sz w:val="72"/>
          <w:szCs w:val="72"/>
          <w:lang w:eastAsia="zh-CN"/>
        </w:rPr>
      </w:pPr>
    </w:p>
    <w:p w14:paraId="5C65B646">
      <w:pPr>
        <w:pStyle w:val="14"/>
        <w:jc w:val="center"/>
        <w:rPr>
          <w:rFonts w:hint="eastAsia" w:ascii="仿宋_GB2312" w:hAnsi="仿宋_GB2312" w:eastAsia="仿宋_GB2312" w:cs="仿宋_GB2312"/>
          <w:b w:val="0"/>
          <w:bCs w:val="0"/>
          <w:sz w:val="72"/>
          <w:szCs w:val="72"/>
          <w:lang w:eastAsia="zh-CN"/>
        </w:rPr>
      </w:pPr>
    </w:p>
    <w:p w14:paraId="62EA5E89">
      <w:pPr>
        <w:pStyle w:val="14"/>
        <w:jc w:val="center"/>
        <w:rPr>
          <w:rFonts w:hint="eastAsia" w:ascii="仿宋_GB2312" w:hAnsi="仿宋_GB2312" w:eastAsia="仿宋_GB2312" w:cs="仿宋_GB2312"/>
          <w:b w:val="0"/>
          <w:bCs w:val="0"/>
          <w:sz w:val="72"/>
          <w:szCs w:val="72"/>
          <w:lang w:eastAsia="zh-CN"/>
        </w:rPr>
      </w:pPr>
    </w:p>
    <w:p w14:paraId="63BFFD84">
      <w:pPr>
        <w:pStyle w:val="14"/>
        <w:jc w:val="center"/>
        <w:rPr>
          <w:rFonts w:hint="eastAsia" w:ascii="仿宋_GB2312" w:hAnsi="仿宋_GB2312" w:eastAsia="仿宋_GB2312" w:cs="仿宋_GB2312"/>
          <w:b w:val="0"/>
          <w:bCs w:val="0"/>
          <w:sz w:val="72"/>
          <w:szCs w:val="72"/>
          <w:lang w:eastAsia="zh-CN"/>
        </w:rPr>
      </w:pPr>
    </w:p>
    <w:p w14:paraId="4565BABE">
      <w:pPr>
        <w:pStyle w:val="14"/>
        <w:jc w:val="center"/>
        <w:rPr>
          <w:rFonts w:hint="eastAsia" w:ascii="仿宋_GB2312" w:hAnsi="仿宋_GB2312" w:eastAsia="仿宋_GB2312" w:cs="仿宋_GB2312"/>
          <w:b w:val="0"/>
          <w:bCs w:val="0"/>
          <w:sz w:val="72"/>
          <w:szCs w:val="72"/>
          <w:lang w:eastAsia="zh-CN"/>
        </w:rPr>
      </w:pPr>
    </w:p>
    <w:p w14:paraId="6EEAB3EF">
      <w:pPr>
        <w:pStyle w:val="14"/>
        <w:jc w:val="center"/>
        <w:rPr>
          <w:rFonts w:hint="eastAsia" w:ascii="仿宋_GB2312" w:hAnsi="仿宋_GB2312" w:eastAsia="仿宋_GB2312" w:cs="仿宋_GB2312"/>
          <w:b w:val="0"/>
          <w:bCs w:val="0"/>
          <w:sz w:val="72"/>
          <w:szCs w:val="72"/>
          <w:lang w:eastAsia="zh-CN"/>
        </w:rPr>
      </w:pPr>
    </w:p>
    <w:p w14:paraId="603C04A7">
      <w:pPr>
        <w:pStyle w:val="14"/>
        <w:jc w:val="center"/>
        <w:rPr>
          <w:rFonts w:hint="eastAsia" w:ascii="方正小标宋_GBK" w:hAnsi="方正小标宋_GBK" w:eastAsia="方正小标宋_GBK" w:cs="方正小标宋_GBK"/>
          <w:sz w:val="72"/>
          <w:szCs w:val="72"/>
        </w:rPr>
      </w:pPr>
    </w:p>
    <w:p w14:paraId="7A44A82E">
      <w:pPr>
        <w:pStyle w:val="14"/>
        <w:jc w:val="center"/>
        <w:rPr>
          <w:rFonts w:hint="eastAsia" w:ascii="方正小标宋_GBK" w:hAnsi="方正小标宋_GBK" w:eastAsia="方正小标宋_GBK" w:cs="方正小标宋_GBK"/>
          <w:sz w:val="72"/>
          <w:szCs w:val="72"/>
        </w:rPr>
      </w:pPr>
    </w:p>
    <w:p w14:paraId="06211665">
      <w:pPr>
        <w:pStyle w:val="14"/>
        <w:jc w:val="both"/>
        <w:rPr>
          <w:rFonts w:hint="eastAsia" w:ascii="方正小标宋_GBK" w:hAnsi="方正小标宋_GBK" w:eastAsia="方正小标宋_GBK" w:cs="方正小标宋_GBK"/>
          <w:sz w:val="72"/>
          <w:szCs w:val="72"/>
        </w:rPr>
      </w:pPr>
    </w:p>
    <w:p w14:paraId="7804FBAA">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D53C949">
      <w:pPr>
        <w:pStyle w:val="14"/>
        <w:jc w:val="center"/>
        <w:rPr>
          <w:rFonts w:hint="eastAsia" w:ascii="方正小标宋_GBK" w:hAnsi="方正小标宋_GBK" w:eastAsia="方正小标宋_GBK" w:cs="方正小标宋_GBK"/>
          <w:sz w:val="70"/>
          <w:szCs w:val="70"/>
        </w:rPr>
      </w:pPr>
    </w:p>
    <w:p w14:paraId="4F77A5A6">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14:paraId="17862F93">
      <w:pPr>
        <w:pStyle w:val="14"/>
        <w:jc w:val="center"/>
        <w:rPr>
          <w:rFonts w:hint="eastAsia" w:ascii="方正小标宋_GBK" w:hAnsi="方正小标宋_GBK" w:eastAsia="方正小标宋_GBK" w:cs="方正小标宋_GBK"/>
          <w:sz w:val="70"/>
          <w:szCs w:val="70"/>
        </w:rPr>
      </w:pPr>
    </w:p>
    <w:p w14:paraId="6EEC30AB">
      <w:pPr>
        <w:pStyle w:val="14"/>
        <w:jc w:val="center"/>
        <w:rPr>
          <w:rFonts w:hint="eastAsia" w:ascii="方正小标宋_GBK" w:hAnsi="方正小标宋_GBK" w:eastAsia="方正小标宋_GBK" w:cs="方正小标宋_GBK"/>
          <w:sz w:val="70"/>
          <w:szCs w:val="70"/>
        </w:rPr>
      </w:pPr>
    </w:p>
    <w:p w14:paraId="417367C1">
      <w:pPr>
        <w:pStyle w:val="14"/>
        <w:jc w:val="center"/>
        <w:rPr>
          <w:rFonts w:hint="eastAsia" w:ascii="方正小标宋_GBK" w:hAnsi="方正小标宋_GBK" w:eastAsia="方正小标宋_GBK" w:cs="方正小标宋_GBK"/>
          <w:sz w:val="70"/>
          <w:szCs w:val="70"/>
        </w:rPr>
      </w:pPr>
    </w:p>
    <w:p w14:paraId="5EF1049C">
      <w:pPr>
        <w:pStyle w:val="14"/>
        <w:jc w:val="center"/>
        <w:rPr>
          <w:rFonts w:hint="eastAsia" w:ascii="方正小标宋_GBK" w:hAnsi="方正小标宋_GBK" w:eastAsia="方正小标宋_GBK" w:cs="方正小标宋_GBK"/>
          <w:sz w:val="70"/>
          <w:szCs w:val="70"/>
        </w:rPr>
      </w:pPr>
    </w:p>
    <w:p w14:paraId="7E4B3CF9">
      <w:pPr>
        <w:pStyle w:val="14"/>
        <w:jc w:val="center"/>
        <w:rPr>
          <w:rFonts w:hint="eastAsia" w:ascii="方正小标宋_GBK" w:hAnsi="方正小标宋_GBK" w:eastAsia="方正小标宋_GBK" w:cs="方正小标宋_GBK"/>
          <w:sz w:val="70"/>
          <w:szCs w:val="70"/>
        </w:rPr>
      </w:pPr>
    </w:p>
    <w:p w14:paraId="514C0722">
      <w:pPr>
        <w:pStyle w:val="14"/>
        <w:jc w:val="center"/>
        <w:rPr>
          <w:rFonts w:hint="eastAsia" w:ascii="方正小标宋_GBK" w:hAnsi="方正小标宋_GBK" w:eastAsia="方正小标宋_GBK" w:cs="方正小标宋_GBK"/>
          <w:sz w:val="70"/>
          <w:szCs w:val="70"/>
        </w:rPr>
      </w:pPr>
    </w:p>
    <w:p w14:paraId="2411C08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5CDCBAD6">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年度收、支总计593.66万元。与上年相比</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减少665.66</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val="en-US" w:eastAsia="zh-CN"/>
        </w:rPr>
        <w:t>减少52.86</w:t>
      </w:r>
      <w:r>
        <w:rPr>
          <w:rFonts w:hint="eastAsia" w:ascii="仿宋_GB2312" w:hAnsi="仿宋_GB2312" w:eastAsia="仿宋_GB2312" w:cs="仿宋_GB2312"/>
          <w:sz w:val="32"/>
          <w:szCs w:val="32"/>
          <w:highlight w:val="none"/>
        </w:rPr>
        <w:t>%，主要是因为</w:t>
      </w:r>
      <w:r>
        <w:rPr>
          <w:rFonts w:hint="eastAsia" w:ascii="仿宋_GB2312" w:hAnsi="仿宋_GB2312" w:eastAsia="仿宋_GB2312" w:cs="仿宋_GB2312"/>
          <w:color w:val="auto"/>
          <w:sz w:val="32"/>
          <w:szCs w:val="32"/>
          <w:highlight w:val="none"/>
          <w:lang w:val="en-US" w:eastAsia="zh-CN"/>
        </w:rPr>
        <w:t>人员减少,项目减少</w:t>
      </w:r>
      <w:r>
        <w:rPr>
          <w:rFonts w:hint="eastAsia" w:ascii="仿宋_GB2312" w:hAnsi="仿宋_GB2312" w:eastAsia="仿宋_GB2312" w:cs="仿宋_GB2312"/>
          <w:sz w:val="32"/>
          <w:szCs w:val="32"/>
          <w:highlight w:val="none"/>
          <w:lang w:val="en-US" w:eastAsia="zh-CN"/>
        </w:rPr>
        <w:t>。</w:t>
      </w:r>
    </w:p>
    <w:p w14:paraId="07DA9E3F">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2A53B2AD">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年度收入合计590.31万元，其中：财政拨款收入403.76万元，占</w:t>
      </w:r>
      <w:r>
        <w:rPr>
          <w:rFonts w:hint="eastAsia" w:ascii="仿宋_GB2312" w:hAnsi="仿宋_GB2312" w:eastAsia="仿宋_GB2312" w:cs="仿宋_GB2312"/>
          <w:sz w:val="32"/>
          <w:szCs w:val="32"/>
          <w:lang w:val="en-US" w:eastAsia="zh-CN"/>
        </w:rPr>
        <w:t>68.40</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%；其他收入186.55万元，占</w:t>
      </w:r>
      <w:r>
        <w:rPr>
          <w:rFonts w:hint="eastAsia" w:ascii="仿宋_GB2312" w:hAnsi="仿宋_GB2312" w:eastAsia="仿宋_GB2312" w:cs="仿宋_GB2312"/>
          <w:sz w:val="32"/>
          <w:szCs w:val="32"/>
          <w:lang w:val="en-US" w:eastAsia="zh-CN"/>
        </w:rPr>
        <w:t>31.60</w:t>
      </w:r>
      <w:r>
        <w:rPr>
          <w:rFonts w:hint="eastAsia" w:ascii="仿宋_GB2312" w:hAnsi="仿宋_GB2312" w:eastAsia="仿宋_GB2312" w:cs="仿宋_GB2312"/>
          <w:sz w:val="32"/>
          <w:szCs w:val="32"/>
        </w:rPr>
        <w:t>%。</w:t>
      </w:r>
    </w:p>
    <w:p w14:paraId="2D1A2B4D">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28222937">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年度支出合计566.28万元，其中：基本支出265.84万元，占</w:t>
      </w:r>
      <w:r>
        <w:rPr>
          <w:rFonts w:hint="eastAsia" w:ascii="仿宋_GB2312" w:hAnsi="仿宋_GB2312" w:eastAsia="仿宋_GB2312" w:cs="仿宋_GB2312"/>
          <w:sz w:val="32"/>
          <w:szCs w:val="32"/>
          <w:lang w:val="en-US" w:eastAsia="zh-CN"/>
        </w:rPr>
        <w:t>46.94</w:t>
      </w:r>
      <w:r>
        <w:rPr>
          <w:rFonts w:hint="eastAsia" w:ascii="仿宋_GB2312" w:hAnsi="仿宋_GB2312" w:eastAsia="仿宋_GB2312" w:cs="仿宋_GB2312"/>
          <w:sz w:val="32"/>
          <w:szCs w:val="32"/>
        </w:rPr>
        <w:t>%；项目支出300.44万元，占</w:t>
      </w:r>
      <w:r>
        <w:rPr>
          <w:rFonts w:hint="eastAsia" w:ascii="仿宋_GB2312" w:hAnsi="仿宋_GB2312" w:eastAsia="仿宋_GB2312" w:cs="仿宋_GB2312"/>
          <w:sz w:val="32"/>
          <w:szCs w:val="32"/>
          <w:lang w:val="en-US" w:eastAsia="zh-CN"/>
        </w:rPr>
        <w:t>53.06</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p>
    <w:p w14:paraId="69857526">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75EEE207">
      <w:pPr>
        <w:widowControl w:val="0"/>
        <w:autoSpaceDE w:val="0"/>
        <w:autoSpaceDN w:val="0"/>
        <w:adjustRightInd w:val="0"/>
        <w:ind w:firstLine="640" w:firstLineChars="200"/>
        <w:rPr>
          <w:rFonts w:hint="eastAsia" w:ascii="楷体" w:hAnsi="楷体" w:eastAsia="楷体" w:cs="楷体"/>
          <w:i/>
          <w:iCs/>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年度财政拨款收、支总计403.76万元，与上年相比，</w:t>
      </w:r>
      <w:r>
        <w:rPr>
          <w:rFonts w:hint="eastAsia" w:ascii="仿宋_GB2312" w:hAnsi="仿宋_GB2312" w:eastAsia="仿宋_GB2312" w:cs="仿宋_GB2312"/>
          <w:sz w:val="32"/>
          <w:szCs w:val="32"/>
          <w:lang w:val="en-US" w:eastAsia="zh-CN"/>
        </w:rPr>
        <w:t>减少645.61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减少61.52</w:t>
      </w:r>
      <w:r>
        <w:rPr>
          <w:rFonts w:hint="eastAsia" w:ascii="仿宋_GB2312" w:hAnsi="仿宋_GB2312" w:eastAsia="仿宋_GB2312" w:cs="仿宋_GB2312"/>
          <w:sz w:val="32"/>
          <w:szCs w:val="32"/>
        </w:rPr>
        <w:t>%，主要是因</w:t>
      </w:r>
      <w:r>
        <w:rPr>
          <w:rFonts w:hint="eastAsia" w:ascii="仿宋_GB2312" w:hAnsi="仿宋_GB2312" w:eastAsia="仿宋_GB2312" w:cs="仿宋_GB2312"/>
          <w:sz w:val="32"/>
          <w:szCs w:val="32"/>
          <w:highlight w:val="none"/>
        </w:rPr>
        <w:t>为人员</w:t>
      </w:r>
      <w:r>
        <w:rPr>
          <w:rFonts w:hint="eastAsia" w:ascii="仿宋_GB2312" w:hAnsi="仿宋_GB2312" w:eastAsia="仿宋_GB2312" w:cs="仿宋_GB2312"/>
          <w:sz w:val="32"/>
          <w:szCs w:val="32"/>
          <w:highlight w:val="none"/>
          <w:lang w:val="en-US" w:eastAsia="zh-CN"/>
        </w:rPr>
        <w:t>减少</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sz w:val="32"/>
          <w:szCs w:val="32"/>
          <w:highlight w:val="none"/>
          <w:lang w:val="en-US" w:eastAsia="zh-CN"/>
        </w:rPr>
        <w:t>减少</w:t>
      </w:r>
      <w:r>
        <w:rPr>
          <w:rFonts w:hint="eastAsia" w:ascii="仿宋_GB2312" w:hAnsi="仿宋_GB2312" w:eastAsia="仿宋_GB2312" w:cs="仿宋_GB2312"/>
          <w:sz w:val="32"/>
          <w:szCs w:val="32"/>
          <w:highlight w:val="none"/>
        </w:rPr>
        <w:t>。</w:t>
      </w:r>
    </w:p>
    <w:p w14:paraId="4BB30A6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6023283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76CAEDEF">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年度财政拨款支出403.76万元，占本年支出合计的</w:t>
      </w:r>
      <w:r>
        <w:rPr>
          <w:rFonts w:hint="eastAsia" w:ascii="仿宋_GB2312" w:hAnsi="仿宋_GB2312" w:eastAsia="仿宋_GB2312" w:cs="仿宋_GB2312"/>
          <w:sz w:val="32"/>
          <w:szCs w:val="32"/>
          <w:lang w:val="en-US" w:eastAsia="zh-CN"/>
        </w:rPr>
        <w:t>71.30</w:t>
      </w:r>
      <w:r>
        <w:rPr>
          <w:rFonts w:hint="eastAsia" w:ascii="仿宋_GB2312" w:hAnsi="仿宋_GB2312" w:eastAsia="仿宋_GB2312" w:cs="仿宋_GB2312"/>
          <w:sz w:val="32"/>
          <w:szCs w:val="32"/>
        </w:rPr>
        <w:t>%，与上年相比，财政拨款支出减少645.61万元，减少61.52%，主要</w:t>
      </w:r>
      <w:r>
        <w:rPr>
          <w:rFonts w:hint="eastAsia" w:ascii="仿宋_GB2312" w:hAnsi="仿宋_GB2312" w:eastAsia="仿宋_GB2312" w:cs="仿宋_GB2312"/>
          <w:sz w:val="32"/>
          <w:szCs w:val="32"/>
          <w:highlight w:val="none"/>
        </w:rPr>
        <w:t>是因为人员</w:t>
      </w:r>
      <w:r>
        <w:rPr>
          <w:rFonts w:hint="eastAsia" w:ascii="仿宋_GB2312" w:hAnsi="仿宋_GB2312" w:eastAsia="仿宋_GB2312" w:cs="仿宋_GB2312"/>
          <w:sz w:val="32"/>
          <w:szCs w:val="32"/>
          <w:highlight w:val="none"/>
          <w:lang w:val="en-US" w:eastAsia="zh-CN"/>
        </w:rPr>
        <w:t>减少</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sz w:val="32"/>
          <w:szCs w:val="32"/>
          <w:highlight w:val="none"/>
          <w:lang w:val="en-US" w:eastAsia="zh-CN"/>
        </w:rPr>
        <w:t>减少</w:t>
      </w:r>
      <w:r>
        <w:rPr>
          <w:rFonts w:hint="eastAsia" w:ascii="仿宋_GB2312" w:hAnsi="仿宋_GB2312" w:eastAsia="仿宋_GB2312" w:cs="仿宋_GB2312"/>
          <w:sz w:val="32"/>
          <w:szCs w:val="32"/>
          <w:highlight w:val="none"/>
        </w:rPr>
        <w:t>。</w:t>
      </w:r>
    </w:p>
    <w:p w14:paraId="66C54C85">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100B560A">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年度财政拨款支出403.76万元，主要用于以下方面：社会保障和就业（类）支出19.77万元，占</w:t>
      </w:r>
      <w:r>
        <w:rPr>
          <w:rFonts w:hint="eastAsia" w:ascii="仿宋_GB2312" w:hAnsi="仿宋_GB2312" w:eastAsia="仿宋_GB2312" w:cs="仿宋_GB2312"/>
          <w:sz w:val="32"/>
          <w:szCs w:val="32"/>
          <w:lang w:val="en-US" w:eastAsia="zh-CN"/>
        </w:rPr>
        <w:t>4.90</w:t>
      </w:r>
      <w:r>
        <w:rPr>
          <w:rFonts w:hint="eastAsia" w:ascii="仿宋_GB2312" w:hAnsi="仿宋_GB2312" w:eastAsia="仿宋_GB2312" w:cs="仿宋_GB2312"/>
          <w:sz w:val="32"/>
          <w:szCs w:val="32"/>
        </w:rPr>
        <w:t>%；节能环保（类）支出370.22万元，占</w:t>
      </w:r>
      <w:r>
        <w:rPr>
          <w:rFonts w:hint="eastAsia" w:ascii="仿宋_GB2312" w:hAnsi="仿宋_GB2312" w:eastAsia="仿宋_GB2312" w:cs="仿宋_GB2312"/>
          <w:sz w:val="32"/>
          <w:szCs w:val="32"/>
          <w:lang w:val="en-US" w:eastAsia="zh-CN"/>
        </w:rPr>
        <w:t>91.69</w:t>
      </w:r>
      <w:r>
        <w:rPr>
          <w:rFonts w:hint="eastAsia" w:ascii="仿宋_GB2312" w:hAnsi="仿宋_GB2312" w:eastAsia="仿宋_GB2312" w:cs="仿宋_GB2312"/>
          <w:sz w:val="32"/>
          <w:szCs w:val="32"/>
        </w:rPr>
        <w:t>%；住房保障（类）支出13.77万元，占</w:t>
      </w:r>
      <w:r>
        <w:rPr>
          <w:rFonts w:hint="eastAsia" w:ascii="仿宋_GB2312" w:hAnsi="仿宋_GB2312" w:eastAsia="仿宋_GB2312" w:cs="仿宋_GB2312"/>
          <w:sz w:val="32"/>
          <w:szCs w:val="32"/>
          <w:lang w:val="en-US" w:eastAsia="zh-CN"/>
        </w:rPr>
        <w:t>3.41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p>
    <w:p w14:paraId="5CDBADF9">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5B07DAE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404.17</w:t>
      </w:r>
      <w:r>
        <w:rPr>
          <w:rFonts w:hint="eastAsia" w:ascii="仿宋_GB2312" w:hAnsi="仿宋_GB2312" w:eastAsia="仿宋_GB2312" w:cs="仿宋_GB2312"/>
          <w:sz w:val="32"/>
          <w:szCs w:val="32"/>
        </w:rPr>
        <w:t>万元，支出决算数为403.76万元，完成年初预算的</w:t>
      </w:r>
      <w:r>
        <w:rPr>
          <w:rFonts w:hint="eastAsia" w:ascii="仿宋_GB2312" w:hAnsi="仿宋_GB2312" w:eastAsia="仿宋_GB2312" w:cs="仿宋_GB2312"/>
          <w:sz w:val="32"/>
          <w:szCs w:val="32"/>
          <w:lang w:val="en-US" w:eastAsia="zh-CN"/>
        </w:rPr>
        <w:t>99.90</w:t>
      </w:r>
      <w:r>
        <w:rPr>
          <w:rFonts w:hint="eastAsia" w:ascii="仿宋_GB2312" w:hAnsi="仿宋_GB2312" w:eastAsia="仿宋_GB2312" w:cs="仿宋_GB2312"/>
          <w:sz w:val="32"/>
          <w:szCs w:val="32"/>
        </w:rPr>
        <w:t>%，其中：</w:t>
      </w:r>
    </w:p>
    <w:p w14:paraId="237A4D6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1、社会保障和就业（类）行政事业单位养老支出（款）机关事业单位基本养老保险缴费支出（项）。</w:t>
      </w:r>
    </w:p>
    <w:p w14:paraId="7523608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年初预算为19.55万元，支出决算为17.92万元，完成年初预算的</w:t>
      </w:r>
      <w:r>
        <w:rPr>
          <w:rFonts w:hint="eastAsia" w:ascii="仿宋_GB2312" w:hAnsi="仿宋_GB2312" w:eastAsia="仿宋_GB2312" w:cs="仿宋_GB2312"/>
          <w:sz w:val="32"/>
          <w:szCs w:val="32"/>
          <w:lang w:val="en-US" w:eastAsia="zh-CN"/>
        </w:rPr>
        <w:t>91.66</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小于</w:t>
      </w:r>
      <w:r>
        <w:rPr>
          <w:rFonts w:hint="eastAsia" w:ascii="仿宋_GB2312" w:hAnsi="仿宋_GB2312" w:eastAsia="仿宋_GB2312" w:cs="仿宋_GB2312"/>
          <w:sz w:val="32"/>
          <w:szCs w:val="32"/>
        </w:rPr>
        <w:t>年初预算数的主要原因</w:t>
      </w:r>
      <w:r>
        <w:rPr>
          <w:rFonts w:hint="eastAsia" w:ascii="仿宋_GB2312" w:hAnsi="仿宋_GB2312" w:eastAsia="仿宋_GB2312" w:cs="仿宋_GB2312"/>
          <w:sz w:val="32"/>
          <w:szCs w:val="32"/>
          <w:highlight w:val="none"/>
        </w:rPr>
        <w:t>是：</w:t>
      </w:r>
      <w:r>
        <w:rPr>
          <w:rFonts w:hint="eastAsia" w:ascii="仿宋_GB2312" w:hAnsi="仿宋_GB2312" w:eastAsia="仿宋_GB2312" w:cs="仿宋_GB2312"/>
          <w:sz w:val="32"/>
          <w:szCs w:val="32"/>
          <w:highlight w:val="none"/>
          <w:lang w:val="en-US" w:eastAsia="zh-CN"/>
        </w:rPr>
        <w:t>人员减少。</w:t>
      </w:r>
    </w:p>
    <w:p w14:paraId="37A3CD3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、社会保障和就业（类）残疾人事业（款）其他残疾人事业支出（项）。</w:t>
      </w:r>
    </w:p>
    <w:p w14:paraId="7909D09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1.49</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1.49</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r>
        <w:rPr>
          <w:rFonts w:hint="eastAsia" w:ascii="仿宋_GB2312" w:hAnsi="仿宋_GB2312" w:eastAsia="仿宋_GB2312" w:cs="仿宋_GB2312"/>
          <w:sz w:val="32"/>
          <w:szCs w:val="32"/>
          <w:lang w:val="en-US" w:eastAsia="zh-CN"/>
        </w:rPr>
        <w:t>。</w:t>
      </w:r>
    </w:p>
    <w:p w14:paraId="0A3E3D7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、社会保障和就业（类）其他社会保障和就业支出（款）其他社会保障和就业支出（项）。</w:t>
      </w:r>
    </w:p>
    <w:p w14:paraId="3F9D37A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0.36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0.36</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r>
        <w:rPr>
          <w:rFonts w:hint="eastAsia" w:ascii="仿宋_GB2312" w:hAnsi="仿宋_GB2312" w:eastAsia="仿宋_GB2312" w:cs="仿宋_GB2312"/>
          <w:sz w:val="32"/>
          <w:szCs w:val="32"/>
          <w:lang w:val="en-US" w:eastAsia="zh-CN"/>
        </w:rPr>
        <w:t>。</w:t>
      </w:r>
    </w:p>
    <w:p w14:paraId="5555E44E">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、卫生健康（类）行政事业单位医疗（款）公务员医疗补助（项）。</w:t>
      </w:r>
    </w:p>
    <w:p w14:paraId="7943542C">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3.55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决算金额未细化。</w:t>
      </w:r>
    </w:p>
    <w:p w14:paraId="2B0655C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、节能环保（类）环境保护管理事务（款）行政运行（项）。</w:t>
      </w:r>
    </w:p>
    <w:p w14:paraId="022206B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365.13</w:t>
      </w:r>
      <w:r>
        <w:rPr>
          <w:rFonts w:hint="eastAsia" w:ascii="仿宋_GB2312" w:hAnsi="仿宋_GB2312" w:eastAsia="仿宋_GB2312" w:cs="仿宋_GB2312"/>
          <w:sz w:val="32"/>
          <w:szCs w:val="32"/>
        </w:rPr>
        <w:t>万元，支出决算为348.98万元，完成年初预算的</w:t>
      </w:r>
      <w:r>
        <w:rPr>
          <w:rFonts w:hint="eastAsia" w:ascii="仿宋_GB2312" w:hAnsi="仿宋_GB2312" w:eastAsia="仿宋_GB2312" w:cs="仿宋_GB2312"/>
          <w:sz w:val="32"/>
          <w:szCs w:val="32"/>
          <w:lang w:val="en-US" w:eastAsia="zh-CN"/>
        </w:rPr>
        <w:t>95.58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highlight w:val="none"/>
          <w:lang w:val="en-US" w:eastAsia="zh-CN"/>
        </w:rPr>
        <w:t>人员减少。</w:t>
      </w:r>
    </w:p>
    <w:p w14:paraId="6DC688F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、节能环保（类）环境保护管理事务（款）其他环境保护管理事务支出（项）。</w:t>
      </w:r>
    </w:p>
    <w:p w14:paraId="5937D979">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万元，支出决算为3.87万元，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rPr>
        <w:t>决算数大于年初预算数的主要原因是：年初未做预算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年中追加资金</w:t>
      </w:r>
      <w:r>
        <w:rPr>
          <w:rFonts w:hint="eastAsia" w:ascii="仿宋_GB2312" w:hAnsi="仿宋_GB2312" w:eastAsia="仿宋_GB2312" w:cs="仿宋_GB2312"/>
          <w:sz w:val="32"/>
          <w:szCs w:val="32"/>
          <w:lang w:eastAsia="zh-CN"/>
        </w:rPr>
        <w:t>。</w:t>
      </w:r>
    </w:p>
    <w:p w14:paraId="78BCF59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、节能环保（类）污染减排（款）生态环境执法监察（项）。</w:t>
      </w:r>
    </w:p>
    <w:p w14:paraId="1F2198FA">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万元，支出决算为10</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rPr>
        <w:t>决算数大于年初预算数的主要原因是：年初未做预算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年中追加资金。</w:t>
      </w:r>
    </w:p>
    <w:p w14:paraId="635557D8">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、节能环保（类）其他节能环保支出（款）其他节能环保支出（项）。</w:t>
      </w:r>
    </w:p>
    <w:p w14:paraId="3B6E297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万元，支出决算为7.37万元，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rPr>
        <w:t>决算数大于年初预算数的主要原因是：年初未做预算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年中追加资金。</w:t>
      </w:r>
    </w:p>
    <w:p w14:paraId="7178BF3F">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、住房保障（类）住房改革支出（款）住房公积金（项）。</w:t>
      </w:r>
    </w:p>
    <w:p w14:paraId="2F4442F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年初预算为14.09万元，支出决算为13.77万元，完成年初预算的</w:t>
      </w:r>
      <w:r>
        <w:rPr>
          <w:rFonts w:hint="eastAsia" w:ascii="仿宋_GB2312" w:hAnsi="仿宋_GB2312" w:eastAsia="仿宋_GB2312" w:cs="仿宋_GB2312"/>
          <w:sz w:val="32"/>
          <w:szCs w:val="32"/>
          <w:lang w:val="en-US" w:eastAsia="zh-CN"/>
        </w:rPr>
        <w:t>97.73</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highlight w:val="none"/>
          <w:lang w:val="en-US" w:eastAsia="zh-CN"/>
        </w:rPr>
        <w:t>人员减少</w:t>
      </w:r>
      <w:r>
        <w:rPr>
          <w:rFonts w:hint="eastAsia" w:ascii="仿宋_GB2312" w:hAnsi="仿宋_GB2312" w:eastAsia="仿宋_GB2312" w:cs="仿宋_GB2312"/>
          <w:sz w:val="32"/>
          <w:szCs w:val="32"/>
          <w:lang w:val="en-US" w:eastAsia="zh-CN"/>
        </w:rPr>
        <w:t>。</w:t>
      </w:r>
    </w:p>
    <w:p w14:paraId="373E8BA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293AEB6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财政拨款基本支出222.91万元，其中：</w:t>
      </w:r>
    </w:p>
    <w:p w14:paraId="763B7849">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187.69万元，占基本支出的</w:t>
      </w:r>
      <w:r>
        <w:rPr>
          <w:rFonts w:hint="eastAsia" w:ascii="仿宋_GB2312" w:hAnsi="仿宋_GB2312" w:eastAsia="仿宋_GB2312" w:cs="仿宋_GB2312"/>
          <w:sz w:val="32"/>
          <w:szCs w:val="32"/>
          <w:lang w:val="en-US" w:eastAsia="zh-CN"/>
        </w:rPr>
        <w:t>84.20</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48A9DFB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35.22万元，占基本支出的</w:t>
      </w:r>
      <w:r>
        <w:rPr>
          <w:rFonts w:hint="eastAsia" w:ascii="仿宋_GB2312" w:hAnsi="仿宋_GB2312" w:eastAsia="仿宋_GB2312" w:cs="仿宋_GB2312"/>
          <w:sz w:val="32"/>
          <w:szCs w:val="32"/>
          <w:lang w:val="en-US" w:eastAsia="zh-CN"/>
        </w:rPr>
        <w:t>15.80</w:t>
      </w:r>
      <w:r>
        <w:rPr>
          <w:rFonts w:hint="eastAsia" w:ascii="仿宋_GB2312" w:hAnsi="仿宋_GB2312" w:eastAsia="仿宋_GB2312" w:cs="仿宋_GB2312"/>
          <w:sz w:val="32"/>
          <w:szCs w:val="32"/>
        </w:rPr>
        <w:t>%，主要包括办公费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p>
    <w:p w14:paraId="238B276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7B96C244">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黑体" w:hAnsi="黑体" w:eastAsia="黑体"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color w:val="000000"/>
          <w:kern w:val="0"/>
          <w:sz w:val="32"/>
          <w:szCs w:val="32"/>
          <w:lang w:val="en-US" w:eastAsia="zh-CN" w:bidi="ar-SA"/>
        </w:rPr>
        <w:t>2024年度政府性基金预算财政拨款收入0万元；年初结转和结余0万元；支出0万元，其中基本支出0万元，项目支出0万元；年末结转和结余0万元。</w:t>
      </w:r>
    </w:p>
    <w:p w14:paraId="28BDC77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64D19482">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sz w:val="32"/>
          <w:szCs w:val="32"/>
        </w:rPr>
      </w:pPr>
      <w:r>
        <w:rPr>
          <w:rFonts w:hint="eastAsia" w:ascii="仿宋_GB2312" w:hAnsi="仿宋_GB2312" w:eastAsia="仿宋_GB2312" w:cs="仿宋_GB2312"/>
          <w:color w:val="000000"/>
          <w:kern w:val="0"/>
          <w:sz w:val="32"/>
          <w:szCs w:val="32"/>
          <w:highlight w:val="none"/>
          <w:lang w:val="en-US" w:eastAsia="zh-CN" w:bidi="ar-SA"/>
        </w:rPr>
        <w:t>2024年度国有资本经营预算财政拨款收入0万元；年初结转和结余0万；支出0万元，其中：基本支出0万元，项目支出0万元；年末结转和结余0万元。</w:t>
      </w:r>
    </w:p>
    <w:p w14:paraId="5876C25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6298EF1D">
      <w:pPr>
        <w:pStyle w:val="14"/>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经费财政拨款支出决算总体情况说明</w:t>
      </w:r>
    </w:p>
    <w:p w14:paraId="730E9443">
      <w:pPr>
        <w:pStyle w:val="14"/>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4.00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rPr>
        <w:t>1.96</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49.00</w:t>
      </w:r>
      <w:r>
        <w:rPr>
          <w:rFonts w:ascii="Times New Roman" w:hAnsi="Times New Roman" w:eastAsia="仿宋_GB2312" w:cs="Times New Roman"/>
          <w:sz w:val="32"/>
          <w:szCs w:val="32"/>
        </w:rPr>
        <w:t>%；与上年相比</w:t>
      </w:r>
      <w:r>
        <w:rPr>
          <w:rFonts w:hint="eastAsia" w:ascii="Times New Roman" w:hAnsi="Times New Roman" w:eastAsia="仿宋_GB2312" w:cs="Times New Roman"/>
          <w:sz w:val="32"/>
          <w:szCs w:val="32"/>
          <w:lang w:val="en-US" w:eastAsia="zh-CN"/>
        </w:rPr>
        <w:t>减少0.10</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5.08</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cs="Times New Roman"/>
          <w:sz w:val="32"/>
          <w:szCs w:val="32"/>
        </w:rPr>
        <w:t>厉行节约，严格控制“三公”经费</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val="en-US" w:eastAsia="zh-CN"/>
        </w:rPr>
        <w:t>小</w:t>
      </w:r>
      <w:r>
        <w:rPr>
          <w:rFonts w:ascii="Times New Roman" w:hAnsi="Times New Roman" w:eastAsia="仿宋_GB2312" w:cs="Times New Roman"/>
          <w:sz w:val="32"/>
          <w:szCs w:val="32"/>
        </w:rPr>
        <w:t>于上年数的主要原因是公务用车运行维护费</w:t>
      </w:r>
      <w:r>
        <w:rPr>
          <w:rFonts w:hint="eastAsia" w:ascii="Times New Roman" w:hAnsi="Times New Roman" w:eastAsia="仿宋_GB2312" w:cs="Times New Roman"/>
          <w:sz w:val="32"/>
          <w:szCs w:val="32"/>
          <w:lang w:val="en-US" w:eastAsia="zh-CN"/>
        </w:rPr>
        <w:t>减少</w:t>
      </w:r>
      <w:r>
        <w:rPr>
          <w:rFonts w:ascii="Times New Roman" w:hAnsi="Times New Roman" w:eastAsia="仿宋_GB2312" w:cs="Times New Roman"/>
          <w:sz w:val="32"/>
          <w:szCs w:val="32"/>
        </w:rPr>
        <w:t>。</w:t>
      </w:r>
    </w:p>
    <w:p w14:paraId="352D03A7">
      <w:pPr>
        <w:pStyle w:val="14"/>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经费财政拨款支出决算具体情况说明</w:t>
      </w:r>
    </w:p>
    <w:p w14:paraId="1CF083E8">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决算数等于预算数</w:t>
      </w:r>
      <w:r>
        <w:rPr>
          <w:rFonts w:hint="eastAsia" w:ascii="Times New Roman" w:hAnsi="Times New Roman" w:eastAsia="仿宋_GB2312" w:cs="Times New Roman"/>
          <w:sz w:val="32"/>
          <w:szCs w:val="32"/>
          <w:lang w:val="en-US" w:eastAsia="zh-CN"/>
        </w:rPr>
        <w:t>，主要原因是我单位严格按预算执行决算</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与上年一致，无增减变动，主要原因是未安排因公出国（境）活动。</w:t>
      </w: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p>
    <w:p w14:paraId="65978CAB">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4.00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1.96</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49.00</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0.10</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5.08</w:t>
      </w:r>
      <w:r>
        <w:rPr>
          <w:rFonts w:ascii="Times New Roman" w:hAnsi="Times New Roman" w:eastAsia="仿宋_GB2312" w:cs="Times New Roman"/>
          <w:sz w:val="32"/>
          <w:szCs w:val="32"/>
        </w:rPr>
        <w:t>%。其中：</w:t>
      </w:r>
    </w:p>
    <w:p w14:paraId="07AF86AC">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决算数等于预算数，主要原因是我单位严格按预算执行决算</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与上年一致，无增减变动，主要原因是两年均未购置公务用车。本单位</w:t>
      </w:r>
      <w:r>
        <w:rPr>
          <w:rFonts w:ascii="Times New Roman" w:hAnsi="Times New Roman" w:eastAsia="仿宋_GB2312" w:cs="Times New Roman"/>
          <w:sz w:val="32"/>
          <w:szCs w:val="32"/>
        </w:rPr>
        <w:t>更新公务用车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r>
        <w:rPr>
          <w:rFonts w:hint="eastAsia" w:ascii="Times New Roman" w:hAnsi="Times New Roman" w:eastAsia="仿宋_GB2312" w:cs="Times New Roman"/>
          <w:sz w:val="32"/>
          <w:szCs w:val="32"/>
          <w:lang w:eastAsia="zh-CN"/>
        </w:rPr>
        <w:t>。</w:t>
      </w:r>
    </w:p>
    <w:p w14:paraId="1D422951">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4.00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1.96</w:t>
      </w:r>
      <w:r>
        <w:rPr>
          <w:rFonts w:ascii="Times New Roman" w:hAnsi="Times New Roman" w:eastAsia="仿宋_GB2312" w:cs="Times New Roman"/>
          <w:sz w:val="32"/>
          <w:szCs w:val="32"/>
        </w:rPr>
        <w:t>万元，</w:t>
      </w:r>
    </w:p>
    <w:p w14:paraId="75A272CE">
      <w:pPr>
        <w:pStyle w:val="14"/>
        <w:overflowPunct w:val="0"/>
        <w:autoSpaceDE/>
        <w:autoSpaceDN/>
        <w:spacing w:line="600" w:lineRule="exact"/>
        <w:ind w:firstLine="640" w:firstLineChars="200"/>
        <w:jc w:val="both"/>
        <w:rPr>
          <w:rFonts w:ascii="Times New Roman" w:hAnsi="Times New Roman" w:eastAsia="楷体" w:cs="Times New Roman"/>
          <w:b/>
          <w:bCs/>
          <w:i/>
          <w:color w:val="FF0000"/>
          <w:sz w:val="32"/>
          <w:szCs w:val="32"/>
        </w:rPr>
      </w:pPr>
      <w:r>
        <w:rPr>
          <w:rFonts w:ascii="Times New Roman" w:hAnsi="Times New Roman" w:eastAsia="仿宋_GB2312" w:cs="Times New Roman"/>
          <w:sz w:val="32"/>
          <w:szCs w:val="32"/>
        </w:rPr>
        <w:t>主要是</w:t>
      </w:r>
      <w:r>
        <w:rPr>
          <w:rFonts w:hint="eastAsia" w:ascii="Times New Roman" w:hAnsi="Times New Roman" w:eastAsia="仿宋_GB2312" w:cs="Times New Roman"/>
          <w:sz w:val="32"/>
          <w:szCs w:val="32"/>
        </w:rPr>
        <w:t>公执法车加油、维修、保险</w:t>
      </w:r>
      <w:r>
        <w:rPr>
          <w:rFonts w:ascii="Times New Roman" w:hAnsi="Times New Roman" w:eastAsia="仿宋_GB2312" w:cs="Times New Roman"/>
          <w:sz w:val="32"/>
          <w:szCs w:val="32"/>
        </w:rPr>
        <w:t>支出，完成预算的</w:t>
      </w:r>
      <w:r>
        <w:rPr>
          <w:rFonts w:hint="eastAsia" w:ascii="Times New Roman" w:hAnsi="Times New Roman" w:eastAsia="仿宋_GB2312" w:cs="Times New Roman"/>
          <w:sz w:val="32"/>
          <w:szCs w:val="32"/>
          <w:lang w:val="en-US" w:eastAsia="zh-CN"/>
        </w:rPr>
        <w:t>49.00</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0.10</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5.08</w:t>
      </w:r>
      <w:r>
        <w:rPr>
          <w:rFonts w:ascii="Times New Roman" w:hAnsi="Times New Roman" w:eastAsia="仿宋_GB2312" w:cs="Times New Roman"/>
          <w:sz w:val="32"/>
          <w:szCs w:val="32"/>
        </w:rPr>
        <w:t>%。决算数小于预算数的主要原因是</w:t>
      </w:r>
      <w:r>
        <w:rPr>
          <w:rFonts w:hint="eastAsia" w:ascii="仿宋_GB2312" w:hAnsi="仿宋_GB2312" w:eastAsia="仿宋_GB2312" w:cs="仿宋_GB2312"/>
          <w:sz w:val="32"/>
          <w:szCs w:val="32"/>
          <w:lang w:eastAsia="zh-CN"/>
        </w:rPr>
        <w:t>厉行节约，严格控制</w:t>
      </w:r>
      <w:r>
        <w:rPr>
          <w:rFonts w:hint="eastAsia" w:ascii="仿宋_GB2312" w:hAnsi="仿宋_GB2312" w:eastAsia="仿宋_GB2312" w:cs="仿宋_GB2312"/>
          <w:sz w:val="32"/>
          <w:szCs w:val="32"/>
        </w:rPr>
        <w:t>公务用车</w:t>
      </w:r>
      <w:r>
        <w:rPr>
          <w:rFonts w:hint="eastAsia" w:ascii="仿宋_GB2312" w:hAnsi="仿宋_GB2312" w:eastAsia="仿宋_GB2312" w:cs="仿宋_GB2312"/>
          <w:sz w:val="32"/>
          <w:szCs w:val="32"/>
          <w:lang w:eastAsia="zh-CN"/>
        </w:rPr>
        <w:t>运行维护</w:t>
      </w:r>
      <w:r>
        <w:rPr>
          <w:rFonts w:hint="eastAsia" w:ascii="仿宋_GB2312" w:hAnsi="仿宋_GB2312" w:eastAsia="仿宋_GB2312" w:cs="仿宋_GB2312"/>
          <w:sz w:val="32"/>
          <w:szCs w:val="32"/>
        </w:rPr>
        <w:t>费</w:t>
      </w:r>
      <w:r>
        <w:rPr>
          <w:rFonts w:hint="eastAsia" w:ascii="仿宋_GB2312" w:hAnsi="仿宋_GB2312" w:eastAsia="仿宋_GB2312" w:cs="仿宋_GB2312"/>
          <w:sz w:val="32"/>
          <w:szCs w:val="32"/>
          <w:lang w:eastAsia="zh-CN"/>
        </w:rPr>
        <w:t>支出</w:t>
      </w:r>
      <w:r>
        <w:rPr>
          <w:rFonts w:ascii="Times New Roman" w:hAnsi="Times New Roman" w:eastAsia="仿宋_GB2312" w:cs="Times New Roman"/>
          <w:sz w:val="32"/>
          <w:szCs w:val="32"/>
        </w:rPr>
        <w:t>。决算</w:t>
      </w:r>
      <w:r>
        <w:rPr>
          <w:rFonts w:hint="eastAsia" w:ascii="Times New Roman" w:hAnsi="Times New Roman" w:eastAsia="仿宋_GB2312" w:cs="Times New Roman"/>
          <w:sz w:val="32"/>
          <w:szCs w:val="32"/>
          <w:lang w:val="en-US" w:eastAsia="zh-CN"/>
        </w:rPr>
        <w:t>数小于</w:t>
      </w:r>
      <w:r>
        <w:rPr>
          <w:rFonts w:ascii="Times New Roman" w:hAnsi="Times New Roman" w:eastAsia="仿宋_GB2312" w:cs="Times New Roman"/>
          <w:sz w:val="32"/>
          <w:szCs w:val="32"/>
        </w:rPr>
        <w:t>上年数的主要原因是</w:t>
      </w:r>
      <w:r>
        <w:rPr>
          <w:rFonts w:hint="eastAsia" w:ascii="仿宋_GB2312" w:hAnsi="仿宋_GB2312" w:eastAsia="仿宋_GB2312" w:cs="仿宋_GB2312"/>
          <w:sz w:val="32"/>
          <w:szCs w:val="32"/>
          <w:lang w:eastAsia="zh-CN"/>
        </w:rPr>
        <w:t>厉行节约，严格控制</w:t>
      </w:r>
      <w:r>
        <w:rPr>
          <w:rFonts w:hint="eastAsia" w:ascii="仿宋_GB2312" w:hAnsi="仿宋_GB2312" w:eastAsia="仿宋_GB2312" w:cs="仿宋_GB2312"/>
          <w:sz w:val="32"/>
          <w:szCs w:val="32"/>
        </w:rPr>
        <w:t>公务用车</w:t>
      </w:r>
      <w:r>
        <w:rPr>
          <w:rFonts w:hint="eastAsia" w:ascii="仿宋_GB2312" w:hAnsi="仿宋_GB2312" w:eastAsia="仿宋_GB2312" w:cs="仿宋_GB2312"/>
          <w:sz w:val="32"/>
          <w:szCs w:val="32"/>
          <w:lang w:eastAsia="zh-CN"/>
        </w:rPr>
        <w:t>运行维护</w:t>
      </w:r>
      <w:r>
        <w:rPr>
          <w:rFonts w:hint="eastAsia" w:ascii="仿宋_GB2312" w:hAnsi="仿宋_GB2312" w:eastAsia="仿宋_GB2312" w:cs="仿宋_GB2312"/>
          <w:sz w:val="32"/>
          <w:szCs w:val="32"/>
        </w:rPr>
        <w:t>费</w:t>
      </w:r>
      <w:r>
        <w:rPr>
          <w:rFonts w:hint="eastAsia" w:ascii="仿宋_GB2312" w:hAnsi="仿宋_GB2312" w:eastAsia="仿宋_GB2312" w:cs="仿宋_GB2312"/>
          <w:sz w:val="32"/>
          <w:szCs w:val="32"/>
          <w:lang w:eastAsia="zh-CN"/>
        </w:rPr>
        <w:t>支出</w:t>
      </w:r>
      <w:r>
        <w:rPr>
          <w:rFonts w:hint="eastAsia" w:ascii="Times New Roman" w:hAnsi="Times New Roman" w:eastAsia="仿宋_GB2312" w:cs="Times New Roman"/>
          <w:sz w:val="32"/>
          <w:szCs w:val="32"/>
          <w:lang w:val="en-US" w:eastAsia="zh-CN"/>
        </w:rPr>
        <w:t>。</w:t>
      </w:r>
      <w:r>
        <w:rPr>
          <w:rFonts w:ascii="Times New Roman" w:hAnsi="Times New Roman" w:eastAsia="仿宋_GB2312" w:cs="Times New Roman"/>
          <w:sz w:val="32"/>
          <w:szCs w:val="32"/>
          <w:highlight w:val="none"/>
        </w:rPr>
        <w:t>截止</w:t>
      </w:r>
      <w:r>
        <w:rPr>
          <w:rFonts w:hint="eastAsia" w:ascii="Times New Roman" w:hAnsi="Times New Roman" w:eastAsia="仿宋_GB2312" w:cs="Times New Roman"/>
          <w:sz w:val="32"/>
          <w:szCs w:val="32"/>
          <w:highlight w:val="none"/>
          <w:lang w:eastAsia="zh-CN"/>
        </w:rPr>
        <w:t>到</w:t>
      </w:r>
      <w:r>
        <w:rPr>
          <w:rFonts w:ascii="Times New Roman" w:hAnsi="Times New Roman" w:eastAsia="仿宋_GB2312" w:cs="Times New Roman"/>
          <w:sz w:val="32"/>
          <w:szCs w:val="32"/>
        </w:rPr>
        <w:t>2024年12月31日，我单位开支财政拨款的公务用车保有量为</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辆。</w:t>
      </w:r>
    </w:p>
    <w:p w14:paraId="25F55995">
      <w:pPr>
        <w:numPr>
          <w:ilvl w:val="0"/>
          <w:numId w:val="0"/>
        </w:numPr>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3.公务接待费支出预算为 0万元，支出决算为0万元，决算数等于预算数，主要原因是严格执行中央八项规定；与上年一致，无增减变动，主要原因是按有关政策厉行节约，严控公务接待支出。2024年度共接待来访团组0个、来宾0人次。</w:t>
      </w:r>
    </w:p>
    <w:p w14:paraId="3D06ACE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38BA3ACD">
      <w:pPr>
        <w:pStyle w:val="14"/>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年度机关运行经费支出35.22万元，</w:t>
      </w:r>
      <w:r>
        <w:rPr>
          <w:rFonts w:hint="eastAsia" w:ascii="仿宋_GB2312" w:hAnsi="仿宋_GB2312" w:eastAsia="仿宋_GB2312" w:cs="仿宋_GB2312"/>
          <w:sz w:val="32"/>
          <w:szCs w:val="32"/>
          <w:highlight w:val="none"/>
        </w:rPr>
        <w:t>比上年决算数</w:t>
      </w:r>
      <w:r>
        <w:rPr>
          <w:rFonts w:hint="eastAsia" w:ascii="仿宋_GB2312" w:hAnsi="仿宋_GB2312" w:eastAsia="仿宋_GB2312" w:cs="仿宋_GB2312"/>
          <w:sz w:val="32"/>
          <w:szCs w:val="32"/>
          <w:highlight w:val="none"/>
          <w:lang w:val="en-US" w:eastAsia="zh-CN"/>
        </w:rPr>
        <w:t>减少7.64</w:t>
      </w:r>
      <w:r>
        <w:rPr>
          <w:rFonts w:hint="eastAsia" w:ascii="仿宋_GB2312" w:hAnsi="仿宋_GB2312" w:eastAsia="仿宋_GB2312" w:cs="仿宋_GB2312"/>
          <w:sz w:val="32"/>
          <w:szCs w:val="32"/>
          <w:highlight w:val="none"/>
        </w:rPr>
        <w:t>万元，降低</w:t>
      </w:r>
      <w:r>
        <w:rPr>
          <w:rFonts w:hint="eastAsia" w:ascii="仿宋_GB2312" w:hAnsi="仿宋_GB2312" w:eastAsia="仿宋_GB2312" w:cs="仿宋_GB2312"/>
          <w:sz w:val="32"/>
          <w:szCs w:val="32"/>
          <w:highlight w:val="none"/>
          <w:lang w:val="en-US" w:eastAsia="zh-CN"/>
        </w:rPr>
        <w:t>17.83</w:t>
      </w:r>
      <w:r>
        <w:rPr>
          <w:rFonts w:hint="eastAsia" w:ascii="仿宋_GB2312" w:hAnsi="仿宋_GB2312" w:eastAsia="仿宋_GB2312" w:cs="仿宋_GB2312"/>
          <w:sz w:val="32"/>
          <w:szCs w:val="32"/>
          <w:highlight w:val="none"/>
        </w:rPr>
        <w:t>%。主要原因是：</w:t>
      </w:r>
      <w:r>
        <w:rPr>
          <w:rFonts w:hint="eastAsia" w:ascii="仿宋_GB2312" w:hAnsi="仿宋_GB2312" w:eastAsia="仿宋_GB2312" w:cs="仿宋_GB2312"/>
          <w:sz w:val="32"/>
          <w:szCs w:val="32"/>
          <w:highlight w:val="none"/>
          <w:lang w:val="en-US" w:eastAsia="zh-CN"/>
        </w:rPr>
        <w:t>劳务费及委托业务费的减少</w:t>
      </w:r>
      <w:r>
        <w:rPr>
          <w:rFonts w:hint="eastAsia" w:ascii="仿宋_GB2312" w:hAnsi="仿宋_GB2312" w:eastAsia="仿宋_GB2312" w:cs="仿宋_GB2312"/>
          <w:sz w:val="32"/>
          <w:szCs w:val="32"/>
          <w:highlight w:val="none"/>
          <w:lang w:val="en-US" w:eastAsia="zh-CN"/>
        </w:rPr>
        <w:t>。</w:t>
      </w:r>
    </w:p>
    <w:p w14:paraId="39684EF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0BC426E8">
      <w:pPr>
        <w:pStyle w:val="14"/>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年度，会议费年初预算0.00万元，支出决算为0.00万元，由于预算数为0，无法计算完成年初预算的百分比。本单位无会议费的预算和支出决算数。</w:t>
      </w:r>
    </w:p>
    <w:p w14:paraId="5473C0F8">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培训费年初预算0.00万元，支出决算为0.00万元，</w:t>
      </w:r>
      <w:r>
        <w:rPr>
          <w:rFonts w:hint="eastAsia" w:ascii="仿宋_GB2312" w:hAnsi="仿宋_GB2312" w:eastAsia="仿宋_GB2312" w:cs="仿宋_GB2312"/>
          <w:sz w:val="32"/>
          <w:szCs w:val="32"/>
        </w:rPr>
        <w:t>由于预算数为0，无法计算完成年初预算的百分比。本单位无培训费的预算和支出决算数</w:t>
      </w:r>
      <w:r>
        <w:rPr>
          <w:rFonts w:hint="eastAsia" w:ascii="仿宋_GB2312" w:hAnsi="仿宋_GB2312" w:eastAsia="仿宋_GB2312" w:cs="仿宋_GB2312"/>
          <w:color w:val="000000"/>
          <w:kern w:val="0"/>
          <w:sz w:val="32"/>
          <w:szCs w:val="32"/>
          <w:lang w:val="en-US" w:eastAsia="zh-CN" w:bidi="ar-SA"/>
        </w:rPr>
        <w:t>。</w:t>
      </w:r>
    </w:p>
    <w:p w14:paraId="39C2EAB5">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highlight w:val="yellow"/>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举办节庆、晚会、论坛、赛事活动年初预算0.00万元，支出决算为0.00万元，</w:t>
      </w:r>
      <w:r>
        <w:rPr>
          <w:rFonts w:hint="eastAsia" w:ascii="仿宋_GB2312" w:hAnsi="仿宋_GB2312" w:eastAsia="仿宋_GB2312" w:cs="仿宋_GB2312"/>
          <w:sz w:val="32"/>
          <w:szCs w:val="32"/>
        </w:rPr>
        <w:t>由于预算数为0，无法计算完成年初预算的百分比，本单位无举办节庆、晚会、论坛、赛事等活动的预算和支出决算数</w:t>
      </w:r>
      <w:r>
        <w:rPr>
          <w:rFonts w:hint="eastAsia" w:ascii="仿宋_GB2312" w:hAnsi="仿宋_GB2312" w:eastAsia="仿宋_GB2312" w:cs="仿宋_GB2312"/>
          <w:color w:val="000000"/>
          <w:kern w:val="0"/>
          <w:sz w:val="32"/>
          <w:szCs w:val="32"/>
          <w:lang w:val="en-US" w:eastAsia="zh-CN" w:bidi="ar-SA"/>
        </w:rPr>
        <w:t>。</w:t>
      </w:r>
    </w:p>
    <w:p w14:paraId="252D0BEE">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4120C9CB">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年度政府采购支出总额253.55万元，其中：政府采购货物支出3</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万元、政府采购服务支出250.55万元。授予中小企业合同金额253.55万元，占政府采购支出总额的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%，其中：授予小微企业合同金额253.55万元，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w:t>
      </w:r>
    </w:p>
    <w:p w14:paraId="246A0DF6">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37C9D953">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辆，其他用车主要是</w:t>
      </w:r>
      <w:r>
        <w:rPr>
          <w:rFonts w:hint="eastAsia" w:ascii="仿宋_GB2312" w:hAnsi="仿宋_GB2312" w:eastAsia="仿宋_GB2312" w:cs="仿宋_GB2312"/>
          <w:color w:val="auto"/>
          <w:sz w:val="32"/>
          <w:szCs w:val="32"/>
          <w:lang w:val="en-US" w:eastAsia="zh-CN"/>
        </w:rPr>
        <w:t>无</w:t>
      </w:r>
      <w:r>
        <w:rPr>
          <w:rFonts w:hint="eastAsia" w:ascii="仿宋_GB2312" w:hAnsi="仿宋_GB2312" w:eastAsia="仿宋_GB2312" w:cs="仿宋_GB2312"/>
          <w:color w:val="auto"/>
          <w:sz w:val="32"/>
          <w:szCs w:val="32"/>
        </w:rPr>
        <w:t>；单位价值100万元以上设备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14:paraId="0A8224AC">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14:paraId="0EB60D67">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14:paraId="3E6B6DCD">
      <w:pPr>
        <w:overflowPunct w:val="0"/>
        <w:spacing w:line="600" w:lineRule="exact"/>
        <w:ind w:firstLine="640" w:firstLineChars="200"/>
        <w:rPr>
          <w:rFonts w:hint="eastAsia" w:ascii="Times New Roman" w:hAnsi="Times New Roman" w:eastAsia="仿宋_GB2312" w:cs="Times New Roman"/>
          <w:kern w:val="0"/>
          <w:sz w:val="32"/>
          <w:szCs w:val="32"/>
          <w:highlight w:val="none"/>
          <w:lang w:eastAsia="zh-CN"/>
        </w:rPr>
      </w:pPr>
      <w:r>
        <w:rPr>
          <w:rFonts w:hint="eastAsia" w:ascii="Times New Roman" w:hAnsi="Times New Roman" w:eastAsia="仿宋_GB2312" w:cs="Times New Roman"/>
          <w:kern w:val="0"/>
          <w:sz w:val="32"/>
          <w:szCs w:val="32"/>
          <w:highlight w:val="none"/>
          <w:lang w:val="en-US" w:eastAsia="zh-CN"/>
        </w:rPr>
        <w:t>1.</w:t>
      </w:r>
      <w:r>
        <w:rPr>
          <w:rFonts w:hint="eastAsia" w:ascii="Times New Roman" w:hAnsi="Times New Roman" w:eastAsia="仿宋_GB2312" w:cs="Times New Roman"/>
          <w:b/>
          <w:bCs/>
          <w:kern w:val="0"/>
          <w:sz w:val="32"/>
          <w:szCs w:val="32"/>
          <w:lang w:val="en-US" w:eastAsia="zh-CN"/>
        </w:rPr>
        <w:t>绩</w:t>
      </w:r>
      <w:r>
        <w:rPr>
          <w:rFonts w:ascii="Times New Roman" w:hAnsi="Times New Roman" w:eastAsia="仿宋_GB2312" w:cs="Times New Roman"/>
          <w:b/>
          <w:bCs/>
          <w:kern w:val="0"/>
          <w:sz w:val="32"/>
          <w:szCs w:val="32"/>
        </w:rPr>
        <w:t>效自评开展情况。</w:t>
      </w:r>
      <w:r>
        <w:rPr>
          <w:rFonts w:ascii="Times New Roman" w:hAnsi="Times New Roman" w:eastAsia="仿宋_GB2312" w:cs="Times New Roman"/>
          <w:kern w:val="0"/>
          <w:sz w:val="32"/>
          <w:szCs w:val="32"/>
        </w:rPr>
        <w:t>组织对2024年度本部门（单位）整体支出开展绩效自评，涉及项目</w:t>
      </w: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kern w:val="0"/>
          <w:sz w:val="32"/>
          <w:szCs w:val="32"/>
        </w:rPr>
        <w:t>个，共涉及资金</w:t>
      </w:r>
      <w:r>
        <w:rPr>
          <w:rFonts w:hint="eastAsia" w:ascii="Times New Roman" w:hAnsi="Times New Roman" w:eastAsia="仿宋_GB2312" w:cs="Times New Roman"/>
          <w:kern w:val="0"/>
          <w:sz w:val="32"/>
          <w:szCs w:val="32"/>
        </w:rPr>
        <w:t>94.35</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94.35</w:t>
      </w:r>
      <w:r>
        <w:rPr>
          <w:rFonts w:ascii="Times New Roman" w:hAnsi="Times New Roman" w:eastAsia="仿宋_GB2312" w:cs="Times New Roman"/>
          <w:kern w:val="0"/>
          <w:sz w:val="32"/>
          <w:szCs w:val="32"/>
        </w:rPr>
        <w:t>万元，占一般公共预算支出总额的</w:t>
      </w:r>
      <w:r>
        <w:rPr>
          <w:rFonts w:hint="eastAsia" w:ascii="Times New Roman" w:hAnsi="Times New Roman" w:eastAsia="仿宋_GB2312" w:cs="Times New Roman"/>
          <w:kern w:val="0"/>
          <w:sz w:val="32"/>
          <w:szCs w:val="32"/>
          <w:lang w:val="en-US" w:eastAsia="zh-CN"/>
        </w:rPr>
        <w:t>23.37</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rPr>
        <w:t>万元，</w:t>
      </w:r>
      <w:r>
        <w:rPr>
          <w:rFonts w:hint="eastAsia" w:ascii="Times New Roman" w:hAnsi="Times New Roman" w:eastAsia="仿宋_GB2312" w:cs="Times New Roman"/>
          <w:kern w:val="0"/>
          <w:sz w:val="32"/>
          <w:szCs w:val="32"/>
        </w:rPr>
        <w:t>由于政府性基金预算项目支出总额为0，故无法计算占政府性基金预算项目支出总额的比重</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rPr>
        <w:t>万元，</w:t>
      </w:r>
      <w:r>
        <w:rPr>
          <w:rFonts w:hint="eastAsia" w:ascii="仿宋_GB2312" w:hAnsi="仿宋_GB2312" w:eastAsia="仿宋_GB2312" w:cs="仿宋_GB2312"/>
          <w:b w:val="0"/>
          <w:bCs w:val="0"/>
          <w:color w:val="000000"/>
          <w:kern w:val="0"/>
          <w:sz w:val="32"/>
          <w:szCs w:val="32"/>
          <w:lang w:val="en-US" w:eastAsia="zh-CN" w:bidi="ar-SA"/>
        </w:rPr>
        <w:t>由于国有资本经营预算项目支出总额为0，故无法计算占国有资本经营预算项目支出总额的比重</w:t>
      </w:r>
      <w:r>
        <w:rPr>
          <w:rFonts w:ascii="Times New Roman" w:hAnsi="Times New Roman" w:eastAsia="仿宋_GB2312" w:cs="Times New Roman"/>
          <w:kern w:val="0"/>
          <w:sz w:val="32"/>
          <w:szCs w:val="32"/>
        </w:rPr>
        <w:t>；</w:t>
      </w:r>
      <w:r>
        <w:rPr>
          <w:rFonts w:ascii="Times New Roman" w:hAnsi="Times New Roman" w:eastAsia="仿宋_GB2312" w:cs="Times New Roman"/>
          <w:kern w:val="0"/>
          <w:sz w:val="32"/>
          <w:szCs w:val="32"/>
          <w:highlight w:val="none"/>
        </w:rPr>
        <w:t>社会保险基金预算项目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个</w:t>
      </w:r>
      <w:r>
        <w:rPr>
          <w:rFonts w:hint="eastAsia" w:ascii="Times New Roman" w:hAnsi="Times New Roman" w:eastAsia="仿宋_GB2312" w:cs="Times New Roman"/>
          <w:kern w:val="0"/>
          <w:sz w:val="32"/>
          <w:szCs w:val="32"/>
          <w:highlight w:val="none"/>
          <w:lang w:val="en-US" w:eastAsia="zh-CN"/>
        </w:rPr>
        <w:t>0.00</w:t>
      </w:r>
      <w:r>
        <w:rPr>
          <w:rFonts w:ascii="Times New Roman" w:hAnsi="Times New Roman" w:eastAsia="仿宋_GB2312" w:cs="Times New Roman"/>
          <w:kern w:val="0"/>
          <w:sz w:val="32"/>
          <w:szCs w:val="32"/>
          <w:highlight w:val="none"/>
        </w:rPr>
        <w:t>万元，</w:t>
      </w:r>
      <w:r>
        <w:rPr>
          <w:rFonts w:hint="eastAsia" w:ascii="仿宋_GB2312" w:hAnsi="仿宋_GB2312" w:eastAsia="仿宋_GB2312" w:cs="仿宋_GB2312"/>
          <w:b w:val="0"/>
          <w:bCs w:val="0"/>
          <w:color w:val="000000"/>
          <w:kern w:val="0"/>
          <w:sz w:val="32"/>
          <w:szCs w:val="32"/>
          <w:lang w:val="en-US" w:eastAsia="zh-CN" w:bidi="ar-SA"/>
        </w:rPr>
        <w:t>由于</w:t>
      </w:r>
      <w:r>
        <w:rPr>
          <w:rFonts w:ascii="Times New Roman" w:hAnsi="Times New Roman" w:eastAsia="仿宋_GB2312" w:cs="Times New Roman"/>
          <w:kern w:val="0"/>
          <w:sz w:val="32"/>
          <w:szCs w:val="32"/>
          <w:highlight w:val="none"/>
        </w:rPr>
        <w:t>社会保险基金预算</w:t>
      </w:r>
      <w:r>
        <w:rPr>
          <w:rFonts w:hint="eastAsia" w:ascii="仿宋_GB2312" w:hAnsi="仿宋_GB2312" w:eastAsia="仿宋_GB2312" w:cs="仿宋_GB2312"/>
          <w:b w:val="0"/>
          <w:bCs w:val="0"/>
          <w:color w:val="000000"/>
          <w:kern w:val="0"/>
          <w:sz w:val="32"/>
          <w:szCs w:val="32"/>
          <w:lang w:val="en-US" w:eastAsia="zh-CN" w:bidi="ar-SA"/>
        </w:rPr>
        <w:t>项目支出总额为0，故无法计算占</w:t>
      </w:r>
      <w:r>
        <w:rPr>
          <w:rFonts w:ascii="Times New Roman" w:hAnsi="Times New Roman" w:eastAsia="仿宋_GB2312" w:cs="Times New Roman"/>
          <w:kern w:val="0"/>
          <w:sz w:val="32"/>
          <w:szCs w:val="32"/>
          <w:highlight w:val="none"/>
        </w:rPr>
        <w:t>社会保险基金</w:t>
      </w:r>
      <w:r>
        <w:rPr>
          <w:rFonts w:hint="eastAsia" w:ascii="仿宋_GB2312" w:hAnsi="仿宋_GB2312" w:eastAsia="仿宋_GB2312" w:cs="仿宋_GB2312"/>
          <w:b w:val="0"/>
          <w:bCs w:val="0"/>
          <w:color w:val="000000"/>
          <w:kern w:val="0"/>
          <w:sz w:val="32"/>
          <w:szCs w:val="32"/>
          <w:lang w:val="en-US" w:eastAsia="zh-CN" w:bidi="ar-SA"/>
        </w:rPr>
        <w:t>预算项目支出总额的比重</w:t>
      </w:r>
      <w:r>
        <w:rPr>
          <w:rFonts w:ascii="Times New Roman" w:hAnsi="Times New Roman" w:eastAsia="仿宋_GB2312" w:cs="Times New Roman"/>
          <w:kern w:val="0"/>
          <w:sz w:val="32"/>
          <w:szCs w:val="32"/>
          <w:highlight w:val="none"/>
        </w:rPr>
        <w:t>。</w:t>
      </w:r>
    </w:p>
    <w:p w14:paraId="7C65853C">
      <w:pPr>
        <w:overflowPunct w:val="0"/>
        <w:spacing w:line="600" w:lineRule="exact"/>
        <w:ind w:firstLine="640" w:firstLineChars="200"/>
        <w:rPr>
          <w:rFonts w:hint="eastAsia" w:ascii="Times New Roman" w:hAnsi="Times New Roman" w:eastAsia="仿宋_GB2312" w:cs="Times New Roman"/>
          <w:color w:val="FF0000"/>
          <w:kern w:val="0"/>
          <w:sz w:val="32"/>
          <w:szCs w:val="32"/>
          <w:lang w:eastAsia="zh-CN"/>
        </w:rPr>
      </w:pPr>
      <w:r>
        <w:rPr>
          <w:rFonts w:hint="eastAsia" w:ascii="Times New Roman" w:hAnsi="Times New Roman" w:eastAsia="仿宋_GB2312" w:cs="Times New Roman"/>
          <w:kern w:val="0"/>
          <w:sz w:val="32"/>
          <w:szCs w:val="32"/>
          <w:highlight w:val="none"/>
          <w:lang w:val="en-US" w:eastAsia="zh-CN"/>
        </w:rPr>
        <w:t>2.</w:t>
      </w:r>
      <w:r>
        <w:rPr>
          <w:rFonts w:ascii="Times New Roman" w:hAnsi="Times New Roman" w:eastAsia="仿宋_GB2312" w:cs="Times New Roman"/>
          <w:b/>
          <w:bCs/>
          <w:kern w:val="0"/>
          <w:sz w:val="32"/>
          <w:szCs w:val="32"/>
        </w:rPr>
        <w:t>部门评价开展情况。</w:t>
      </w:r>
      <w:r>
        <w:rPr>
          <w:rFonts w:hint="eastAsia" w:ascii="仿宋_GB2312" w:hAnsi="仿宋_GB2312" w:eastAsia="仿宋_GB2312" w:cs="仿宋_GB2312"/>
          <w:b w:val="0"/>
          <w:bCs w:val="0"/>
          <w:color w:val="000000"/>
          <w:kern w:val="0"/>
          <w:sz w:val="32"/>
          <w:szCs w:val="32"/>
          <w:lang w:val="en-US" w:eastAsia="zh-CN" w:bidi="ar-SA"/>
        </w:rPr>
        <w:t>本单位为二级预算单位，部门评价开展情况可详见上级部门决算公开说明。</w:t>
      </w:r>
    </w:p>
    <w:p w14:paraId="004D01B3">
      <w:pPr>
        <w:overflowPunct w:val="0"/>
        <w:spacing w:line="600" w:lineRule="exact"/>
        <w:ind w:firstLine="640" w:firstLineChars="200"/>
        <w:rPr>
          <w:rFonts w:ascii="Times New Roman" w:hAnsi="Times New Roman" w:eastAsia="楷体" w:cs="Times New Roman"/>
          <w:b/>
          <w:bCs/>
          <w:sz w:val="32"/>
          <w:szCs w:val="32"/>
        </w:rPr>
      </w:pP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b/>
          <w:bCs/>
          <w:kern w:val="0"/>
          <w:sz w:val="32"/>
          <w:szCs w:val="32"/>
        </w:rPr>
        <w:t>事前绩效评估开展情况。</w:t>
      </w:r>
      <w:r>
        <w:rPr>
          <w:rFonts w:hint="eastAsia" w:ascii="仿宋_GB2312" w:hAnsi="仿宋_GB2312" w:eastAsia="仿宋_GB2312" w:cs="仿宋_GB2312"/>
          <w:b w:val="0"/>
          <w:bCs w:val="0"/>
          <w:color w:val="000000"/>
          <w:kern w:val="0"/>
          <w:sz w:val="32"/>
          <w:szCs w:val="32"/>
          <w:lang w:val="en-US" w:eastAsia="zh-CN" w:bidi="ar-SA"/>
        </w:rPr>
        <w:t>本单位为二级预算单位，事前绩效评估开展情况可详见上级部门决算公开说明。</w:t>
      </w:r>
    </w:p>
    <w:p w14:paraId="6FC8205B">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14:paraId="21F9413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ascii="Times New Roman" w:hAnsi="Times New Roman" w:eastAsia="仿宋_GB2312" w:cs="Times New Roman"/>
          <w:sz w:val="32"/>
          <w:szCs w:val="32"/>
        </w:rPr>
      </w:pP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b/>
          <w:bCs/>
          <w:kern w:val="0"/>
          <w:sz w:val="32"/>
          <w:szCs w:val="32"/>
        </w:rPr>
        <w:t>绩效自评结果。</w:t>
      </w:r>
      <w:r>
        <w:rPr>
          <w:rFonts w:ascii="Times New Roman" w:hAnsi="Times New Roman" w:eastAsia="仿宋_GB2312" w:cs="Times New Roman"/>
          <w:kern w:val="0"/>
          <w:sz w:val="32"/>
          <w:szCs w:val="32"/>
        </w:rPr>
        <w:t>2024年度本部门（单位）整体支出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rPr>
        <w:t>633.83</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rPr>
        <w:t>566.28</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rPr>
        <w:t>89.34</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kern w:val="0"/>
          <w:sz w:val="32"/>
          <w:szCs w:val="32"/>
        </w:rPr>
        <w:t>95.93</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w:t>
      </w:r>
      <w:r>
        <w:rPr>
          <w:rFonts w:ascii="Times New Roman" w:hAnsi="Times New Roman" w:eastAsia="仿宋_GB2312" w:cs="Times New Roman"/>
          <w:sz w:val="32"/>
          <w:szCs w:val="32"/>
        </w:rPr>
        <w:t>”。绩效目标完成情况：</w:t>
      </w:r>
      <w:r>
        <w:rPr>
          <w:rFonts w:hint="eastAsia" w:ascii="Times New Roman" w:hAnsi="Times New Roman" w:eastAsia="仿宋_GB2312" w:cs="Times New Roman"/>
          <w:sz w:val="32"/>
          <w:szCs w:val="32"/>
        </w:rPr>
        <w:t>一</w:t>
      </w:r>
      <w:r>
        <w:rPr>
          <w:rFonts w:hint="eastAsia" w:ascii="Times New Roman" w:hAnsi="Times New Roman" w:eastAsia="仿宋_GB2312" w:cs="Times New Roman"/>
          <w:sz w:val="32"/>
          <w:szCs w:val="32"/>
          <w:lang w:val="en-US" w:eastAsia="zh-CN"/>
        </w:rPr>
        <w:t>是</w:t>
      </w:r>
      <w:r>
        <w:rPr>
          <w:rFonts w:hint="eastAsia" w:ascii="Times New Roman" w:hAnsi="Times New Roman" w:eastAsia="仿宋_GB2312" w:cs="Times New Roman"/>
          <w:sz w:val="32"/>
          <w:szCs w:val="32"/>
        </w:rPr>
        <w:t>环境质量状况稳定向好。2024年我区空气质量优良率为82.7%，下降3.3%；我区南湖断面、金凤桥水库断面水质达标，与临湘共同考核的漆事大桥断面4——6月总磷超标。我区土壤环境整体安全可控，2024年完成湖南豪杰油品研发有限公司1家优先监管地块污染风险管控</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二</w:t>
      </w:r>
      <w:r>
        <w:rPr>
          <w:rFonts w:hint="eastAsia" w:ascii="Times New Roman" w:hAnsi="Times New Roman" w:eastAsia="仿宋_GB2312" w:cs="Times New Roman"/>
          <w:sz w:val="32"/>
          <w:szCs w:val="32"/>
          <w:lang w:val="en-US" w:eastAsia="zh-CN"/>
        </w:rPr>
        <w:t>是</w:t>
      </w:r>
      <w:r>
        <w:rPr>
          <w:rFonts w:hint="eastAsia" w:ascii="Times New Roman" w:hAnsi="Times New Roman" w:eastAsia="仿宋_GB2312" w:cs="Times New Roman"/>
          <w:sz w:val="32"/>
          <w:szCs w:val="32"/>
        </w:rPr>
        <w:t>牢记“守护好一江碧水”的殷殷嘱托，今年以来，全区共召开生态环境会议及调研活动共26次，区工委、管委主要领导高位推动、定期调度、挂帅督导，推动“党政同责、一岗双责”和“三管三必须”责任全面落实、不断强化</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三</w:t>
      </w:r>
      <w:r>
        <w:rPr>
          <w:rFonts w:hint="eastAsia" w:ascii="Times New Roman" w:hAnsi="Times New Roman" w:eastAsia="仿宋_GB2312" w:cs="Times New Roman"/>
          <w:sz w:val="32"/>
          <w:szCs w:val="32"/>
          <w:lang w:val="en-US" w:eastAsia="zh-CN"/>
        </w:rPr>
        <w:t>是</w:t>
      </w:r>
      <w:r>
        <w:rPr>
          <w:rFonts w:hint="eastAsia" w:ascii="Times New Roman" w:hAnsi="Times New Roman" w:eastAsia="仿宋_GB2312" w:cs="Times New Roman"/>
          <w:sz w:val="32"/>
          <w:szCs w:val="32"/>
        </w:rPr>
        <w:t>2024年共开展“双随机、一公开”抽查企业40家次，检查记录均在平台上传并公示。通过“湖南省移动执法一体化系统”开展执法检查350多家次，执法检查记录均上传“一体化系统”；立案查处企业15家，罚款金额30.1万元。常规信访办件总数137件，较往年下降明显，群众环境满意度明显提升。</w:t>
      </w:r>
    </w:p>
    <w:p w14:paraId="5CDF5D83">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left"/>
        <w:textAlignment w:val="auto"/>
        <w:rPr>
          <w:rFonts w:hint="default" w:ascii="仿宋_GB2312" w:hAnsi="仿宋_GB2312" w:eastAsia="仿宋_GB2312" w:cs="仿宋_GB2312"/>
          <w:color w:val="000000"/>
          <w:spacing w:val="0"/>
          <w:kern w:val="0"/>
          <w:position w:val="0"/>
          <w:sz w:val="32"/>
          <w:szCs w:val="32"/>
          <w:lang w:val="en-US" w:eastAsia="zh-CN"/>
        </w:rPr>
      </w:pPr>
      <w:r>
        <w:rPr>
          <w:rFonts w:ascii="Times New Roman" w:hAnsi="Times New Roman" w:eastAsia="仿宋_GB2312" w:cs="Times New Roman"/>
          <w:sz w:val="32"/>
          <w:szCs w:val="32"/>
        </w:rPr>
        <w:t>发现的主要问题及原因：</w:t>
      </w:r>
      <w:r>
        <w:rPr>
          <w:rFonts w:hint="eastAsia" w:ascii="Times New Roman" w:hAnsi="Times New Roman" w:eastAsia="仿宋_GB2312" w:cs="Times New Roman"/>
          <w:sz w:val="32"/>
          <w:szCs w:val="32"/>
          <w:lang w:val="en-US" w:eastAsia="zh-CN"/>
        </w:rPr>
        <w:t>一是</w:t>
      </w:r>
      <w:r>
        <w:rPr>
          <w:rFonts w:hint="default" w:ascii="Times New Roman" w:hAnsi="Times New Roman" w:eastAsia="仿宋_GB2312" w:cs="Times New Roman"/>
          <w:sz w:val="32"/>
          <w:szCs w:val="32"/>
          <w:highlight w:val="none"/>
        </w:rPr>
        <w:t>职能职责未厘清</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二是空气质量仍然存在短板。</w:t>
      </w:r>
      <w:r>
        <w:rPr>
          <w:rFonts w:hint="default" w:ascii="仿宋_GB2312" w:hAnsi="仿宋_GB2312" w:eastAsia="仿宋_GB2312" w:cs="仿宋_GB2312"/>
          <w:color w:val="000000"/>
          <w:spacing w:val="0"/>
          <w:kern w:val="0"/>
          <w:position w:val="0"/>
          <w:sz w:val="32"/>
          <w:szCs w:val="32"/>
          <w:lang w:val="en-US" w:eastAsia="zh-CN"/>
        </w:rPr>
        <w:t>问题产生的主要原因</w:t>
      </w:r>
      <w:r>
        <w:rPr>
          <w:rFonts w:hint="eastAsia" w:ascii="仿宋_GB2312" w:hAnsi="仿宋_GB2312" w:eastAsia="仿宋_GB2312" w:cs="仿宋_GB2312"/>
          <w:color w:val="000000"/>
          <w:spacing w:val="0"/>
          <w:kern w:val="0"/>
          <w:position w:val="0"/>
          <w:sz w:val="32"/>
          <w:szCs w:val="32"/>
          <w:lang w:val="en-US" w:eastAsia="zh-CN"/>
        </w:rPr>
        <w:t>：</w:t>
      </w:r>
      <w:r>
        <w:rPr>
          <w:rFonts w:hint="default" w:ascii="Times New Roman" w:hAnsi="Times New Roman" w:eastAsia="仿宋_GB2312" w:cs="Times New Roman"/>
          <w:sz w:val="32"/>
          <w:szCs w:val="32"/>
          <w:highlight w:val="none"/>
        </w:rPr>
        <w:t>受客观因素影响，搬迁后的站点仍属气旋低洼地，站点距地面仅14.9米高，站点近地面形成了静稳高湿的环境，污染物的清除和扩散条件仍然受限；且我区位于中心城区，道路密集，城区主干道、国道、省道、高速公路在我区交汇，车流量很大，汽车尾气、道路扬尘影响较大，而站点紧邻岳阳大道王家河大桥西段，上下班高峰期对数据影响很大</w:t>
      </w:r>
      <w:r>
        <w:rPr>
          <w:rFonts w:hint="default" w:ascii="仿宋_GB2312" w:hAnsi="仿宋_GB2312" w:eastAsia="仿宋_GB2312" w:cs="仿宋_GB2312"/>
          <w:color w:val="000000"/>
          <w:spacing w:val="0"/>
          <w:kern w:val="0"/>
          <w:position w:val="0"/>
          <w:sz w:val="32"/>
          <w:szCs w:val="32"/>
          <w:lang w:val="en-US" w:eastAsia="zh-CN"/>
        </w:rPr>
        <w:t>。</w:t>
      </w:r>
    </w:p>
    <w:p w14:paraId="3F32372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Times New Roman" w:hAnsi="Times New Roman" w:eastAsia="仿宋_GB2312" w:cs="Times New Roman"/>
          <w:kern w:val="0"/>
          <w:sz w:val="32"/>
          <w:szCs w:val="32"/>
          <w:lang w:eastAsia="zh-CN"/>
        </w:rPr>
      </w:pPr>
      <w:r>
        <w:rPr>
          <w:rFonts w:ascii="Times New Roman" w:hAnsi="Times New Roman" w:eastAsia="仿宋_GB2312" w:cs="Times New Roman"/>
          <w:sz w:val="32"/>
          <w:szCs w:val="32"/>
        </w:rPr>
        <w:t>下一步改进措施：一是</w:t>
      </w:r>
      <w:r>
        <w:rPr>
          <w:rFonts w:hint="default" w:ascii="仿宋_GB2312" w:hAnsi="仿宋_GB2312" w:eastAsia="仿宋_GB2312" w:cs="仿宋_GB2312"/>
          <w:color w:val="000000"/>
          <w:spacing w:val="0"/>
          <w:position w:val="0"/>
          <w:sz w:val="32"/>
          <w:szCs w:val="32"/>
          <w:lang w:val="en-US" w:eastAsia="zh-CN"/>
        </w:rPr>
        <w:t>加强财务管理，严格财务审批</w:t>
      </w:r>
      <w:r>
        <w:rPr>
          <w:rFonts w:ascii="Times New Roman" w:hAnsi="Times New Roman" w:eastAsia="仿宋_GB2312" w:cs="Times New Roman"/>
          <w:sz w:val="32"/>
          <w:szCs w:val="32"/>
        </w:rPr>
        <w:t>；二是</w:t>
      </w:r>
      <w:r>
        <w:rPr>
          <w:rFonts w:hint="default" w:ascii="仿宋_GB2312" w:hAnsi="仿宋_GB2312" w:eastAsia="仿宋_GB2312" w:cs="仿宋_GB2312"/>
          <w:color w:val="000000"/>
          <w:spacing w:val="0"/>
          <w:position w:val="0"/>
          <w:sz w:val="32"/>
          <w:szCs w:val="32"/>
          <w:lang w:val="en-US" w:eastAsia="zh-CN"/>
        </w:rPr>
        <w:t>加强培训</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三是按期按质按量完成第三轮中央、第二轮省环保督察交办问题整改，针对空气质量、水环境治理等短板弱项问题，逐个击破，迎头赶上。积极配合完成经开区园区机制体制改革和生态环境系统执法机构改革，结合工作实际，做好工作对接，开展好生态环境保护工作。坚持用“党建红”引领“生态绿”，开展好巡视巡察反馈问题整改，始终将抓党的建设放在首位，不断加强党员干部作风建设，提升队伍综合能力素质</w:t>
      </w:r>
      <w:r>
        <w:rPr>
          <w:rFonts w:ascii="Times New Roman" w:hAnsi="Times New Roman" w:eastAsia="仿宋_GB2312" w:cs="Times New Roman"/>
          <w:sz w:val="32"/>
          <w:szCs w:val="32"/>
        </w:rPr>
        <w:t>。</w:t>
      </w:r>
    </w:p>
    <w:p w14:paraId="1F555EDA">
      <w:pPr>
        <w:overflowPunct w:val="0"/>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b/>
          <w:bCs/>
          <w:kern w:val="0"/>
          <w:sz w:val="32"/>
          <w:szCs w:val="32"/>
        </w:rPr>
        <w:t>部门评价结果。</w:t>
      </w:r>
      <w:r>
        <w:rPr>
          <w:rFonts w:hint="eastAsia" w:ascii="Times New Roman" w:hAnsi="Times New Roman" w:eastAsia="仿宋_GB2312" w:cs="Times New Roman"/>
          <w:kern w:val="0"/>
          <w:sz w:val="32"/>
          <w:szCs w:val="32"/>
          <w:highlight w:val="none"/>
          <w:lang w:val="en-US" w:eastAsia="zh-CN" w:bidi="ar-SA"/>
        </w:rPr>
        <w:t>本单位为二级预算单位，部门评价结果可详见上级部门决算公开说明</w:t>
      </w:r>
      <w:r>
        <w:rPr>
          <w:rFonts w:ascii="Times New Roman" w:hAnsi="Times New Roman" w:eastAsia="仿宋_GB2312" w:cs="Times New Roman"/>
          <w:sz w:val="32"/>
          <w:szCs w:val="32"/>
        </w:rPr>
        <w:t>。</w:t>
      </w:r>
    </w:p>
    <w:p w14:paraId="5DC4775D">
      <w:pPr>
        <w:overflowPunct w:val="0"/>
        <w:spacing w:line="600" w:lineRule="exact"/>
        <w:ind w:firstLine="640" w:firstLineChars="200"/>
        <w:rPr>
          <w:rFonts w:hint="eastAsia" w:ascii="Times New Roman" w:hAnsi="Times New Roman" w:eastAsia="仿宋_GB2312"/>
          <w:color w:val="FF0000"/>
          <w:sz w:val="32"/>
          <w:szCs w:val="32"/>
        </w:rPr>
      </w:pPr>
      <w:r>
        <w:rPr>
          <w:rFonts w:hint="eastAsia" w:ascii="Times New Roman" w:hAnsi="Times New Roman" w:eastAsia="仿宋_GB2312" w:cs="Times New Roman"/>
          <w:kern w:val="0"/>
          <w:sz w:val="32"/>
          <w:szCs w:val="32"/>
          <w:lang w:val="en-US" w:eastAsia="zh-CN"/>
        </w:rPr>
        <w:t>3.</w:t>
      </w:r>
      <w:r>
        <w:rPr>
          <w:rFonts w:hint="eastAsia" w:ascii="Times New Roman" w:hAnsi="Times New Roman" w:eastAsia="仿宋_GB2312" w:cs="Times New Roman"/>
          <w:b/>
          <w:bCs/>
          <w:kern w:val="0"/>
          <w:sz w:val="32"/>
          <w:szCs w:val="32"/>
          <w:highlight w:val="none"/>
          <w:lang w:val="en-US" w:eastAsia="zh-CN"/>
        </w:rPr>
        <w:t>事</w:t>
      </w:r>
      <w:r>
        <w:rPr>
          <w:rFonts w:ascii="Times New Roman" w:hAnsi="Times New Roman" w:eastAsia="仿宋_GB2312" w:cs="Times New Roman"/>
          <w:b/>
          <w:bCs/>
          <w:kern w:val="0"/>
          <w:sz w:val="32"/>
          <w:szCs w:val="32"/>
          <w:highlight w:val="none"/>
        </w:rPr>
        <w:t>前绩效评估结果。</w:t>
      </w:r>
      <w:r>
        <w:rPr>
          <w:rFonts w:hint="eastAsia" w:ascii="Times New Roman" w:hAnsi="Times New Roman" w:eastAsia="仿宋_GB2312" w:cs="Times New Roman"/>
          <w:kern w:val="0"/>
          <w:sz w:val="32"/>
          <w:szCs w:val="32"/>
          <w:highlight w:val="none"/>
          <w:lang w:val="en-US" w:eastAsia="zh-CN" w:bidi="ar-SA"/>
        </w:rPr>
        <w:t>本单位为二级预算单位，事前绩效评估结果可详见上级部门决算公开说明。</w:t>
      </w:r>
    </w:p>
    <w:p w14:paraId="2C89E516">
      <w:pPr>
        <w:numPr>
          <w:ilvl w:val="0"/>
          <w:numId w:val="2"/>
        </w:numPr>
        <w:autoSpaceDE w:val="0"/>
        <w:autoSpaceDN w:val="0"/>
        <w:adjustRightInd w:val="0"/>
        <w:ind w:firstLine="640" w:firstLineChars="200"/>
        <w:jc w:val="left"/>
        <w:rPr>
          <w:rFonts w:ascii="Times New Roman" w:hAnsi="Times New Roman" w:eastAsia="楷体_GB2312" w:cs="Times New Roman"/>
          <w:b/>
          <w:bCs/>
          <w:color w:val="auto"/>
          <w:kern w:val="2"/>
          <w:sz w:val="32"/>
          <w:szCs w:val="32"/>
          <w:highlight w:val="none"/>
        </w:rPr>
      </w:pPr>
      <w:r>
        <w:rPr>
          <w:rFonts w:ascii="Times New Roman" w:hAnsi="Times New Roman" w:eastAsia="楷体_GB2312" w:cs="Times New Roman"/>
          <w:b/>
          <w:bCs/>
          <w:color w:val="auto"/>
          <w:kern w:val="2"/>
          <w:sz w:val="32"/>
          <w:szCs w:val="32"/>
          <w:highlight w:val="none"/>
        </w:rPr>
        <w:t>评价结果应用情况</w:t>
      </w:r>
    </w:p>
    <w:p w14:paraId="5E8AD5A5">
      <w:pPr>
        <w:autoSpaceDE w:val="0"/>
        <w:autoSpaceDN w:val="0"/>
        <w:adjustRightInd w:val="0"/>
        <w:ind w:firstLine="620" w:firstLineChars="200"/>
        <w:jc w:val="left"/>
        <w:rPr>
          <w:rFonts w:hint="eastAsia" w:ascii="仿宋_GB2312" w:hAnsi="仿宋_GB2312" w:eastAsia="仿宋_GB2312" w:cs="仿宋_GB2312"/>
          <w:b w:val="0"/>
          <w:bCs w:val="0"/>
          <w:sz w:val="32"/>
          <w:szCs w:val="32"/>
          <w:lang w:val="en-US" w:eastAsia="zh-CN"/>
        </w:rPr>
      </w:pPr>
      <w:r>
        <w:rPr>
          <w:rFonts w:hint="default" w:ascii="仿宋" w:hAnsi="仿宋" w:eastAsia="仿宋" w:cs="仿宋"/>
          <w:kern w:val="0"/>
          <w:sz w:val="31"/>
          <w:szCs w:val="31"/>
          <w:lang w:eastAsia="en-US"/>
        </w:rPr>
        <w:t>本单位绩效自评结果为</w:t>
      </w:r>
      <w:r>
        <w:rPr>
          <w:rFonts w:hint="eastAsia" w:ascii="仿宋" w:hAnsi="仿宋" w:eastAsia="仿宋" w:cs="仿宋"/>
          <w:kern w:val="0"/>
          <w:sz w:val="31"/>
          <w:szCs w:val="31"/>
          <w:lang w:eastAsia="zh-CN"/>
        </w:rPr>
        <w:t>优秀</w:t>
      </w:r>
      <w:r>
        <w:rPr>
          <w:rFonts w:hint="default" w:ascii="仿宋" w:hAnsi="仿宋" w:eastAsia="仿宋" w:cs="仿宋"/>
          <w:kern w:val="0"/>
          <w:sz w:val="31"/>
          <w:szCs w:val="31"/>
          <w:lang w:eastAsia="en-US"/>
        </w:rPr>
        <w:t>等级。下一步将根据财政检查绩效自评发现的问题等进行改善，并按政务公开的相关规定，</w:t>
      </w:r>
      <w:r>
        <w:rPr>
          <w:rFonts w:hint="eastAsia" w:ascii="仿宋_GB2312" w:hAnsi="仿宋_GB2312" w:eastAsia="仿宋_GB2312" w:cs="仿宋_GB2312"/>
          <w:b w:val="0"/>
          <w:bCs w:val="0"/>
          <w:sz w:val="32"/>
          <w:szCs w:val="32"/>
          <w:lang w:val="en-US" w:eastAsia="zh-CN"/>
        </w:rPr>
        <w:t>已在市政府部门财政预决算公开平台上向社会公开，详见附件。</w:t>
      </w:r>
    </w:p>
    <w:p w14:paraId="62BEA247">
      <w:pPr>
        <w:pStyle w:val="2"/>
        <w:rPr>
          <w:rFonts w:hint="eastAsia"/>
          <w:lang w:val="en-US" w:eastAsia="zh-CN"/>
        </w:rPr>
      </w:pPr>
    </w:p>
    <w:p w14:paraId="3971199E">
      <w:pPr>
        <w:numPr>
          <w:ilvl w:val="0"/>
          <w:numId w:val="0"/>
        </w:numPr>
        <w:autoSpaceDE w:val="0"/>
        <w:autoSpaceDN w:val="0"/>
        <w:adjustRightInd w:val="0"/>
        <w:jc w:val="left"/>
        <w:rPr>
          <w:sz w:val="72"/>
          <w:szCs w:val="72"/>
        </w:rPr>
      </w:pPr>
    </w:p>
    <w:p w14:paraId="147E06D0">
      <w:pPr>
        <w:pStyle w:val="14"/>
        <w:jc w:val="both"/>
        <w:rPr>
          <w:rFonts w:hint="eastAsia" w:ascii="方正小标宋_GBK" w:hAnsi="方正小标宋_GBK" w:eastAsia="方正小标宋_GBK" w:cs="方正小标宋_GBK"/>
          <w:sz w:val="24"/>
          <w:szCs w:val="24"/>
        </w:rPr>
      </w:pPr>
    </w:p>
    <w:p w14:paraId="5515AA26">
      <w:pPr>
        <w:pStyle w:val="14"/>
        <w:jc w:val="both"/>
        <w:rPr>
          <w:rFonts w:hint="eastAsia" w:ascii="方正小标宋_GBK" w:hAnsi="方正小标宋_GBK" w:eastAsia="方正小标宋_GBK" w:cs="方正小标宋_GBK"/>
          <w:sz w:val="24"/>
          <w:szCs w:val="24"/>
        </w:rPr>
      </w:pPr>
    </w:p>
    <w:p w14:paraId="2D4A1991">
      <w:pPr>
        <w:pStyle w:val="14"/>
        <w:jc w:val="both"/>
        <w:rPr>
          <w:rFonts w:hint="eastAsia" w:ascii="方正小标宋_GBK" w:hAnsi="方正小标宋_GBK" w:eastAsia="方正小标宋_GBK" w:cs="方正小标宋_GBK"/>
          <w:sz w:val="24"/>
          <w:szCs w:val="24"/>
        </w:rPr>
      </w:pPr>
    </w:p>
    <w:p w14:paraId="61121CB9">
      <w:pPr>
        <w:pStyle w:val="14"/>
        <w:jc w:val="both"/>
        <w:rPr>
          <w:rFonts w:hint="eastAsia" w:ascii="方正小标宋_GBK" w:hAnsi="方正小标宋_GBK" w:eastAsia="方正小标宋_GBK" w:cs="方正小标宋_GBK"/>
          <w:sz w:val="24"/>
          <w:szCs w:val="24"/>
        </w:rPr>
      </w:pPr>
    </w:p>
    <w:p w14:paraId="42B655A1">
      <w:pPr>
        <w:pStyle w:val="14"/>
        <w:jc w:val="both"/>
        <w:rPr>
          <w:rFonts w:hint="eastAsia" w:ascii="方正小标宋_GBK" w:hAnsi="方正小标宋_GBK" w:eastAsia="方正小标宋_GBK" w:cs="方正小标宋_GBK"/>
          <w:sz w:val="24"/>
          <w:szCs w:val="24"/>
        </w:rPr>
      </w:pPr>
    </w:p>
    <w:p w14:paraId="5C7B53F4">
      <w:pPr>
        <w:pStyle w:val="14"/>
        <w:jc w:val="both"/>
        <w:rPr>
          <w:rFonts w:hint="eastAsia" w:ascii="方正小标宋_GBK" w:hAnsi="方正小标宋_GBK" w:eastAsia="方正小标宋_GBK" w:cs="方正小标宋_GBK"/>
          <w:sz w:val="24"/>
          <w:szCs w:val="24"/>
        </w:rPr>
      </w:pPr>
    </w:p>
    <w:p w14:paraId="155F0A2A">
      <w:pPr>
        <w:pStyle w:val="14"/>
        <w:jc w:val="both"/>
        <w:rPr>
          <w:rFonts w:hint="eastAsia" w:ascii="方正小标宋_GBK" w:hAnsi="方正小标宋_GBK" w:eastAsia="方正小标宋_GBK" w:cs="方正小标宋_GBK"/>
          <w:sz w:val="24"/>
          <w:szCs w:val="24"/>
        </w:rPr>
      </w:pPr>
    </w:p>
    <w:p w14:paraId="7E5E1E77">
      <w:pPr>
        <w:pStyle w:val="14"/>
        <w:jc w:val="both"/>
        <w:rPr>
          <w:rFonts w:hint="eastAsia" w:ascii="方正小标宋_GBK" w:hAnsi="方正小标宋_GBK" w:eastAsia="方正小标宋_GBK" w:cs="方正小标宋_GBK"/>
          <w:sz w:val="24"/>
          <w:szCs w:val="24"/>
        </w:rPr>
      </w:pPr>
    </w:p>
    <w:p w14:paraId="0EAD01F6">
      <w:pPr>
        <w:pStyle w:val="14"/>
        <w:jc w:val="both"/>
        <w:rPr>
          <w:rFonts w:hint="eastAsia" w:ascii="方正小标宋_GBK" w:hAnsi="方正小标宋_GBK" w:eastAsia="方正小标宋_GBK" w:cs="方正小标宋_GBK"/>
          <w:sz w:val="24"/>
          <w:szCs w:val="24"/>
        </w:rPr>
      </w:pPr>
    </w:p>
    <w:p w14:paraId="62AB7D4C">
      <w:pPr>
        <w:pStyle w:val="14"/>
        <w:jc w:val="both"/>
        <w:rPr>
          <w:rFonts w:hint="eastAsia" w:ascii="方正小标宋_GBK" w:hAnsi="方正小标宋_GBK" w:eastAsia="方正小标宋_GBK" w:cs="方正小标宋_GBK"/>
          <w:sz w:val="24"/>
          <w:szCs w:val="24"/>
        </w:rPr>
      </w:pPr>
    </w:p>
    <w:p w14:paraId="34B3CC53">
      <w:pPr>
        <w:pStyle w:val="14"/>
        <w:jc w:val="both"/>
        <w:rPr>
          <w:rFonts w:hint="eastAsia" w:ascii="方正小标宋_GBK" w:hAnsi="方正小标宋_GBK" w:eastAsia="方正小标宋_GBK" w:cs="方正小标宋_GBK"/>
          <w:sz w:val="24"/>
          <w:szCs w:val="24"/>
        </w:rPr>
      </w:pPr>
    </w:p>
    <w:p w14:paraId="23112646">
      <w:pPr>
        <w:pStyle w:val="14"/>
        <w:jc w:val="both"/>
        <w:rPr>
          <w:rFonts w:hint="eastAsia" w:ascii="方正小标宋_GBK" w:hAnsi="方正小标宋_GBK" w:eastAsia="方正小标宋_GBK" w:cs="方正小标宋_GBK"/>
          <w:sz w:val="24"/>
          <w:szCs w:val="24"/>
        </w:rPr>
      </w:pPr>
    </w:p>
    <w:p w14:paraId="2E5FA564">
      <w:pPr>
        <w:pStyle w:val="14"/>
        <w:jc w:val="both"/>
        <w:rPr>
          <w:rFonts w:hint="eastAsia" w:ascii="方正小标宋_GBK" w:hAnsi="方正小标宋_GBK" w:eastAsia="方正小标宋_GBK" w:cs="方正小标宋_GBK"/>
          <w:sz w:val="24"/>
          <w:szCs w:val="24"/>
        </w:rPr>
      </w:pPr>
    </w:p>
    <w:p w14:paraId="205C41A9">
      <w:pPr>
        <w:pStyle w:val="14"/>
        <w:jc w:val="both"/>
        <w:rPr>
          <w:rFonts w:hint="eastAsia" w:ascii="方正小标宋_GBK" w:hAnsi="方正小标宋_GBK" w:eastAsia="方正小标宋_GBK" w:cs="方正小标宋_GBK"/>
          <w:sz w:val="24"/>
          <w:szCs w:val="24"/>
        </w:rPr>
      </w:pPr>
    </w:p>
    <w:p w14:paraId="51CCDEAA">
      <w:pPr>
        <w:pStyle w:val="14"/>
        <w:jc w:val="both"/>
        <w:rPr>
          <w:rFonts w:hint="eastAsia" w:ascii="方正小标宋_GBK" w:hAnsi="方正小标宋_GBK" w:eastAsia="方正小标宋_GBK" w:cs="方正小标宋_GBK"/>
          <w:sz w:val="24"/>
          <w:szCs w:val="24"/>
        </w:rPr>
      </w:pPr>
      <w:bookmarkStart w:id="0" w:name="_GoBack"/>
      <w:bookmarkEnd w:id="0"/>
    </w:p>
    <w:p w14:paraId="257638A7">
      <w:pPr>
        <w:pStyle w:val="14"/>
        <w:jc w:val="both"/>
        <w:rPr>
          <w:rFonts w:hint="eastAsia" w:ascii="方正小标宋_GBK" w:hAnsi="方正小标宋_GBK" w:eastAsia="方正小标宋_GBK" w:cs="方正小标宋_GBK"/>
          <w:sz w:val="24"/>
          <w:szCs w:val="24"/>
        </w:rPr>
      </w:pPr>
    </w:p>
    <w:p w14:paraId="3D83FDA1">
      <w:pPr>
        <w:pStyle w:val="14"/>
        <w:jc w:val="center"/>
        <w:rPr>
          <w:rFonts w:hint="eastAsia" w:ascii="方正小标宋_GBK" w:hAnsi="方正小标宋_GBK" w:eastAsia="方正小标宋_GBK" w:cs="方正小标宋_GBK"/>
          <w:sz w:val="72"/>
          <w:szCs w:val="72"/>
        </w:rPr>
      </w:pPr>
    </w:p>
    <w:p w14:paraId="6FB6F211">
      <w:pPr>
        <w:pStyle w:val="14"/>
        <w:jc w:val="center"/>
        <w:rPr>
          <w:rFonts w:hint="eastAsia" w:ascii="方正小标宋_GBK" w:hAnsi="方正小标宋_GBK" w:eastAsia="方正小标宋_GBK" w:cs="方正小标宋_GBK"/>
          <w:sz w:val="72"/>
          <w:szCs w:val="72"/>
        </w:rPr>
      </w:pPr>
    </w:p>
    <w:p w14:paraId="3A01B6B0">
      <w:pPr>
        <w:pStyle w:val="14"/>
        <w:jc w:val="center"/>
        <w:rPr>
          <w:rFonts w:hint="eastAsia" w:ascii="方正小标宋_GBK" w:hAnsi="方正小标宋_GBK" w:eastAsia="方正小标宋_GBK" w:cs="方正小标宋_GBK"/>
          <w:sz w:val="72"/>
          <w:szCs w:val="72"/>
        </w:rPr>
      </w:pPr>
    </w:p>
    <w:p w14:paraId="475C1000">
      <w:pPr>
        <w:pStyle w:val="14"/>
        <w:jc w:val="center"/>
        <w:rPr>
          <w:rFonts w:hint="eastAsia" w:ascii="方正小标宋_GBK" w:hAnsi="方正小标宋_GBK" w:eastAsia="方正小标宋_GBK" w:cs="方正小标宋_GBK"/>
          <w:sz w:val="72"/>
          <w:szCs w:val="72"/>
        </w:rPr>
      </w:pPr>
    </w:p>
    <w:p w14:paraId="6A5A782C">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DDD6447">
      <w:pPr>
        <w:jc w:val="center"/>
        <w:rPr>
          <w:rFonts w:hint="eastAsia" w:ascii="方正小标宋_GBK" w:hAnsi="方正小标宋_GBK" w:eastAsia="方正小标宋_GBK" w:cs="方正小标宋_GBK"/>
          <w:color w:val="000000"/>
          <w:kern w:val="0"/>
          <w:sz w:val="70"/>
          <w:szCs w:val="70"/>
        </w:rPr>
      </w:pPr>
    </w:p>
    <w:p w14:paraId="41992F86">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571298D0">
      <w:pPr>
        <w:pStyle w:val="2"/>
      </w:pPr>
    </w:p>
    <w:p w14:paraId="5331F884">
      <w:pPr>
        <w:pStyle w:val="3"/>
      </w:pPr>
    </w:p>
    <w:p w14:paraId="2CCAD852"/>
    <w:p w14:paraId="440E89DF">
      <w:pPr>
        <w:pStyle w:val="2"/>
      </w:pPr>
    </w:p>
    <w:p w14:paraId="645B9B76">
      <w:pPr>
        <w:pStyle w:val="3"/>
      </w:pPr>
    </w:p>
    <w:p w14:paraId="539F25AC"/>
    <w:p w14:paraId="47AFAB8F">
      <w:pPr>
        <w:pStyle w:val="2"/>
      </w:pPr>
    </w:p>
    <w:p w14:paraId="479D6353">
      <w:pPr>
        <w:pStyle w:val="3"/>
      </w:pPr>
    </w:p>
    <w:p w14:paraId="648103ED"/>
    <w:p w14:paraId="08A5EA8F">
      <w:pPr>
        <w:pStyle w:val="2"/>
      </w:pPr>
    </w:p>
    <w:p w14:paraId="3FD0BAB6">
      <w:pPr>
        <w:pStyle w:val="3"/>
      </w:pPr>
    </w:p>
    <w:p w14:paraId="1CAE18D7"/>
    <w:p w14:paraId="5994BDDC">
      <w:pPr>
        <w:pStyle w:val="2"/>
      </w:pPr>
    </w:p>
    <w:p w14:paraId="51F60F8D">
      <w:pPr>
        <w:pStyle w:val="3"/>
      </w:pPr>
    </w:p>
    <w:p w14:paraId="715B8195"/>
    <w:p w14:paraId="3F608935">
      <w:pPr>
        <w:pStyle w:val="2"/>
      </w:pPr>
    </w:p>
    <w:p w14:paraId="274FE3C9">
      <w:pPr>
        <w:ind w:firstLine="640" w:firstLineChars="200"/>
        <w:jc w:val="left"/>
        <w:rPr>
          <w:rFonts w:hint="eastAsia" w:ascii="仿宋_GB2312" w:hAnsi="仿宋_GB2312" w:eastAsia="仿宋_GB2312" w:cs="仿宋_GB2312"/>
          <w:color w:val="000000"/>
          <w:kern w:val="0"/>
          <w:sz w:val="32"/>
          <w:szCs w:val="32"/>
        </w:rPr>
      </w:pPr>
    </w:p>
    <w:p w14:paraId="1741E604">
      <w:pPr>
        <w:ind w:firstLine="640" w:firstLineChars="200"/>
        <w:jc w:val="left"/>
        <w:rPr>
          <w:rFonts w:hint="eastAsia" w:ascii="仿宋_GB2312" w:hAnsi="仿宋_GB2312" w:eastAsia="仿宋_GB2312" w:cs="仿宋_GB2312"/>
          <w:color w:val="000000"/>
          <w:kern w:val="0"/>
          <w:sz w:val="32"/>
          <w:szCs w:val="32"/>
        </w:rPr>
      </w:pPr>
    </w:p>
    <w:p w14:paraId="02E59030">
      <w:pPr>
        <w:ind w:firstLine="640" w:firstLineChars="200"/>
        <w:jc w:val="left"/>
        <w:rPr>
          <w:rFonts w:hint="eastAsia" w:ascii="仿宋_GB2312" w:hAnsi="仿宋_GB2312" w:eastAsia="仿宋_GB2312" w:cs="仿宋_GB2312"/>
          <w:color w:val="000000"/>
          <w:kern w:val="0"/>
          <w:sz w:val="32"/>
          <w:szCs w:val="32"/>
        </w:rPr>
      </w:pPr>
    </w:p>
    <w:p w14:paraId="61CE71B9">
      <w:pPr>
        <w:pStyle w:val="2"/>
        <w:rPr>
          <w:rFonts w:hint="eastAsia"/>
        </w:rPr>
      </w:pPr>
    </w:p>
    <w:p w14:paraId="793F6BC2">
      <w:pPr>
        <w:ind w:firstLine="640" w:firstLineChars="200"/>
        <w:jc w:val="left"/>
        <w:rPr>
          <w:rFonts w:hint="eastAsia" w:ascii="仿宋_GB2312" w:hAnsi="仿宋_GB2312" w:eastAsia="仿宋_GB2312" w:cs="仿宋_GB2312"/>
          <w:color w:val="000000"/>
          <w:kern w:val="0"/>
          <w:sz w:val="32"/>
          <w:szCs w:val="32"/>
        </w:rPr>
      </w:pPr>
    </w:p>
    <w:p w14:paraId="7185EC38">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一、财政拨款收入：指本级财政当年拨付的资金。其他收入：指除上述“财政拨款收入”、“上级补助收入”、“事业收入”、“经营收入”、“附属单位上缴收入”等以外的收入。</w:t>
      </w:r>
    </w:p>
    <w:p w14:paraId="35B14096">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二、上年结转和结余：指以前年度尚未完成、结转到本年按有关规定继续使用的资金。</w:t>
      </w:r>
    </w:p>
    <w:p w14:paraId="00C4E47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12B5F5C8">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12E93C7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五、卫生健康支出（类）：是指用于医疗卫生与计划生育方面的支出，包括保障机构正常运转、完成日常和特定的工作任务或事业发展目标的支出。</w:t>
      </w:r>
    </w:p>
    <w:p w14:paraId="717D8750">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六、节能环保支出（类）：是指用于节能环保支出，包括保障机构正常运转、完成日常和特定的工作任务或事业发展目标的支出。</w:t>
      </w:r>
    </w:p>
    <w:p w14:paraId="16893476">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七、其他支出（类）：是指用于反映除上述项目以外其他不能划分到具体功能科目中的支出项目，包括保障机构正常运转、完成日常和特定的工作任务或事业发展目标的支出。</w:t>
      </w:r>
    </w:p>
    <w:p w14:paraId="1BF248B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八、基本支出：指保障机构正常运转、完成支日常工作任务而发生的人员支出和公用支出。</w:t>
      </w:r>
    </w:p>
    <w:p w14:paraId="22707DF1">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九、项目支出：指在基本支出之外为完成特定行政任务和事业发展目标所发生的支出。</w:t>
      </w:r>
    </w:p>
    <w:p w14:paraId="1E775AE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04B441E">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十一、政府采购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49CF10FF">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十二、工资福利支出：反映单位开支的在职职工和编制外长期聘用人员的各类劳动报酬，以及为上述人员缴纳的各项社会保险费等。</w:t>
      </w:r>
    </w:p>
    <w:p w14:paraId="16FFA1EC">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36FFDECB">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十四、津贴补贴：反映经国家批准建立的机关事业单位艰苦边远地区津贴、机关工作人员地区附加津贴、机关工作人员岗位津贴、事业单位工作人员特殊岗位津贴补贴等。</w:t>
      </w:r>
    </w:p>
    <w:p w14:paraId="70668E4F">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十五、奖金：反映机关工作人员年终一次性奖金。</w:t>
      </w:r>
    </w:p>
    <w:p w14:paraId="10F58969">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十六、伙食补助费：反映单位发给职工的伙食补助费，如误餐补助等。绩效工资：反映事业单位工作人员的绩效工资。</w:t>
      </w:r>
    </w:p>
    <w:p w14:paraId="64F17FB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十七、机关事业单位基本养老保险缴费：反映机关事业单位缴纳的基本养老保险费。由单位代扣的工作人员基本养老保险缴费，不在此科目反映。</w:t>
      </w:r>
    </w:p>
    <w:p w14:paraId="28C0921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十八、职业年金缴费：反映机关事业单位实际缴纳的职业年金支出。由单位代扣的工作人员职业年金缴费，不在此科目反映。</w:t>
      </w:r>
    </w:p>
    <w:p w14:paraId="389516EA">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十九、职工基本医疗保险缴费：反映单位为职工缴纳的基本医疗保险费。</w:t>
      </w:r>
    </w:p>
    <w:p w14:paraId="72D9BC97">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二十、其他社会保障缴费：反映单位为职工缴纳的基本医疗、失业、工伤、生育等社会保险费，残疾人就业保障金，军队（含武警）为军人缴纳的伤亡、退役医疗等社会保险费。</w:t>
      </w:r>
    </w:p>
    <w:p w14:paraId="1A78F48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二十一、住房公积金：反映行政事业单位按人力资源和社会保障部、财政部规定的基本工资和津贴补贴以及规定比例为职工缴纳的住房公积金。</w:t>
      </w:r>
    </w:p>
    <w:p w14:paraId="5CF9C310">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二十二、医疗费：反映未参加医疗保险单位的医疗经费和单位按规定为职工支出的其他医疗费用。</w:t>
      </w:r>
    </w:p>
    <w:p w14:paraId="0E4C4FE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079C230E">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二十四、商品和服务支出：反映单位购买商品和服务的支出（不包括用于购置固定资产的支出、战略性和应急储备支出）。</w:t>
      </w:r>
    </w:p>
    <w:p w14:paraId="5094ADB9">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二十五、办公费：反映单位购买按财务会计制度规定不符合固定资产确认标准的日常办公用品、书报杂志等支出。</w:t>
      </w:r>
    </w:p>
    <w:p w14:paraId="0BBB3350">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二十六、印刷费：反映单位的印刷费支出。</w:t>
      </w:r>
    </w:p>
    <w:p w14:paraId="4D673C83">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二十七、咨询费：反映单位咨询方面的支出。</w:t>
      </w:r>
    </w:p>
    <w:p w14:paraId="444782B9">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二十八、水费：反映单位支付的水费、污水处理费等支出。</w:t>
      </w:r>
    </w:p>
    <w:p w14:paraId="3B46E80E">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二十九、电费：反映单位的电费支出。</w:t>
      </w:r>
    </w:p>
    <w:p w14:paraId="7FF9063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三十、邮电费：反映单位开支的信函、包裹、货物等物品的邮寄费及电话费、电报费、传真费、网络通讯费等。</w:t>
      </w:r>
    </w:p>
    <w:p w14:paraId="18F7335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三十一、差旅费：反映单位工作人员出差发生的城市间交通费、住宿费、伙食补贴费和市内交通费。</w:t>
      </w:r>
    </w:p>
    <w:p w14:paraId="3B0FC84F">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三十二、维修(护)费：反映单位日常开支的固定资产（不包括车船等交通工具）修理和维护费用，网络信息系统运行与维护费用，以及按规定提取的修购基金。</w:t>
      </w:r>
    </w:p>
    <w:p w14:paraId="79358FFB">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三十三、会议费：反映会议中按规定开支的住宿费、伙食费、会议室租金、交通费、文件印刷费、医药费等。</w:t>
      </w:r>
    </w:p>
    <w:p w14:paraId="36884E68">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三十四、培训费：反映除因公出国（境）培训费以外的各类培训支出。</w:t>
      </w:r>
    </w:p>
    <w:p w14:paraId="7217852C">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三十五、公务接待费：反映单位按规定开支的各类公务接待（含外宾接待）费用。</w:t>
      </w:r>
    </w:p>
    <w:p w14:paraId="2B93753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三十六、专用燃料费：反映用作业务工作设备的车、船设施等的油料支出。</w:t>
      </w:r>
    </w:p>
    <w:p w14:paraId="6DC18304">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三十七、劳务费：反映支付给单位和个人的劳务费用，如临时聘用人员、钟点工工资，稿费、翻译费，评审费等。</w:t>
      </w:r>
    </w:p>
    <w:p w14:paraId="53C560C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三十八、工会经费：反映单位按规定提取的工会经费。</w:t>
      </w:r>
    </w:p>
    <w:p w14:paraId="7C590FA1">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三十九、公务用车运行维护费：反映单位按规定保留的公务用车燃料费、维修费、过桥过路费、保险费、安全奖励费用等支出。</w:t>
      </w:r>
    </w:p>
    <w:p w14:paraId="676AB04B">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四十、其他交通费用：反映单位除公务用车运行维护费以外的其他交通费用。如公务交通补贴，租车费用、出租车费用，飞机、船舶等的燃料费、维修费、保险费等。</w:t>
      </w:r>
    </w:p>
    <w:p w14:paraId="6E7DFDD4">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四十一、其他商品和服务支出：反映上述科目未包括的日常公用支出。如行政赔偿费和诉讼费、国内组织的会员费、来访费、广告宣传、其他劳务费及离休人员特需费、公用经费等。</w:t>
      </w:r>
    </w:p>
    <w:p w14:paraId="43E72606">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四十二、对个人和家庭的补助：反映政府用于对个人和家庭的补助支出。</w:t>
      </w:r>
    </w:p>
    <w:p w14:paraId="2633782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四十三、退休费：反映行政事业单位和军队移交政府安置的退休人员的退休费和其他补贴。</w:t>
      </w:r>
    </w:p>
    <w:p w14:paraId="10D4DB4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四十四、抚恤金：反映按规定开支的烈士遗属、牺牲病故人员遗属的一次性和定期抚恤金，伤残人员的抚恤金，离退休人员等其他人员的各项抚恤金。</w:t>
      </w:r>
    </w:p>
    <w:p w14:paraId="3AFAAD3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五、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7D4850A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六、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14:paraId="18EAE63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14:paraId="2AE81CE8">
      <w:pPr>
        <w:pStyle w:val="14"/>
        <w:jc w:val="center"/>
        <w:rPr>
          <w:rFonts w:hint="eastAsia" w:ascii="仿宋_GB2312" w:hAnsi="仿宋_GB2312" w:eastAsia="仿宋_GB2312" w:cs="仿宋_GB2312"/>
          <w:sz w:val="32"/>
          <w:szCs w:val="32"/>
        </w:rPr>
      </w:pPr>
    </w:p>
    <w:p w14:paraId="1D47518A">
      <w:pPr>
        <w:pStyle w:val="3"/>
      </w:pPr>
    </w:p>
    <w:p w14:paraId="580CF8E4"/>
    <w:p w14:paraId="0C17744C">
      <w:pPr>
        <w:pStyle w:val="2"/>
      </w:pPr>
    </w:p>
    <w:p w14:paraId="7B8BABF4">
      <w:pPr>
        <w:pStyle w:val="3"/>
      </w:pPr>
    </w:p>
    <w:p w14:paraId="1942C0DC"/>
    <w:p w14:paraId="6E2D1EEF">
      <w:pPr>
        <w:pStyle w:val="2"/>
      </w:pPr>
    </w:p>
    <w:p w14:paraId="5F6ABC3B">
      <w:pPr>
        <w:pStyle w:val="3"/>
      </w:pPr>
    </w:p>
    <w:p w14:paraId="51BE6437"/>
    <w:p w14:paraId="05344CBA">
      <w:pPr>
        <w:pStyle w:val="2"/>
      </w:pPr>
    </w:p>
    <w:p w14:paraId="5C9170AD">
      <w:pPr>
        <w:pStyle w:val="3"/>
      </w:pPr>
    </w:p>
    <w:p w14:paraId="29D3A91E"/>
    <w:p w14:paraId="0D2A994E">
      <w:pPr>
        <w:pStyle w:val="2"/>
      </w:pPr>
    </w:p>
    <w:p w14:paraId="59CBCCA7">
      <w:pPr>
        <w:pStyle w:val="3"/>
      </w:pPr>
    </w:p>
    <w:p w14:paraId="67806EBD"/>
    <w:p w14:paraId="7C18BB03">
      <w:pPr>
        <w:pStyle w:val="2"/>
      </w:pPr>
    </w:p>
    <w:p w14:paraId="29230CAD">
      <w:pPr>
        <w:pStyle w:val="3"/>
      </w:pPr>
    </w:p>
    <w:p w14:paraId="724E0A54"/>
    <w:p w14:paraId="496F732E">
      <w:pPr>
        <w:pStyle w:val="2"/>
      </w:pPr>
    </w:p>
    <w:p w14:paraId="354ECFD8">
      <w:pPr>
        <w:pStyle w:val="3"/>
      </w:pPr>
    </w:p>
    <w:p w14:paraId="51C67B38"/>
    <w:p w14:paraId="4D131F3E"/>
    <w:p w14:paraId="7CFBCE3C">
      <w:pPr>
        <w:pStyle w:val="2"/>
      </w:pPr>
    </w:p>
    <w:p w14:paraId="5C3DE094">
      <w:pPr>
        <w:pStyle w:val="14"/>
        <w:jc w:val="both"/>
        <w:rPr>
          <w:rFonts w:hint="eastAsia" w:ascii="方正小标宋_GBK" w:hAnsi="方正小标宋_GBK" w:eastAsia="方正小标宋_GBK" w:cs="方正小标宋_GBK"/>
          <w:sz w:val="72"/>
          <w:szCs w:val="72"/>
        </w:rPr>
      </w:pPr>
    </w:p>
    <w:p w14:paraId="0C1858E3">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592BF6CA">
      <w:pPr>
        <w:pStyle w:val="14"/>
        <w:jc w:val="both"/>
        <w:rPr>
          <w:rFonts w:hint="eastAsia" w:ascii="方正小标宋_GBK" w:hAnsi="方正小标宋_GBK" w:eastAsia="方正小标宋_GBK" w:cs="方正小标宋_GBK"/>
          <w:sz w:val="70"/>
          <w:szCs w:val="70"/>
          <w:lang w:eastAsia="zh-CN"/>
        </w:rPr>
      </w:pPr>
    </w:p>
    <w:p w14:paraId="490142D3">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3243C04E">
      <w:pPr>
        <w:ind w:firstLine="640" w:firstLineChars="200"/>
        <w:jc w:val="left"/>
        <w:rPr>
          <w:rFonts w:hint="eastAsia" w:ascii="宋体" w:hAnsi="宋体" w:eastAsia="宋体" w:cs="黑体"/>
          <w:b/>
          <w:color w:val="000000"/>
          <w:kern w:val="0"/>
          <w:sz w:val="32"/>
          <w:szCs w:val="32"/>
          <w:lang w:val="en-US" w:eastAsia="zh-CN"/>
        </w:rPr>
      </w:pPr>
    </w:p>
    <w:p w14:paraId="4EAC9354">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14:paraId="27E2EE8B">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14:paraId="045AD96C"/>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CFD4"/>
    <w:multiLevelType w:val="singleLevel"/>
    <w:tmpl w:val="8EDECFD4"/>
    <w:lvl w:ilvl="0" w:tentative="0">
      <w:start w:val="3"/>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F86D25"/>
    <w:rsid w:val="037C7496"/>
    <w:rsid w:val="040556DD"/>
    <w:rsid w:val="04581CB1"/>
    <w:rsid w:val="059958AD"/>
    <w:rsid w:val="06C857E7"/>
    <w:rsid w:val="08C24A73"/>
    <w:rsid w:val="091A5787"/>
    <w:rsid w:val="0D894C89"/>
    <w:rsid w:val="0E6D74AE"/>
    <w:rsid w:val="11916802"/>
    <w:rsid w:val="11944E2C"/>
    <w:rsid w:val="12583BA5"/>
    <w:rsid w:val="130A686C"/>
    <w:rsid w:val="13BA5B9C"/>
    <w:rsid w:val="178D2CFF"/>
    <w:rsid w:val="1D97DEFF"/>
    <w:rsid w:val="1DFF72E5"/>
    <w:rsid w:val="1EFC6F07"/>
    <w:rsid w:val="1F0527A6"/>
    <w:rsid w:val="1F3F789D"/>
    <w:rsid w:val="20735A50"/>
    <w:rsid w:val="22AC03C2"/>
    <w:rsid w:val="22DF75A1"/>
    <w:rsid w:val="23DF164F"/>
    <w:rsid w:val="23EF6152"/>
    <w:rsid w:val="283B15FE"/>
    <w:rsid w:val="2FDF85B8"/>
    <w:rsid w:val="2FFFEE04"/>
    <w:rsid w:val="313905F0"/>
    <w:rsid w:val="31C95635"/>
    <w:rsid w:val="322F37A1"/>
    <w:rsid w:val="34A264AC"/>
    <w:rsid w:val="34DF85B0"/>
    <w:rsid w:val="363E0457"/>
    <w:rsid w:val="38B844F1"/>
    <w:rsid w:val="3959069F"/>
    <w:rsid w:val="39D864CC"/>
    <w:rsid w:val="3B8F36BC"/>
    <w:rsid w:val="43EB5BA5"/>
    <w:rsid w:val="46350031"/>
    <w:rsid w:val="491FF225"/>
    <w:rsid w:val="4AE23F26"/>
    <w:rsid w:val="4D461C73"/>
    <w:rsid w:val="4EC310A1"/>
    <w:rsid w:val="4FFD214C"/>
    <w:rsid w:val="5352765A"/>
    <w:rsid w:val="55956812"/>
    <w:rsid w:val="55A848AF"/>
    <w:rsid w:val="5777D4F5"/>
    <w:rsid w:val="57F22B6F"/>
    <w:rsid w:val="59DD8326"/>
    <w:rsid w:val="5AC73C28"/>
    <w:rsid w:val="5D0D28E7"/>
    <w:rsid w:val="5DEF592A"/>
    <w:rsid w:val="5E8B1BDC"/>
    <w:rsid w:val="5FC6BB1E"/>
    <w:rsid w:val="5FF720F1"/>
    <w:rsid w:val="608C2479"/>
    <w:rsid w:val="622964C1"/>
    <w:rsid w:val="637779CB"/>
    <w:rsid w:val="660A5ADC"/>
    <w:rsid w:val="66674C72"/>
    <w:rsid w:val="67FF5C0B"/>
    <w:rsid w:val="69935DE8"/>
    <w:rsid w:val="6A18009C"/>
    <w:rsid w:val="6B9272ED"/>
    <w:rsid w:val="6BAA4A2F"/>
    <w:rsid w:val="6DDEC5C0"/>
    <w:rsid w:val="6EFC0924"/>
    <w:rsid w:val="6FB74722"/>
    <w:rsid w:val="6FEF8B7E"/>
    <w:rsid w:val="71431EA2"/>
    <w:rsid w:val="717FE77F"/>
    <w:rsid w:val="71A6591B"/>
    <w:rsid w:val="72824C4C"/>
    <w:rsid w:val="737D59BA"/>
    <w:rsid w:val="737F32B1"/>
    <w:rsid w:val="73BD3FCA"/>
    <w:rsid w:val="755A1EB0"/>
    <w:rsid w:val="75900452"/>
    <w:rsid w:val="75A5137D"/>
    <w:rsid w:val="776BDA01"/>
    <w:rsid w:val="777C68CC"/>
    <w:rsid w:val="77C37683"/>
    <w:rsid w:val="79D55FA9"/>
    <w:rsid w:val="79FF515B"/>
    <w:rsid w:val="7DFBFF20"/>
    <w:rsid w:val="7E9E1962"/>
    <w:rsid w:val="7E9F11B4"/>
    <w:rsid w:val="7F37EC1E"/>
    <w:rsid w:val="7F7C0DDA"/>
    <w:rsid w:val="7F7DCD9D"/>
    <w:rsid w:val="7F840255"/>
    <w:rsid w:val="7F970A6F"/>
    <w:rsid w:val="7FC1FFF3"/>
    <w:rsid w:val="7FC69637"/>
    <w:rsid w:val="7FDF8620"/>
    <w:rsid w:val="7FFB242F"/>
    <w:rsid w:val="7FFDB408"/>
    <w:rsid w:val="7FFE4EEB"/>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iPriority="0" w:semiHidden="0"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w:next w:val="6"/>
    <w:semiHidden/>
    <w:qFormat/>
    <w:uiPriority w:val="0"/>
    <w:pPr>
      <w:widowControl w:val="0"/>
      <w:jc w:val="both"/>
    </w:pPr>
    <w:rPr>
      <w:rFonts w:ascii="仿宋" w:hAnsi="仿宋" w:eastAsia="仿宋" w:cs="仿宋"/>
      <w:kern w:val="2"/>
      <w:sz w:val="31"/>
      <w:szCs w:val="31"/>
      <w:lang w:val="en-US" w:eastAsia="en-US" w:bidi="ar-SA"/>
    </w:rPr>
  </w:style>
  <w:style w:type="paragraph" w:styleId="6">
    <w:name w:val="toc 5"/>
    <w:next w:val="1"/>
    <w:unhideWhenUsed/>
    <w:qFormat/>
    <w:uiPriority w:val="0"/>
    <w:pPr>
      <w:widowControl w:val="0"/>
      <w:ind w:left="1680" w:leftChars="800"/>
      <w:jc w:val="both"/>
    </w:pPr>
    <w:rPr>
      <w:rFonts w:hint="eastAsia" w:ascii="Calibri" w:hAnsi="Calibri" w:eastAsia="宋体" w:cs="Times New Roman"/>
      <w:kern w:val="2"/>
      <w:sz w:val="21"/>
      <w:szCs w:val="24"/>
      <w:lang w:val="en-US" w:eastAsia="zh-CN" w:bidi="ar-SA"/>
    </w:rPr>
  </w:style>
  <w:style w:type="paragraph" w:styleId="7">
    <w:name w:val="Balloon Text"/>
    <w:basedOn w:val="1"/>
    <w:link w:val="16"/>
    <w:semiHidden/>
    <w:unhideWhenUsed/>
    <w:qFormat/>
    <w:uiPriority w:val="99"/>
    <w:rPr>
      <w:sz w:val="18"/>
      <w:szCs w:val="18"/>
    </w:rPr>
  </w:style>
  <w:style w:type="paragraph" w:styleId="8">
    <w:name w:val="footer"/>
    <w:basedOn w:val="1"/>
    <w:link w:val="13"/>
    <w:unhideWhenUsed/>
    <w:qFormat/>
    <w:uiPriority w:val="99"/>
    <w:pPr>
      <w:tabs>
        <w:tab w:val="center" w:pos="4153"/>
        <w:tab w:val="right" w:pos="8306"/>
      </w:tabs>
      <w:snapToGrid w:val="0"/>
      <w:jc w:val="left"/>
    </w:pPr>
    <w:rPr>
      <w:sz w:val="18"/>
      <w:szCs w:val="18"/>
    </w:rPr>
  </w:style>
  <w:style w:type="paragraph" w:styleId="9">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2">
    <w:name w:val="页眉 Char"/>
    <w:basedOn w:val="11"/>
    <w:link w:val="9"/>
    <w:qFormat/>
    <w:uiPriority w:val="99"/>
    <w:rPr>
      <w:sz w:val="18"/>
      <w:szCs w:val="18"/>
    </w:rPr>
  </w:style>
  <w:style w:type="character" w:customStyle="1" w:styleId="13">
    <w:name w:val="页脚 Char"/>
    <w:basedOn w:val="11"/>
    <w:link w:val="8"/>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7"/>
    <w:semiHidden/>
    <w:qFormat/>
    <w:uiPriority w:val="99"/>
    <w:rPr>
      <w:sz w:val="18"/>
      <w:szCs w:val="18"/>
    </w:rPr>
  </w:style>
  <w:style w:type="character" w:customStyle="1" w:styleId="17">
    <w:name w:val="font01"/>
    <w:basedOn w:val="11"/>
    <w:qFormat/>
    <w:uiPriority w:val="0"/>
    <w:rPr>
      <w:rFonts w:hint="eastAsia" w:ascii="宋体" w:hAnsi="宋体" w:eastAsia="宋体" w:cs="宋体"/>
      <w:color w:val="000000"/>
      <w:sz w:val="22"/>
      <w:szCs w:val="22"/>
      <w:u w:val="none"/>
    </w:rPr>
  </w:style>
  <w:style w:type="character" w:customStyle="1" w:styleId="18">
    <w:name w:val="font21"/>
    <w:basedOn w:val="11"/>
    <w:qFormat/>
    <w:uiPriority w:val="0"/>
    <w:rPr>
      <w:rFonts w:hint="eastAsia" w:ascii="宋体" w:hAnsi="宋体" w:eastAsia="宋体" w:cs="宋体"/>
      <w:color w:val="000000"/>
      <w:sz w:val="24"/>
      <w:szCs w:val="24"/>
      <w:u w:val="none"/>
    </w:rPr>
  </w:style>
  <w:style w:type="character" w:customStyle="1" w:styleId="19">
    <w:name w:val="font1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22</Pages>
  <Words>8585</Words>
  <Characters>9207</Characters>
  <Lines>63</Lines>
  <Paragraphs>18</Paragraphs>
  <TotalTime>0</TotalTime>
  <ScaleCrop>false</ScaleCrop>
  <LinksUpToDate>false</LinksUpToDate>
  <CharactersWithSpaces>9223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2020-07-10T18:32:00Z</dcterms:created>
  <dc:creator>李航 null</dc:creator>
  <cp:lastModifiedBy>Y</cp:lastModifiedBy>
  <cp:lastPrinted>2024-08-11T02:20:00Z</cp:lastPrinted>
  <dcterms:modified xsi:type="dcterms:W3CDTF">2025-09-29T02:56:09Z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3F6ADE6BFBC74D73AB6152AE0F8C7A9A_13</vt:lpwstr>
  </property>
  <property fmtid="{D5CDD505-2E9C-101B-9397-08002B2CF9AE}" pid="4" name="KSOTemplateDocerSaveRecord">
    <vt:lpwstr>eyJoZGlkIjoiYTI1ZWRhODIzZjNkMzE5ODI3Y2UwZTM2NjQ3YjE4YjIiLCJ1c2VySWQiOiI1Mzg0MzA5MzAifQ==</vt:lpwstr>
  </property>
</Properties>
</file>