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89E03">
      <w:pPr>
        <w:spacing w:after="0" w:afterLines="0" w:line="500" w:lineRule="exact"/>
        <w:ind w:firstLine="320" w:firstLineChars="100"/>
        <w:jc w:val="left"/>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14:paraId="368BEEE1">
      <w:pPr>
        <w:spacing w:after="120" w:afterLines="50" w:line="600" w:lineRule="exact"/>
        <w:jc w:val="center"/>
        <w:rPr>
          <w:rFonts w:hint="eastAsia" w:ascii="方正小标宋简体" w:hAnsi="方正小标宋简体" w:eastAsia="方正小标宋简体" w:cs="方正小标宋简体"/>
          <w:sz w:val="24"/>
          <w:highlight w:val="none"/>
        </w:rPr>
      </w:pPr>
      <w:r>
        <w:rPr>
          <w:rFonts w:hint="eastAsia" w:ascii="方正小标宋简体" w:hAnsi="方正小标宋简体" w:eastAsia="方正小标宋简体" w:cs="方正小标宋简体"/>
          <w:sz w:val="36"/>
          <w:szCs w:val="36"/>
          <w:highlight w:val="none"/>
        </w:rPr>
        <w:t>202</w:t>
      </w:r>
      <w:r>
        <w:rPr>
          <w:rFonts w:hint="eastAsia" w:ascii="方正小标宋简体" w:hAnsi="方正小标宋简体" w:eastAsia="方正小标宋简体" w:cs="方正小标宋简体"/>
          <w:sz w:val="36"/>
          <w:szCs w:val="36"/>
          <w:highlight w:val="none"/>
          <w:lang w:val="en-US" w:eastAsia="zh-CN"/>
        </w:rPr>
        <w:t>4</w:t>
      </w:r>
      <w:r>
        <w:rPr>
          <w:rFonts w:hint="eastAsia" w:ascii="方正小标宋简体" w:hAnsi="方正小标宋简体" w:eastAsia="方正小标宋简体" w:cs="方正小标宋简体"/>
          <w:sz w:val="36"/>
          <w:szCs w:val="36"/>
          <w:highlight w:val="none"/>
        </w:rPr>
        <w:t>年度部门整体支出绩效评价基础数据表</w:t>
      </w:r>
    </w:p>
    <w:tbl>
      <w:tblPr>
        <w:tblStyle w:val="4"/>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323188EF">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049725B7">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2D9A9657">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173C2E8A">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73F62923">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控制率</w:t>
            </w:r>
          </w:p>
        </w:tc>
      </w:tr>
      <w:tr w14:paraId="3EAD281E">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2A9E415B">
            <w:pPr>
              <w:widowControl/>
              <w:spacing w:line="360" w:lineRule="exact"/>
              <w:jc w:val="left"/>
              <w:rPr>
                <w:rFonts w:hint="eastAsia" w:ascii="仿宋_GB2312" w:hAnsi="仿宋_GB2312" w:eastAsia="仿宋_GB2312" w:cs="仿宋_GB2312"/>
                <w:sz w:val="20"/>
                <w:szCs w:val="20"/>
                <w:highlight w:val="none"/>
              </w:rPr>
            </w:pPr>
          </w:p>
        </w:tc>
        <w:tc>
          <w:tcPr>
            <w:tcW w:w="2038" w:type="dxa"/>
            <w:gridSpan w:val="2"/>
            <w:tcBorders>
              <w:top w:val="single" w:color="auto" w:sz="4" w:space="0"/>
              <w:left w:val="nil"/>
              <w:bottom w:val="single" w:color="auto" w:sz="4" w:space="0"/>
              <w:right w:val="single" w:color="auto" w:sz="4" w:space="0"/>
            </w:tcBorders>
            <w:noWrap w:val="0"/>
            <w:vAlign w:val="center"/>
          </w:tcPr>
          <w:p w14:paraId="39536956">
            <w:pPr>
              <w:widowControl/>
              <w:spacing w:line="360" w:lineRule="exact"/>
              <w:jc w:val="center"/>
              <w:rPr>
                <w:rFonts w:hint="default" w:ascii="仿宋_GB2312" w:hAnsi="仿宋_GB2312" w:eastAsia="仿宋_GB2312" w:cs="仿宋_GB2312"/>
                <w:sz w:val="20"/>
                <w:szCs w:val="20"/>
                <w:highlight w:val="none"/>
                <w:lang w:val="en-US"/>
              </w:rPr>
            </w:pPr>
            <w:r>
              <w:rPr>
                <w:rFonts w:hint="eastAsia" w:ascii="仿宋_GB2312" w:hAnsi="仿宋_GB2312" w:eastAsia="仿宋_GB2312" w:cs="仿宋_GB2312"/>
                <w:sz w:val="20"/>
                <w:szCs w:val="20"/>
                <w:highlight w:val="none"/>
                <w:lang w:val="en-US" w:eastAsia="zh-CN"/>
              </w:rPr>
              <w:t>33</w:t>
            </w:r>
          </w:p>
        </w:tc>
        <w:tc>
          <w:tcPr>
            <w:tcW w:w="2240" w:type="dxa"/>
            <w:gridSpan w:val="2"/>
            <w:tcBorders>
              <w:top w:val="single" w:color="auto" w:sz="4" w:space="0"/>
              <w:left w:val="nil"/>
              <w:bottom w:val="single" w:color="auto" w:sz="4" w:space="0"/>
              <w:right w:val="single" w:color="auto" w:sz="4" w:space="0"/>
            </w:tcBorders>
            <w:noWrap w:val="0"/>
            <w:vAlign w:val="center"/>
          </w:tcPr>
          <w:p w14:paraId="6D872EB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26</w:t>
            </w:r>
            <w:r>
              <w:rPr>
                <w:rFonts w:hint="eastAsia" w:ascii="仿宋_GB2312" w:hAnsi="仿宋_GB2312" w:eastAsia="仿宋_GB2312" w:cs="仿宋_GB2312"/>
                <w:sz w:val="20"/>
                <w:szCs w:val="20"/>
                <w:highlight w:val="none"/>
              </w:rPr>
              <w:t>　</w:t>
            </w:r>
          </w:p>
        </w:tc>
        <w:tc>
          <w:tcPr>
            <w:tcW w:w="2041" w:type="dxa"/>
            <w:gridSpan w:val="2"/>
            <w:tcBorders>
              <w:top w:val="single" w:color="auto" w:sz="4" w:space="0"/>
              <w:left w:val="nil"/>
              <w:bottom w:val="single" w:color="auto" w:sz="4" w:space="0"/>
              <w:right w:val="single" w:color="auto" w:sz="4" w:space="0"/>
            </w:tcBorders>
            <w:noWrap w:val="0"/>
            <w:vAlign w:val="center"/>
          </w:tcPr>
          <w:p w14:paraId="1FC6D24B">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79.79%</w:t>
            </w:r>
            <w:r>
              <w:rPr>
                <w:rFonts w:hint="eastAsia" w:ascii="仿宋_GB2312" w:hAnsi="仿宋_GB2312" w:eastAsia="仿宋_GB2312" w:cs="仿宋_GB2312"/>
                <w:sz w:val="20"/>
                <w:szCs w:val="20"/>
                <w:highlight w:val="none"/>
              </w:rPr>
              <w:t>　</w:t>
            </w:r>
          </w:p>
        </w:tc>
      </w:tr>
      <w:tr w14:paraId="0ACE695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DA25BA6">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06835342">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2E436A4E">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2FB06140">
            <w:pPr>
              <w:widowControl/>
              <w:spacing w:line="360" w:lineRule="exact"/>
              <w:jc w:val="center"/>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rPr>
              <w:t>202</w:t>
            </w: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年决算数</w:t>
            </w:r>
          </w:p>
        </w:tc>
      </w:tr>
      <w:tr w14:paraId="12A618A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283392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6A46536D">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0.62</w:t>
            </w:r>
          </w:p>
        </w:tc>
        <w:tc>
          <w:tcPr>
            <w:tcW w:w="2240" w:type="dxa"/>
            <w:gridSpan w:val="2"/>
            <w:tcBorders>
              <w:top w:val="single" w:color="auto" w:sz="4" w:space="0"/>
              <w:left w:val="nil"/>
              <w:bottom w:val="single" w:color="auto" w:sz="4" w:space="0"/>
              <w:right w:val="single" w:color="000000" w:sz="4" w:space="0"/>
            </w:tcBorders>
            <w:noWrap w:val="0"/>
            <w:vAlign w:val="center"/>
          </w:tcPr>
          <w:p w14:paraId="177AB635">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eastAsia="仿宋_GB2312"/>
                <w:lang w:val="en-US" w:eastAsia="zh-CN"/>
              </w:rPr>
              <w:t>4.00</w:t>
            </w:r>
          </w:p>
        </w:tc>
        <w:tc>
          <w:tcPr>
            <w:tcW w:w="2041" w:type="dxa"/>
            <w:gridSpan w:val="2"/>
            <w:tcBorders>
              <w:top w:val="single" w:color="auto" w:sz="4" w:space="0"/>
              <w:left w:val="nil"/>
              <w:bottom w:val="single" w:color="auto" w:sz="4" w:space="0"/>
              <w:right w:val="single" w:color="000000" w:sz="4" w:space="0"/>
            </w:tcBorders>
            <w:noWrap w:val="0"/>
            <w:vAlign w:val="center"/>
          </w:tcPr>
          <w:p w14:paraId="4303D42F">
            <w:pPr>
              <w:widowControl/>
              <w:spacing w:line="360" w:lineRule="exact"/>
              <w:jc w:val="center"/>
              <w:rPr>
                <w:rFonts w:hint="eastAsia" w:ascii="仿宋_GB2312" w:hAnsi="仿宋_GB2312" w:eastAsia="宋体" w:cs="仿宋_GB2312"/>
                <w:sz w:val="20"/>
                <w:szCs w:val="20"/>
                <w:highlight w:val="none"/>
                <w:lang w:val="en-US" w:eastAsia="zh-CN"/>
              </w:rPr>
            </w:pPr>
            <w:r>
              <w:rPr>
                <w:rFonts w:hint="eastAsia"/>
              </w:rPr>
              <w:t>1.2</w:t>
            </w:r>
            <w:r>
              <w:rPr>
                <w:rFonts w:hint="eastAsia"/>
                <w:lang w:val="en-US" w:eastAsia="zh-CN"/>
              </w:rPr>
              <w:t>1</w:t>
            </w:r>
          </w:p>
        </w:tc>
      </w:tr>
      <w:tr w14:paraId="04192F5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C719FD5">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6C4ADE2F">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3DBD3EE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p>
        </w:tc>
        <w:tc>
          <w:tcPr>
            <w:tcW w:w="2041" w:type="dxa"/>
            <w:gridSpan w:val="2"/>
            <w:tcBorders>
              <w:top w:val="single" w:color="auto" w:sz="4" w:space="0"/>
              <w:left w:val="nil"/>
              <w:bottom w:val="single" w:color="auto" w:sz="4" w:space="0"/>
              <w:right w:val="single" w:color="000000" w:sz="4" w:space="0"/>
            </w:tcBorders>
            <w:noWrap w:val="0"/>
            <w:vAlign w:val="center"/>
          </w:tcPr>
          <w:p w14:paraId="2B69803F">
            <w:pPr>
              <w:widowControl/>
              <w:spacing w:line="360" w:lineRule="exact"/>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rPr>
              <w:t>0.9</w:t>
            </w:r>
            <w:r>
              <w:rPr>
                <w:rFonts w:hint="eastAsia" w:ascii="仿宋_GB2312" w:hAnsi="仿宋_GB2312" w:eastAsia="仿宋_GB2312" w:cs="仿宋_GB2312"/>
                <w:sz w:val="20"/>
                <w:szCs w:val="20"/>
                <w:highlight w:val="none"/>
                <w:lang w:val="en-US" w:eastAsia="zh-CN"/>
              </w:rPr>
              <w:t>6</w:t>
            </w:r>
          </w:p>
        </w:tc>
      </w:tr>
      <w:tr w14:paraId="2DC3F26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C2CA1D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14:paraId="5D160C1F">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57D7ED4A">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58AE48BE">
            <w:pPr>
              <w:widowControl/>
              <w:spacing w:line="360" w:lineRule="exact"/>
              <w:jc w:val="center"/>
              <w:rPr>
                <w:rFonts w:hint="eastAsia" w:ascii="仿宋_GB2312" w:hAnsi="仿宋_GB2312" w:eastAsia="仿宋_GB2312" w:cs="仿宋_GB2312"/>
                <w:sz w:val="20"/>
                <w:szCs w:val="20"/>
                <w:highlight w:val="none"/>
              </w:rPr>
            </w:pPr>
          </w:p>
        </w:tc>
      </w:tr>
      <w:tr w14:paraId="0D30DFA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A1D1F9C">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14:paraId="37E1EF41">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0.32</w:t>
            </w:r>
          </w:p>
        </w:tc>
        <w:tc>
          <w:tcPr>
            <w:tcW w:w="2240" w:type="dxa"/>
            <w:gridSpan w:val="2"/>
            <w:tcBorders>
              <w:top w:val="single" w:color="auto" w:sz="4" w:space="0"/>
              <w:left w:val="nil"/>
              <w:bottom w:val="single" w:color="auto" w:sz="4" w:space="0"/>
              <w:right w:val="single" w:color="000000" w:sz="4" w:space="0"/>
            </w:tcBorders>
            <w:noWrap w:val="0"/>
            <w:vAlign w:val="center"/>
          </w:tcPr>
          <w:p w14:paraId="70D15368">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w:t>
            </w:r>
          </w:p>
        </w:tc>
        <w:tc>
          <w:tcPr>
            <w:tcW w:w="2041" w:type="dxa"/>
            <w:gridSpan w:val="2"/>
            <w:tcBorders>
              <w:top w:val="single" w:color="auto" w:sz="4" w:space="0"/>
              <w:left w:val="nil"/>
              <w:bottom w:val="single" w:color="auto" w:sz="4" w:space="0"/>
              <w:right w:val="single" w:color="000000" w:sz="4" w:space="0"/>
            </w:tcBorders>
            <w:noWrap w:val="0"/>
            <w:vAlign w:val="center"/>
          </w:tcPr>
          <w:p w14:paraId="1103CAC8">
            <w:pPr>
              <w:widowControl/>
              <w:spacing w:line="360" w:lineRule="exact"/>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rPr>
              <w:t>0.9</w:t>
            </w:r>
            <w:r>
              <w:rPr>
                <w:rFonts w:hint="eastAsia" w:ascii="仿宋_GB2312" w:hAnsi="仿宋_GB2312" w:eastAsia="仿宋_GB2312" w:cs="仿宋_GB2312"/>
                <w:sz w:val="20"/>
                <w:szCs w:val="20"/>
                <w:highlight w:val="none"/>
                <w:lang w:val="en-US" w:eastAsia="zh-CN"/>
              </w:rPr>
              <w:t>6</w:t>
            </w:r>
          </w:p>
        </w:tc>
      </w:tr>
      <w:tr w14:paraId="3C03E7AC">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842FE8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E2D3A80">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6D322BCF">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17DECA8A">
            <w:pPr>
              <w:widowControl/>
              <w:spacing w:line="360" w:lineRule="exact"/>
              <w:jc w:val="center"/>
              <w:rPr>
                <w:rFonts w:hint="eastAsia" w:ascii="仿宋_GB2312" w:hAnsi="仿宋_GB2312" w:eastAsia="仿宋_GB2312" w:cs="仿宋_GB2312"/>
                <w:sz w:val="20"/>
                <w:szCs w:val="20"/>
                <w:highlight w:val="none"/>
              </w:rPr>
            </w:pPr>
          </w:p>
        </w:tc>
      </w:tr>
      <w:tr w14:paraId="75A81E3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3DF3631">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14:paraId="22BB57A8">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0.26</w:t>
            </w:r>
          </w:p>
        </w:tc>
        <w:tc>
          <w:tcPr>
            <w:tcW w:w="2240" w:type="dxa"/>
            <w:gridSpan w:val="2"/>
            <w:tcBorders>
              <w:top w:val="single" w:color="auto" w:sz="4" w:space="0"/>
              <w:left w:val="nil"/>
              <w:bottom w:val="single" w:color="auto" w:sz="4" w:space="0"/>
              <w:right w:val="single" w:color="000000" w:sz="4" w:space="0"/>
            </w:tcBorders>
            <w:noWrap w:val="0"/>
            <w:vAlign w:val="center"/>
          </w:tcPr>
          <w:p w14:paraId="7B86B724">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1</w:t>
            </w:r>
          </w:p>
        </w:tc>
        <w:tc>
          <w:tcPr>
            <w:tcW w:w="2041" w:type="dxa"/>
            <w:gridSpan w:val="2"/>
            <w:tcBorders>
              <w:top w:val="single" w:color="auto" w:sz="4" w:space="0"/>
              <w:left w:val="nil"/>
              <w:bottom w:val="single" w:color="auto" w:sz="4" w:space="0"/>
              <w:right w:val="single" w:color="000000" w:sz="4" w:space="0"/>
            </w:tcBorders>
            <w:noWrap w:val="0"/>
            <w:vAlign w:val="center"/>
          </w:tcPr>
          <w:p w14:paraId="3BCC8512">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0.25</w:t>
            </w:r>
          </w:p>
        </w:tc>
      </w:tr>
      <w:tr w14:paraId="4B1C878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1ED1F89">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34C8806C">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83.03</w:t>
            </w:r>
          </w:p>
        </w:tc>
        <w:tc>
          <w:tcPr>
            <w:tcW w:w="2240" w:type="dxa"/>
            <w:gridSpan w:val="2"/>
            <w:tcBorders>
              <w:top w:val="single" w:color="auto" w:sz="4" w:space="0"/>
              <w:left w:val="nil"/>
              <w:bottom w:val="single" w:color="auto" w:sz="4" w:space="0"/>
              <w:right w:val="single" w:color="000000" w:sz="4" w:space="0"/>
            </w:tcBorders>
            <w:noWrap w:val="0"/>
            <w:vAlign w:val="center"/>
          </w:tcPr>
          <w:p w14:paraId="69043763">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w:t>
            </w:r>
          </w:p>
        </w:tc>
        <w:tc>
          <w:tcPr>
            <w:tcW w:w="2041" w:type="dxa"/>
            <w:gridSpan w:val="2"/>
            <w:tcBorders>
              <w:top w:val="single" w:color="auto" w:sz="4" w:space="0"/>
              <w:left w:val="nil"/>
              <w:bottom w:val="single" w:color="auto" w:sz="4" w:space="0"/>
              <w:right w:val="single" w:color="000000" w:sz="4" w:space="0"/>
            </w:tcBorders>
            <w:noWrap w:val="0"/>
            <w:vAlign w:val="center"/>
          </w:tcPr>
          <w:p w14:paraId="0DF84DAA">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398.63</w:t>
            </w:r>
          </w:p>
        </w:tc>
      </w:tr>
      <w:tr w14:paraId="6BF7F5C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6DDA5E9">
            <w:pPr>
              <w:widowControl/>
              <w:spacing w:line="360" w:lineRule="exact"/>
              <w:ind w:firstLine="200" w:firstLineChars="100"/>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7AAA9CC0">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24.07</w:t>
            </w:r>
          </w:p>
        </w:tc>
        <w:tc>
          <w:tcPr>
            <w:tcW w:w="2240" w:type="dxa"/>
            <w:gridSpan w:val="2"/>
            <w:tcBorders>
              <w:top w:val="single" w:color="auto" w:sz="4" w:space="0"/>
              <w:left w:val="nil"/>
              <w:bottom w:val="single" w:color="auto" w:sz="4" w:space="0"/>
              <w:right w:val="single" w:color="000000" w:sz="4" w:space="0"/>
            </w:tcBorders>
            <w:noWrap w:val="0"/>
            <w:vAlign w:val="center"/>
          </w:tcPr>
          <w:p w14:paraId="771AF1C4">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shd w:val="clear" w:color="auto" w:fill="FFFFFF"/>
            <w:noWrap w:val="0"/>
            <w:vAlign w:val="center"/>
          </w:tcPr>
          <w:p w14:paraId="04AE40A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33.03</w:t>
            </w:r>
          </w:p>
        </w:tc>
      </w:tr>
      <w:tr w14:paraId="5E9781AB">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3C37D37">
            <w:pPr>
              <w:widowControl/>
              <w:spacing w:line="360" w:lineRule="exact"/>
              <w:ind w:firstLine="200" w:firstLineChars="100"/>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62414B74">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57CC58FA">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620124E5">
            <w:pPr>
              <w:widowControl/>
              <w:spacing w:line="360" w:lineRule="exact"/>
              <w:jc w:val="center"/>
              <w:rPr>
                <w:rFonts w:hint="eastAsia" w:ascii="仿宋_GB2312" w:hAnsi="仿宋_GB2312" w:eastAsia="仿宋_GB2312" w:cs="仿宋_GB2312"/>
                <w:sz w:val="20"/>
                <w:szCs w:val="20"/>
                <w:highlight w:val="none"/>
              </w:rPr>
            </w:pPr>
          </w:p>
        </w:tc>
      </w:tr>
      <w:tr w14:paraId="6645ED0E">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944E2E0">
            <w:pPr>
              <w:widowControl/>
              <w:spacing w:line="360" w:lineRule="exact"/>
              <w:ind w:firstLine="200" w:firstLineChars="100"/>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3</w:t>
            </w:r>
            <w:r>
              <w:rPr>
                <w:rFonts w:hint="eastAsia" w:ascii="仿宋_GB2312" w:hAnsi="仿宋_GB2312" w:eastAsia="仿宋_GB2312" w:cs="仿宋_GB2312"/>
                <w:sz w:val="20"/>
                <w:szCs w:val="20"/>
                <w:highlight w:val="none"/>
              </w:rPr>
              <w:t>、污染减排生态环境执法监察</w:t>
            </w:r>
          </w:p>
        </w:tc>
        <w:tc>
          <w:tcPr>
            <w:tcW w:w="2038" w:type="dxa"/>
            <w:gridSpan w:val="2"/>
            <w:tcBorders>
              <w:top w:val="single" w:color="auto" w:sz="4" w:space="0"/>
              <w:left w:val="nil"/>
              <w:bottom w:val="single" w:color="auto" w:sz="4" w:space="0"/>
              <w:right w:val="single" w:color="000000" w:sz="4" w:space="0"/>
            </w:tcBorders>
            <w:noWrap w:val="0"/>
            <w:vAlign w:val="center"/>
          </w:tcPr>
          <w:p w14:paraId="139A747F">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71B1843E">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shd w:val="clear" w:color="auto" w:fill="FFFFFF"/>
            <w:noWrap w:val="0"/>
            <w:vAlign w:val="center"/>
          </w:tcPr>
          <w:p w14:paraId="29986F4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71.71</w:t>
            </w:r>
          </w:p>
        </w:tc>
      </w:tr>
      <w:tr w14:paraId="462579C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7CDF755">
            <w:pPr>
              <w:widowControl/>
              <w:spacing w:line="360" w:lineRule="exact"/>
              <w:ind w:firstLine="200" w:firstLineChars="100"/>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4、大气污染防治</w:t>
            </w:r>
          </w:p>
        </w:tc>
        <w:tc>
          <w:tcPr>
            <w:tcW w:w="2038" w:type="dxa"/>
            <w:gridSpan w:val="2"/>
            <w:tcBorders>
              <w:top w:val="single" w:color="auto" w:sz="4" w:space="0"/>
              <w:left w:val="nil"/>
              <w:bottom w:val="single" w:color="auto" w:sz="4" w:space="0"/>
              <w:right w:val="single" w:color="000000" w:sz="4" w:space="0"/>
            </w:tcBorders>
            <w:noWrap w:val="0"/>
            <w:vAlign w:val="center"/>
          </w:tcPr>
          <w:p w14:paraId="4E962061">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7F47FC3C">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shd w:val="clear" w:color="auto" w:fill="FFFFFF"/>
            <w:noWrap w:val="0"/>
            <w:vAlign w:val="center"/>
          </w:tcPr>
          <w:p w14:paraId="04AB046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50.00</w:t>
            </w:r>
          </w:p>
        </w:tc>
      </w:tr>
      <w:tr w14:paraId="3872EBB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C8D33B6">
            <w:pPr>
              <w:widowControl/>
              <w:spacing w:line="360" w:lineRule="exact"/>
              <w:ind w:firstLine="200" w:firstLineChars="100"/>
              <w:jc w:val="left"/>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5、环境监察、监测等运行经费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01776DA">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58.76</w:t>
            </w:r>
          </w:p>
        </w:tc>
        <w:tc>
          <w:tcPr>
            <w:tcW w:w="2240" w:type="dxa"/>
            <w:gridSpan w:val="2"/>
            <w:tcBorders>
              <w:top w:val="single" w:color="auto" w:sz="4" w:space="0"/>
              <w:left w:val="nil"/>
              <w:bottom w:val="single" w:color="auto" w:sz="4" w:space="0"/>
              <w:right w:val="single" w:color="000000" w:sz="4" w:space="0"/>
            </w:tcBorders>
            <w:noWrap w:val="0"/>
            <w:vAlign w:val="center"/>
          </w:tcPr>
          <w:p w14:paraId="5A4A0D3F">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shd w:val="clear" w:color="auto" w:fill="FFFFFF"/>
            <w:noWrap w:val="0"/>
            <w:vAlign w:val="center"/>
          </w:tcPr>
          <w:p w14:paraId="40F7434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243.92</w:t>
            </w:r>
          </w:p>
        </w:tc>
      </w:tr>
      <w:tr w14:paraId="5494A41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ADDDF5A">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6</w:t>
            </w:r>
            <w:r>
              <w:rPr>
                <w:rFonts w:hint="eastAsia" w:ascii="仿宋_GB2312" w:hAnsi="仿宋_GB2312" w:eastAsia="仿宋_GB2312" w:cs="仿宋_GB2312"/>
                <w:sz w:val="20"/>
                <w:szCs w:val="20"/>
                <w:highlight w:val="none"/>
              </w:rPr>
              <w:t>、</w:t>
            </w:r>
            <w:r>
              <w:rPr>
                <w:rFonts w:hint="eastAsia" w:ascii="仿宋_GB2312" w:hAnsi="仿宋_GB2312" w:eastAsia="仿宋_GB2312" w:cs="仿宋_GB2312"/>
                <w:sz w:val="20"/>
                <w:szCs w:val="20"/>
                <w:highlight w:val="none"/>
                <w:lang w:eastAsia="zh-CN"/>
              </w:rPr>
              <w:t>市级</w:t>
            </w:r>
            <w:r>
              <w:rPr>
                <w:rFonts w:hint="eastAsia" w:ascii="仿宋_GB2312" w:hAnsi="仿宋_GB2312" w:eastAsia="仿宋_GB2312" w:cs="仿宋_GB2312"/>
                <w:sz w:val="20"/>
                <w:szCs w:val="20"/>
                <w:highlight w:val="none"/>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14:paraId="5DBB6BCA">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32A6D73E">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645FED86">
            <w:pPr>
              <w:widowControl/>
              <w:spacing w:line="360" w:lineRule="exact"/>
              <w:jc w:val="center"/>
              <w:rPr>
                <w:rFonts w:hint="eastAsia" w:ascii="仿宋_GB2312" w:hAnsi="仿宋_GB2312" w:eastAsia="仿宋_GB2312" w:cs="仿宋_GB2312"/>
                <w:sz w:val="20"/>
                <w:szCs w:val="20"/>
                <w:highlight w:val="none"/>
              </w:rPr>
            </w:pPr>
          </w:p>
        </w:tc>
      </w:tr>
      <w:tr w14:paraId="7551DF3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AADCFC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038" w:type="dxa"/>
            <w:gridSpan w:val="2"/>
            <w:tcBorders>
              <w:top w:val="single" w:color="auto" w:sz="4" w:space="0"/>
              <w:left w:val="nil"/>
              <w:bottom w:val="single" w:color="auto" w:sz="4" w:space="0"/>
              <w:right w:val="single" w:color="000000" w:sz="4" w:space="0"/>
            </w:tcBorders>
            <w:noWrap w:val="0"/>
            <w:vAlign w:val="center"/>
          </w:tcPr>
          <w:p w14:paraId="37F17BDE">
            <w:pPr>
              <w:widowControl/>
              <w:spacing w:line="360" w:lineRule="exact"/>
              <w:jc w:val="center"/>
              <w:rPr>
                <w:rFonts w:hint="eastAsia" w:ascii="仿宋_GB2312" w:hAnsi="仿宋_GB2312" w:eastAsia="仿宋_GB2312" w:cs="仿宋_GB2312"/>
                <w:sz w:val="20"/>
                <w:szCs w:val="20"/>
                <w:highlight w:val="none"/>
              </w:rPr>
            </w:pPr>
          </w:p>
        </w:tc>
        <w:tc>
          <w:tcPr>
            <w:tcW w:w="2240" w:type="dxa"/>
            <w:gridSpan w:val="2"/>
            <w:tcBorders>
              <w:top w:val="single" w:color="auto" w:sz="4" w:space="0"/>
              <w:left w:val="nil"/>
              <w:bottom w:val="single" w:color="auto" w:sz="4" w:space="0"/>
              <w:right w:val="single" w:color="000000" w:sz="4" w:space="0"/>
            </w:tcBorders>
            <w:noWrap w:val="0"/>
            <w:vAlign w:val="center"/>
          </w:tcPr>
          <w:p w14:paraId="78CD283C">
            <w:pPr>
              <w:widowControl/>
              <w:spacing w:line="360" w:lineRule="exact"/>
              <w:jc w:val="center"/>
              <w:rPr>
                <w:rFonts w:hint="eastAsia" w:ascii="仿宋_GB2312" w:hAnsi="仿宋_GB2312" w:eastAsia="仿宋_GB2312" w:cs="仿宋_GB2312"/>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5292FB6E">
            <w:pPr>
              <w:widowControl/>
              <w:spacing w:line="360" w:lineRule="exact"/>
              <w:jc w:val="center"/>
              <w:rPr>
                <w:rFonts w:hint="eastAsia" w:ascii="仿宋_GB2312" w:hAnsi="仿宋_GB2312" w:eastAsia="仿宋_GB2312" w:cs="仿宋_GB2312"/>
                <w:sz w:val="20"/>
                <w:szCs w:val="20"/>
                <w:highlight w:val="none"/>
              </w:rPr>
            </w:pPr>
          </w:p>
        </w:tc>
      </w:tr>
      <w:tr w14:paraId="1A2C359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F8CC7AE">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10198035">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404.77</w:t>
            </w:r>
            <w:r>
              <w:rPr>
                <w:rFonts w:hint="eastAsia" w:ascii="仿宋_GB2312" w:hAnsi="仿宋_GB2312" w:eastAsia="仿宋_GB2312" w:cs="仿宋_GB2312"/>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52337808">
            <w:pPr>
              <w:widowControl/>
              <w:spacing w:line="36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rPr>
              <w:t>　</w:t>
            </w:r>
            <w:r>
              <w:rPr>
                <w:rFonts w:hint="eastAsia" w:ascii="仿宋_GB2312" w:hAnsi="仿宋_GB2312" w:eastAsia="仿宋_GB2312" w:cs="仿宋_GB2312"/>
                <w:sz w:val="20"/>
                <w:szCs w:val="20"/>
                <w:highlight w:val="none"/>
                <w:lang w:val="en-US" w:eastAsia="zh-CN"/>
              </w:rPr>
              <w:t>72.41</w:t>
            </w:r>
          </w:p>
        </w:tc>
        <w:tc>
          <w:tcPr>
            <w:tcW w:w="2041" w:type="dxa"/>
            <w:gridSpan w:val="2"/>
            <w:tcBorders>
              <w:top w:val="single" w:color="auto" w:sz="4" w:space="0"/>
              <w:left w:val="nil"/>
              <w:bottom w:val="single" w:color="auto" w:sz="4" w:space="0"/>
              <w:right w:val="single" w:color="000000" w:sz="4" w:space="0"/>
            </w:tcBorders>
            <w:noWrap w:val="0"/>
            <w:vAlign w:val="center"/>
          </w:tcPr>
          <w:p w14:paraId="66F0D0FE">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72.1</w:t>
            </w:r>
            <w:r>
              <w:rPr>
                <w:rFonts w:hint="eastAsia" w:ascii="仿宋_GB2312" w:hAnsi="仿宋_GB2312" w:eastAsia="仿宋_GB2312" w:cs="仿宋_GB2312"/>
                <w:sz w:val="20"/>
                <w:szCs w:val="20"/>
                <w:highlight w:val="none"/>
              </w:rPr>
              <w:t>　</w:t>
            </w:r>
          </w:p>
        </w:tc>
      </w:tr>
      <w:tr w14:paraId="22160EFA">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21F55B8">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0B18B7D2">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10.3　</w:t>
            </w:r>
          </w:p>
        </w:tc>
        <w:tc>
          <w:tcPr>
            <w:tcW w:w="2240" w:type="dxa"/>
            <w:gridSpan w:val="2"/>
            <w:tcBorders>
              <w:top w:val="single" w:color="auto" w:sz="4" w:space="0"/>
              <w:left w:val="nil"/>
              <w:bottom w:val="single" w:color="auto" w:sz="4" w:space="0"/>
              <w:right w:val="single" w:color="000000" w:sz="4" w:space="0"/>
            </w:tcBorders>
            <w:noWrap w:val="0"/>
            <w:vAlign w:val="center"/>
          </w:tcPr>
          <w:p w14:paraId="74BAD6A6">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　</w:t>
            </w:r>
          </w:p>
        </w:tc>
        <w:tc>
          <w:tcPr>
            <w:tcW w:w="2041" w:type="dxa"/>
            <w:gridSpan w:val="2"/>
            <w:tcBorders>
              <w:top w:val="single" w:color="auto" w:sz="4" w:space="0"/>
              <w:left w:val="nil"/>
              <w:bottom w:val="single" w:color="auto" w:sz="4" w:space="0"/>
              <w:right w:val="single" w:color="000000" w:sz="4" w:space="0"/>
            </w:tcBorders>
            <w:noWrap w:val="0"/>
            <w:vAlign w:val="center"/>
          </w:tcPr>
          <w:p w14:paraId="1B215501">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3　</w:t>
            </w:r>
          </w:p>
        </w:tc>
      </w:tr>
      <w:tr w14:paraId="40E4841F">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BEE16A7">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14:paraId="7D4732E8">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7.12　</w:t>
            </w:r>
          </w:p>
        </w:tc>
        <w:tc>
          <w:tcPr>
            <w:tcW w:w="2240" w:type="dxa"/>
            <w:gridSpan w:val="2"/>
            <w:tcBorders>
              <w:top w:val="single" w:color="auto" w:sz="4" w:space="0"/>
              <w:left w:val="nil"/>
              <w:bottom w:val="single" w:color="auto" w:sz="4" w:space="0"/>
              <w:right w:val="single" w:color="000000" w:sz="4" w:space="0"/>
            </w:tcBorders>
            <w:noWrap w:val="0"/>
            <w:vAlign w:val="center"/>
          </w:tcPr>
          <w:p w14:paraId="0C4360DA">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6.6　</w:t>
            </w:r>
          </w:p>
        </w:tc>
        <w:tc>
          <w:tcPr>
            <w:tcW w:w="2041" w:type="dxa"/>
            <w:gridSpan w:val="2"/>
            <w:tcBorders>
              <w:top w:val="single" w:color="auto" w:sz="4" w:space="0"/>
              <w:left w:val="nil"/>
              <w:bottom w:val="single" w:color="auto" w:sz="4" w:space="0"/>
              <w:right w:val="single" w:color="000000" w:sz="4" w:space="0"/>
            </w:tcBorders>
            <w:noWrap w:val="0"/>
            <w:vAlign w:val="center"/>
          </w:tcPr>
          <w:p w14:paraId="2FBC58B4">
            <w:pPr>
              <w:widowControl/>
              <w:spacing w:line="360" w:lineRule="exact"/>
              <w:jc w:val="center"/>
              <w:rPr>
                <w:rFonts w:hint="eastAsia"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6.88　</w:t>
            </w:r>
          </w:p>
        </w:tc>
      </w:tr>
      <w:tr w14:paraId="2D44038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5D4FC1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14:paraId="04BC04A0">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c>
          <w:tcPr>
            <w:tcW w:w="2240" w:type="dxa"/>
            <w:gridSpan w:val="2"/>
            <w:tcBorders>
              <w:top w:val="single" w:color="auto" w:sz="4" w:space="0"/>
              <w:left w:val="nil"/>
              <w:bottom w:val="single" w:color="auto" w:sz="4" w:space="0"/>
              <w:right w:val="single" w:color="000000" w:sz="4" w:space="0"/>
            </w:tcBorders>
            <w:noWrap w:val="0"/>
            <w:vAlign w:val="center"/>
          </w:tcPr>
          <w:p w14:paraId="162F690A">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4833586F">
            <w:pPr>
              <w:widowControl/>
              <w:spacing w:line="360" w:lineRule="exact"/>
              <w:jc w:val="center"/>
              <w:rPr>
                <w:rFonts w:hint="eastAsia" w:ascii="仿宋_GB2312" w:hAnsi="仿宋_GB2312" w:eastAsia="仿宋_GB2312" w:cs="仿宋_GB2312"/>
                <w:color w:val="FF0000"/>
                <w:sz w:val="20"/>
                <w:szCs w:val="20"/>
                <w:highlight w:val="none"/>
              </w:rPr>
            </w:pPr>
            <w:r>
              <w:rPr>
                <w:rFonts w:hint="eastAsia" w:ascii="仿宋_GB2312" w:hAnsi="仿宋_GB2312" w:eastAsia="仿宋_GB2312" w:cs="仿宋_GB2312"/>
                <w:color w:val="FF0000"/>
                <w:sz w:val="20"/>
                <w:szCs w:val="20"/>
                <w:highlight w:val="none"/>
              </w:rPr>
              <w:t>　</w:t>
            </w:r>
          </w:p>
        </w:tc>
      </w:tr>
      <w:tr w14:paraId="0740829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D1CBB3D">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14:paraId="1C7E532B">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52B56DC9">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219.54　</w:t>
            </w:r>
          </w:p>
        </w:tc>
        <w:tc>
          <w:tcPr>
            <w:tcW w:w="2041" w:type="dxa"/>
            <w:gridSpan w:val="2"/>
            <w:tcBorders>
              <w:top w:val="single" w:color="auto" w:sz="4" w:space="0"/>
              <w:left w:val="nil"/>
              <w:bottom w:val="single" w:color="auto" w:sz="4" w:space="0"/>
              <w:right w:val="single" w:color="000000" w:sz="4" w:space="0"/>
            </w:tcBorders>
            <w:noWrap w:val="0"/>
            <w:vAlign w:val="center"/>
          </w:tcPr>
          <w:p w14:paraId="24DE0CEE">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lang w:val="en-US" w:eastAsia="zh-CN"/>
              </w:rPr>
              <w:t>270.64</w:t>
            </w:r>
            <w:r>
              <w:rPr>
                <w:rFonts w:hint="eastAsia" w:ascii="仿宋_GB2312" w:hAnsi="仿宋_GB2312" w:eastAsia="仿宋_GB2312" w:cs="仿宋_GB2312"/>
                <w:sz w:val="20"/>
                <w:szCs w:val="20"/>
                <w:highlight w:val="none"/>
              </w:rPr>
              <w:t>　</w:t>
            </w:r>
          </w:p>
        </w:tc>
      </w:tr>
      <w:tr w14:paraId="4DBD8B78">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4CFE1E7">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5D8A2020">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1A1304D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64.82　</w:t>
            </w:r>
          </w:p>
        </w:tc>
        <w:tc>
          <w:tcPr>
            <w:tcW w:w="2041" w:type="dxa"/>
            <w:gridSpan w:val="2"/>
            <w:tcBorders>
              <w:top w:val="single" w:color="auto" w:sz="4" w:space="0"/>
              <w:left w:val="nil"/>
              <w:bottom w:val="single" w:color="auto" w:sz="4" w:space="0"/>
              <w:right w:val="single" w:color="000000" w:sz="4" w:space="0"/>
            </w:tcBorders>
            <w:noWrap w:val="0"/>
            <w:vAlign w:val="center"/>
          </w:tcPr>
          <w:p w14:paraId="6A27207B">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17386362">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77F2C76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楼堂馆所控制情况</w:t>
            </w:r>
            <w:r>
              <w:rPr>
                <w:rFonts w:hint="eastAsia" w:ascii="仿宋_GB2312" w:hAnsi="仿宋_GB2312" w:eastAsia="仿宋_GB2312" w:cs="仿宋_GB2312"/>
                <w:sz w:val="20"/>
                <w:szCs w:val="20"/>
                <w:highlight w:val="none"/>
              </w:rPr>
              <w:br w:type="textWrapping"/>
            </w:r>
            <w:r>
              <w:rPr>
                <w:rFonts w:hint="eastAsia" w:ascii="仿宋_GB2312" w:hAnsi="仿宋_GB2312" w:eastAsia="仿宋_GB2312" w:cs="仿宋_GB2312"/>
                <w:sz w:val="20"/>
                <w:szCs w:val="20"/>
                <w:highlight w:val="none"/>
              </w:rPr>
              <w:t>（202</w:t>
            </w:r>
            <w:r>
              <w:rPr>
                <w:rFonts w:hint="eastAsia" w:ascii="仿宋_GB2312" w:hAnsi="仿宋_GB2312" w:eastAsia="仿宋_GB2312" w:cs="仿宋_GB2312"/>
                <w:sz w:val="20"/>
                <w:szCs w:val="20"/>
                <w:highlight w:val="none"/>
                <w:lang w:val="en-US" w:eastAsia="zh-CN"/>
              </w:rPr>
              <w:t>4</w:t>
            </w:r>
            <w:r>
              <w:rPr>
                <w:rFonts w:hint="eastAsia" w:ascii="仿宋_GB2312" w:hAnsi="仿宋_GB2312" w:eastAsia="仿宋_GB2312" w:cs="仿宋_GB2312"/>
                <w:sz w:val="20"/>
                <w:szCs w:val="20"/>
                <w:highlight w:val="none"/>
              </w:rPr>
              <w:t>年完工项目）</w:t>
            </w:r>
          </w:p>
        </w:tc>
        <w:tc>
          <w:tcPr>
            <w:tcW w:w="1189" w:type="dxa"/>
            <w:tcBorders>
              <w:top w:val="nil"/>
              <w:left w:val="nil"/>
              <w:bottom w:val="single" w:color="auto" w:sz="4" w:space="0"/>
              <w:right w:val="single" w:color="auto" w:sz="4" w:space="0"/>
            </w:tcBorders>
            <w:noWrap w:val="0"/>
            <w:vAlign w:val="center"/>
          </w:tcPr>
          <w:p w14:paraId="6C282E07">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批复规模</w:t>
            </w:r>
            <w:r>
              <w:rPr>
                <w:rFonts w:hint="eastAsia" w:ascii="仿宋_GB2312" w:hAnsi="仿宋_GB2312" w:eastAsia="仿宋_GB2312" w:cs="仿宋_GB2312"/>
                <w:bCs/>
                <w:sz w:val="20"/>
                <w:szCs w:val="20"/>
                <w:highlight w:val="none"/>
              </w:rPr>
              <w:br w:type="textWrapping"/>
            </w:r>
            <w:r>
              <w:rPr>
                <w:rFonts w:hint="eastAsia" w:ascii="仿宋_GB2312" w:hAnsi="仿宋_GB2312" w:eastAsia="仿宋_GB2312" w:cs="仿宋_GB2312"/>
                <w:bCs/>
                <w:sz w:val="20"/>
                <w:szCs w:val="20"/>
                <w:highlight w:val="none"/>
              </w:rPr>
              <w:t>（㎡）</w:t>
            </w:r>
          </w:p>
        </w:tc>
        <w:tc>
          <w:tcPr>
            <w:tcW w:w="849" w:type="dxa"/>
            <w:tcBorders>
              <w:top w:val="nil"/>
              <w:left w:val="nil"/>
              <w:bottom w:val="single" w:color="auto" w:sz="4" w:space="0"/>
              <w:right w:val="single" w:color="auto" w:sz="4" w:space="0"/>
            </w:tcBorders>
            <w:noWrap w:val="0"/>
            <w:vAlign w:val="center"/>
          </w:tcPr>
          <w:p w14:paraId="1A4B0751">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实际规模（㎡）</w:t>
            </w:r>
          </w:p>
        </w:tc>
        <w:tc>
          <w:tcPr>
            <w:tcW w:w="1129" w:type="dxa"/>
            <w:tcBorders>
              <w:top w:val="nil"/>
              <w:left w:val="nil"/>
              <w:bottom w:val="single" w:color="auto" w:sz="4" w:space="0"/>
              <w:right w:val="single" w:color="auto" w:sz="4" w:space="0"/>
            </w:tcBorders>
            <w:noWrap w:val="0"/>
            <w:vAlign w:val="center"/>
          </w:tcPr>
          <w:p w14:paraId="3C379BB4">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规模控制率</w:t>
            </w:r>
          </w:p>
        </w:tc>
        <w:tc>
          <w:tcPr>
            <w:tcW w:w="1111" w:type="dxa"/>
            <w:tcBorders>
              <w:top w:val="nil"/>
              <w:left w:val="nil"/>
              <w:bottom w:val="single" w:color="auto" w:sz="4" w:space="0"/>
              <w:right w:val="single" w:color="auto" w:sz="4" w:space="0"/>
            </w:tcBorders>
            <w:noWrap w:val="0"/>
            <w:vAlign w:val="center"/>
          </w:tcPr>
          <w:p w14:paraId="32C77BD3">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预算投资（万元）</w:t>
            </w:r>
          </w:p>
        </w:tc>
        <w:tc>
          <w:tcPr>
            <w:tcW w:w="1081" w:type="dxa"/>
            <w:tcBorders>
              <w:top w:val="nil"/>
              <w:left w:val="nil"/>
              <w:bottom w:val="single" w:color="auto" w:sz="4" w:space="0"/>
              <w:right w:val="single" w:color="auto" w:sz="4" w:space="0"/>
            </w:tcBorders>
            <w:noWrap w:val="0"/>
            <w:vAlign w:val="center"/>
          </w:tcPr>
          <w:p w14:paraId="2A42A858">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实际投资（万元）</w:t>
            </w:r>
          </w:p>
        </w:tc>
        <w:tc>
          <w:tcPr>
            <w:tcW w:w="960" w:type="dxa"/>
            <w:tcBorders>
              <w:top w:val="nil"/>
              <w:left w:val="nil"/>
              <w:bottom w:val="single" w:color="auto" w:sz="4" w:space="0"/>
              <w:right w:val="single" w:color="auto" w:sz="4" w:space="0"/>
            </w:tcBorders>
            <w:noWrap w:val="0"/>
            <w:vAlign w:val="center"/>
          </w:tcPr>
          <w:p w14:paraId="43DB5CF8">
            <w:pPr>
              <w:widowControl/>
              <w:spacing w:line="360" w:lineRule="exact"/>
              <w:jc w:val="center"/>
              <w:rPr>
                <w:rFonts w:hint="eastAsia" w:ascii="仿宋_GB2312" w:hAnsi="仿宋_GB2312" w:eastAsia="仿宋_GB2312" w:cs="仿宋_GB2312"/>
                <w:bCs/>
                <w:sz w:val="20"/>
                <w:szCs w:val="20"/>
                <w:highlight w:val="none"/>
              </w:rPr>
            </w:pPr>
            <w:r>
              <w:rPr>
                <w:rFonts w:hint="eastAsia" w:ascii="仿宋_GB2312" w:hAnsi="仿宋_GB2312" w:eastAsia="仿宋_GB2312" w:cs="仿宋_GB2312"/>
                <w:bCs/>
                <w:sz w:val="20"/>
                <w:szCs w:val="20"/>
                <w:highlight w:val="none"/>
              </w:rPr>
              <w:t>投资概算控制率</w:t>
            </w:r>
          </w:p>
        </w:tc>
      </w:tr>
      <w:tr w14:paraId="4FFE8200">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1FAE3125">
            <w:pPr>
              <w:widowControl/>
              <w:spacing w:line="360" w:lineRule="exact"/>
              <w:jc w:val="left"/>
              <w:rPr>
                <w:rFonts w:hint="eastAsia" w:ascii="仿宋_GB2312" w:hAnsi="仿宋_GB2312" w:eastAsia="仿宋_GB2312" w:cs="仿宋_GB2312"/>
                <w:sz w:val="20"/>
                <w:szCs w:val="20"/>
                <w:highlight w:val="none"/>
              </w:rPr>
            </w:pPr>
          </w:p>
        </w:tc>
        <w:tc>
          <w:tcPr>
            <w:tcW w:w="1189" w:type="dxa"/>
            <w:tcBorders>
              <w:top w:val="nil"/>
              <w:left w:val="nil"/>
              <w:bottom w:val="single" w:color="auto" w:sz="4" w:space="0"/>
              <w:right w:val="single" w:color="auto" w:sz="4" w:space="0"/>
            </w:tcBorders>
            <w:noWrap w:val="0"/>
            <w:vAlign w:val="center"/>
          </w:tcPr>
          <w:p w14:paraId="2920C22C">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849" w:type="dxa"/>
            <w:tcBorders>
              <w:top w:val="nil"/>
              <w:left w:val="nil"/>
              <w:bottom w:val="single" w:color="auto" w:sz="4" w:space="0"/>
              <w:right w:val="single" w:color="auto" w:sz="4" w:space="0"/>
            </w:tcBorders>
            <w:noWrap w:val="0"/>
            <w:vAlign w:val="center"/>
          </w:tcPr>
          <w:p w14:paraId="3B97298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29" w:type="dxa"/>
            <w:tcBorders>
              <w:top w:val="nil"/>
              <w:left w:val="nil"/>
              <w:bottom w:val="single" w:color="auto" w:sz="4" w:space="0"/>
              <w:right w:val="single" w:color="auto" w:sz="4" w:space="0"/>
            </w:tcBorders>
            <w:noWrap w:val="0"/>
            <w:vAlign w:val="center"/>
          </w:tcPr>
          <w:p w14:paraId="3082ED43">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111" w:type="dxa"/>
            <w:tcBorders>
              <w:top w:val="nil"/>
              <w:left w:val="nil"/>
              <w:bottom w:val="single" w:color="auto" w:sz="4" w:space="0"/>
              <w:right w:val="single" w:color="auto" w:sz="4" w:space="0"/>
            </w:tcBorders>
            <w:noWrap w:val="0"/>
            <w:vAlign w:val="center"/>
          </w:tcPr>
          <w:p w14:paraId="23F27538">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1081" w:type="dxa"/>
            <w:tcBorders>
              <w:top w:val="nil"/>
              <w:left w:val="nil"/>
              <w:bottom w:val="single" w:color="auto" w:sz="4" w:space="0"/>
              <w:right w:val="single" w:color="auto" w:sz="4" w:space="0"/>
            </w:tcBorders>
            <w:noWrap w:val="0"/>
            <w:vAlign w:val="center"/>
          </w:tcPr>
          <w:p w14:paraId="62CC331A">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c>
          <w:tcPr>
            <w:tcW w:w="960" w:type="dxa"/>
            <w:tcBorders>
              <w:top w:val="nil"/>
              <w:left w:val="nil"/>
              <w:bottom w:val="single" w:color="auto" w:sz="4" w:space="0"/>
              <w:right w:val="single" w:color="auto" w:sz="4" w:space="0"/>
            </w:tcBorders>
            <w:noWrap w:val="0"/>
            <w:vAlign w:val="center"/>
          </w:tcPr>
          <w:p w14:paraId="1347BD76">
            <w:pPr>
              <w:widowControl/>
              <w:spacing w:line="360" w:lineRule="exact"/>
              <w:jc w:val="left"/>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r w14:paraId="39DC346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1B8D801">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2586E35D">
            <w:pPr>
              <w:widowControl/>
              <w:spacing w:line="36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　</w:t>
            </w:r>
          </w:p>
        </w:tc>
      </w:tr>
    </w:tbl>
    <w:p w14:paraId="275044DF">
      <w:pPr>
        <w:widowControl/>
        <w:spacing w:afterLines="0" w:line="400" w:lineRule="exact"/>
        <w:ind w:left="660" w:hanging="660" w:hangingChars="300"/>
        <w:jc w:val="left"/>
        <w:rPr>
          <w:rFonts w:hint="default" w:ascii="Times New Roman" w:hAnsi="Times New Roman" w:eastAsia="仿宋_GB2312" w:cs="Times New Roman"/>
          <w:sz w:val="22"/>
          <w:highlight w:val="none"/>
        </w:rPr>
      </w:pPr>
      <w:r>
        <w:rPr>
          <w:rFonts w:hint="default" w:ascii="Times New Roman" w:hAnsi="Times New Roman" w:eastAsia="仿宋_GB2312" w:cs="Times New Roman"/>
          <w:sz w:val="22"/>
          <w:highlight w:val="none"/>
        </w:rPr>
        <w:t>说明：“项目支出”需要填报基本支出以外的所有项目支出情况，“公用经费”填报基本支出中的一般商品和服务支出。</w:t>
      </w:r>
    </w:p>
    <w:p w14:paraId="6C1BBB08">
      <w:pPr>
        <w:widowControl/>
        <w:spacing w:afterLines="0" w:line="400" w:lineRule="exact"/>
        <w:jc w:val="left"/>
        <w:rPr>
          <w:rFonts w:hint="default" w:ascii="Times New Roman" w:hAnsi="Times New Roman" w:eastAsia="仿宋_GB2312" w:cs="Times New Roman"/>
          <w:sz w:val="22"/>
          <w:highlight w:val="none"/>
        </w:rPr>
      </w:pPr>
    </w:p>
    <w:p w14:paraId="2EB0F568">
      <w:pPr>
        <w:widowControl/>
        <w:spacing w:after="0" w:afterLines="0" w:line="4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highlight w:val="none"/>
        </w:rPr>
        <w:t>填表人：        填报日期：          联系电话：            单位负责人签字：</w:t>
      </w:r>
      <w:r>
        <w:rPr>
          <w:rFonts w:hint="default" w:ascii="Times New Roman" w:hAnsi="Times New Roman" w:eastAsia="仿宋_GB2312" w:cs="Times New Roman"/>
          <w:sz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2</w:t>
      </w:r>
    </w:p>
    <w:p w14:paraId="36203195">
      <w:pPr>
        <w:widowControl/>
        <w:spacing w:after="120" w:afterLines="50"/>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年度部门整体支出绩效自评表</w:t>
      </w:r>
    </w:p>
    <w:tbl>
      <w:tblPr>
        <w:tblStyle w:val="4"/>
        <w:tblW w:w="10079" w:type="dxa"/>
        <w:jc w:val="center"/>
        <w:tblLayout w:type="autofit"/>
        <w:tblCellMar>
          <w:top w:w="0" w:type="dxa"/>
          <w:left w:w="108" w:type="dxa"/>
          <w:bottom w:w="0" w:type="dxa"/>
          <w:right w:w="108" w:type="dxa"/>
        </w:tblCellMar>
      </w:tblPr>
      <w:tblGrid>
        <w:gridCol w:w="998"/>
        <w:gridCol w:w="1095"/>
        <w:gridCol w:w="1063"/>
        <w:gridCol w:w="1622"/>
        <w:gridCol w:w="1225"/>
        <w:gridCol w:w="1273"/>
        <w:gridCol w:w="596"/>
        <w:gridCol w:w="1039"/>
        <w:gridCol w:w="1168"/>
      </w:tblGrid>
      <w:tr w14:paraId="50E29D5F">
        <w:tblPrEx>
          <w:tblCellMar>
            <w:top w:w="0" w:type="dxa"/>
            <w:left w:w="108" w:type="dxa"/>
            <w:bottom w:w="0" w:type="dxa"/>
            <w:right w:w="108" w:type="dxa"/>
          </w:tblCellMar>
        </w:tblPrEx>
        <w:trPr>
          <w:jc w:val="center"/>
        </w:trPr>
        <w:tc>
          <w:tcPr>
            <w:tcW w:w="998" w:type="dxa"/>
            <w:tcBorders>
              <w:top w:val="single" w:color="auto" w:sz="4" w:space="0"/>
              <w:left w:val="single" w:color="auto" w:sz="4" w:space="0"/>
              <w:bottom w:val="single" w:color="auto" w:sz="4" w:space="0"/>
              <w:right w:val="single" w:color="auto" w:sz="4" w:space="0"/>
            </w:tcBorders>
            <w:noWrap w:val="0"/>
            <w:vAlign w:val="center"/>
          </w:tcPr>
          <w:p w14:paraId="169A2111">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市</w:t>
            </w:r>
            <w:r>
              <w:rPr>
                <w:rFonts w:hint="eastAsia" w:ascii="仿宋_GB2312" w:hAnsi="仿宋_GB2312" w:eastAsia="仿宋_GB2312" w:cs="仿宋_GB2312"/>
                <w:color w:val="000000"/>
                <w:sz w:val="20"/>
                <w:szCs w:val="20"/>
                <w:highlight w:val="none"/>
              </w:rPr>
              <w:t>级预算部门名称</w:t>
            </w:r>
          </w:p>
        </w:tc>
        <w:tc>
          <w:tcPr>
            <w:tcW w:w="9081" w:type="dxa"/>
            <w:gridSpan w:val="8"/>
            <w:tcBorders>
              <w:top w:val="single" w:color="auto" w:sz="4" w:space="0"/>
              <w:left w:val="nil"/>
              <w:bottom w:val="single" w:color="auto" w:sz="4" w:space="0"/>
              <w:right w:val="single" w:color="auto" w:sz="4" w:space="0"/>
            </w:tcBorders>
            <w:noWrap w:val="0"/>
            <w:vAlign w:val="center"/>
          </w:tcPr>
          <w:p w14:paraId="5200E82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岳阳市生态环境局岳阳楼分局　</w:t>
            </w:r>
          </w:p>
        </w:tc>
      </w:tr>
      <w:tr w14:paraId="173BA128">
        <w:tblPrEx>
          <w:tblCellMar>
            <w:top w:w="0" w:type="dxa"/>
            <w:left w:w="108" w:type="dxa"/>
            <w:bottom w:w="0" w:type="dxa"/>
            <w:right w:w="108" w:type="dxa"/>
          </w:tblCellMar>
        </w:tblPrEx>
        <w:trPr>
          <w:jc w:val="center"/>
        </w:trPr>
        <w:tc>
          <w:tcPr>
            <w:tcW w:w="998" w:type="dxa"/>
            <w:vMerge w:val="restart"/>
            <w:tcBorders>
              <w:top w:val="nil"/>
              <w:left w:val="single" w:color="auto" w:sz="4" w:space="0"/>
              <w:right w:val="single" w:color="auto" w:sz="4" w:space="0"/>
            </w:tcBorders>
            <w:noWrap w:val="0"/>
            <w:vAlign w:val="center"/>
          </w:tcPr>
          <w:p w14:paraId="0A46688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年度预</w:t>
            </w:r>
          </w:p>
          <w:p w14:paraId="1098C3F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算申请</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58" w:type="dxa"/>
            <w:gridSpan w:val="2"/>
            <w:tcBorders>
              <w:top w:val="nil"/>
              <w:left w:val="nil"/>
              <w:bottom w:val="single" w:color="auto" w:sz="4" w:space="0"/>
              <w:right w:val="single" w:color="auto" w:sz="4" w:space="0"/>
            </w:tcBorders>
            <w:noWrap w:val="0"/>
            <w:vAlign w:val="center"/>
          </w:tcPr>
          <w:p w14:paraId="21DEEEBC">
            <w:pPr>
              <w:spacing w:line="240" w:lineRule="exact"/>
              <w:jc w:val="center"/>
              <w:rPr>
                <w:rFonts w:hint="eastAsia" w:ascii="仿宋_GB2312" w:hAnsi="仿宋_GB2312" w:eastAsia="仿宋_GB2312" w:cs="仿宋_GB2312"/>
                <w:sz w:val="20"/>
                <w:szCs w:val="20"/>
                <w:highlight w:val="none"/>
              </w:rPr>
            </w:pPr>
          </w:p>
        </w:tc>
        <w:tc>
          <w:tcPr>
            <w:tcW w:w="1622" w:type="dxa"/>
            <w:tcBorders>
              <w:top w:val="nil"/>
              <w:left w:val="nil"/>
              <w:bottom w:val="single" w:color="auto" w:sz="4" w:space="0"/>
              <w:right w:val="single" w:color="auto" w:sz="4" w:space="0"/>
            </w:tcBorders>
            <w:noWrap w:val="0"/>
            <w:vAlign w:val="center"/>
          </w:tcPr>
          <w:p w14:paraId="13353986">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年初预算数</w:t>
            </w:r>
          </w:p>
        </w:tc>
        <w:tc>
          <w:tcPr>
            <w:tcW w:w="1225" w:type="dxa"/>
            <w:tcBorders>
              <w:top w:val="nil"/>
              <w:left w:val="nil"/>
              <w:bottom w:val="single" w:color="auto" w:sz="4" w:space="0"/>
              <w:right w:val="single" w:color="auto" w:sz="4" w:space="0"/>
            </w:tcBorders>
            <w:noWrap w:val="0"/>
            <w:vAlign w:val="center"/>
          </w:tcPr>
          <w:p w14:paraId="03030A08">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全年预算数</w:t>
            </w:r>
          </w:p>
        </w:tc>
        <w:tc>
          <w:tcPr>
            <w:tcW w:w="1273" w:type="dxa"/>
            <w:tcBorders>
              <w:top w:val="nil"/>
              <w:left w:val="nil"/>
              <w:bottom w:val="single" w:color="auto" w:sz="4" w:space="0"/>
              <w:right w:val="single" w:color="auto" w:sz="4" w:space="0"/>
            </w:tcBorders>
            <w:noWrap w:val="0"/>
            <w:vAlign w:val="center"/>
          </w:tcPr>
          <w:p w14:paraId="19FC9F5A">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全年执行数</w:t>
            </w:r>
          </w:p>
        </w:tc>
        <w:tc>
          <w:tcPr>
            <w:tcW w:w="596" w:type="dxa"/>
            <w:tcBorders>
              <w:top w:val="nil"/>
              <w:left w:val="nil"/>
              <w:bottom w:val="single" w:color="auto" w:sz="4" w:space="0"/>
              <w:right w:val="single" w:color="auto" w:sz="4" w:space="0"/>
            </w:tcBorders>
            <w:noWrap w:val="0"/>
            <w:vAlign w:val="center"/>
          </w:tcPr>
          <w:p w14:paraId="68909285">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1039" w:type="dxa"/>
            <w:tcBorders>
              <w:top w:val="nil"/>
              <w:left w:val="nil"/>
              <w:bottom w:val="single" w:color="auto" w:sz="4" w:space="0"/>
              <w:right w:val="single" w:color="auto" w:sz="4" w:space="0"/>
            </w:tcBorders>
            <w:noWrap w:val="0"/>
            <w:vAlign w:val="center"/>
          </w:tcPr>
          <w:p w14:paraId="2CCF260F">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168" w:type="dxa"/>
            <w:tcBorders>
              <w:top w:val="nil"/>
              <w:left w:val="nil"/>
              <w:bottom w:val="single" w:color="auto" w:sz="4" w:space="0"/>
              <w:right w:val="single" w:color="auto" w:sz="4" w:space="0"/>
            </w:tcBorders>
            <w:noWrap w:val="0"/>
            <w:vAlign w:val="center"/>
          </w:tcPr>
          <w:p w14:paraId="11E3D10C">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FE07E32">
        <w:tblPrEx>
          <w:tblCellMar>
            <w:top w:w="0" w:type="dxa"/>
            <w:left w:w="108" w:type="dxa"/>
            <w:bottom w:w="0" w:type="dxa"/>
            <w:right w:w="108" w:type="dxa"/>
          </w:tblCellMar>
        </w:tblPrEx>
        <w:trPr>
          <w:trHeight w:val="253" w:hRule="atLeast"/>
          <w:jc w:val="center"/>
        </w:trPr>
        <w:tc>
          <w:tcPr>
            <w:tcW w:w="998" w:type="dxa"/>
            <w:vMerge w:val="continue"/>
            <w:tcBorders>
              <w:top w:val="nil"/>
              <w:left w:val="single" w:color="auto" w:sz="4" w:space="0"/>
              <w:right w:val="single" w:color="auto" w:sz="4" w:space="0"/>
            </w:tcBorders>
            <w:noWrap w:val="0"/>
            <w:vAlign w:val="center"/>
          </w:tcPr>
          <w:p w14:paraId="0A123AC8">
            <w:pPr>
              <w:widowControl/>
              <w:spacing w:line="240" w:lineRule="exact"/>
              <w:jc w:val="center"/>
              <w:rPr>
                <w:rFonts w:hint="eastAsia" w:ascii="仿宋_GB2312" w:hAnsi="仿宋_GB2312" w:eastAsia="仿宋_GB2312" w:cs="仿宋_GB2312"/>
                <w:color w:val="000000"/>
                <w:sz w:val="20"/>
                <w:szCs w:val="20"/>
                <w:highlight w:val="none"/>
              </w:rPr>
            </w:pPr>
          </w:p>
        </w:tc>
        <w:tc>
          <w:tcPr>
            <w:tcW w:w="2158" w:type="dxa"/>
            <w:gridSpan w:val="2"/>
            <w:tcBorders>
              <w:top w:val="nil"/>
              <w:left w:val="nil"/>
              <w:bottom w:val="single" w:color="auto" w:sz="4" w:space="0"/>
              <w:right w:val="single" w:color="auto" w:sz="4" w:space="0"/>
            </w:tcBorders>
            <w:noWrap w:val="0"/>
            <w:vAlign w:val="center"/>
          </w:tcPr>
          <w:p w14:paraId="55E8208A">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000000"/>
                <w:sz w:val="20"/>
                <w:szCs w:val="20"/>
                <w:highlight w:val="none"/>
              </w:rPr>
              <w:t>年度资金总额</w:t>
            </w:r>
          </w:p>
        </w:tc>
        <w:tc>
          <w:tcPr>
            <w:tcW w:w="1622" w:type="dxa"/>
            <w:tcBorders>
              <w:top w:val="nil"/>
              <w:left w:val="nil"/>
              <w:bottom w:val="single" w:color="auto" w:sz="4" w:space="0"/>
              <w:right w:val="single" w:color="auto" w:sz="4" w:space="0"/>
            </w:tcBorders>
            <w:noWrap w:val="0"/>
            <w:vAlign w:val="center"/>
          </w:tcPr>
          <w:p w14:paraId="27E4D486">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465.75</w:t>
            </w:r>
          </w:p>
        </w:tc>
        <w:tc>
          <w:tcPr>
            <w:tcW w:w="1225" w:type="dxa"/>
            <w:tcBorders>
              <w:top w:val="nil"/>
              <w:left w:val="nil"/>
              <w:bottom w:val="single" w:color="auto" w:sz="4" w:space="0"/>
              <w:right w:val="single" w:color="auto" w:sz="4" w:space="0"/>
            </w:tcBorders>
            <w:noWrap w:val="0"/>
            <w:vAlign w:val="center"/>
          </w:tcPr>
          <w:p w14:paraId="73D24D5C">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1003.98</w:t>
            </w:r>
          </w:p>
        </w:tc>
        <w:tc>
          <w:tcPr>
            <w:tcW w:w="1273" w:type="dxa"/>
            <w:tcBorders>
              <w:top w:val="nil"/>
              <w:left w:val="nil"/>
              <w:bottom w:val="single" w:color="auto" w:sz="4" w:space="0"/>
              <w:right w:val="single" w:color="auto" w:sz="4" w:space="0"/>
            </w:tcBorders>
            <w:noWrap w:val="0"/>
            <w:vAlign w:val="center"/>
          </w:tcPr>
          <w:p w14:paraId="217B2C08">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924.23</w:t>
            </w:r>
          </w:p>
        </w:tc>
        <w:tc>
          <w:tcPr>
            <w:tcW w:w="596" w:type="dxa"/>
            <w:tcBorders>
              <w:top w:val="nil"/>
              <w:left w:val="nil"/>
              <w:bottom w:val="single" w:color="auto" w:sz="4" w:space="0"/>
              <w:right w:val="single" w:color="auto" w:sz="4" w:space="0"/>
            </w:tcBorders>
            <w:noWrap w:val="0"/>
            <w:vAlign w:val="center"/>
          </w:tcPr>
          <w:p w14:paraId="332CB753">
            <w:pPr>
              <w:spacing w:line="240" w:lineRule="exact"/>
              <w:jc w:val="center"/>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10</w:t>
            </w:r>
          </w:p>
        </w:tc>
        <w:tc>
          <w:tcPr>
            <w:tcW w:w="1039" w:type="dxa"/>
            <w:tcBorders>
              <w:top w:val="nil"/>
              <w:left w:val="nil"/>
              <w:bottom w:val="single" w:color="auto" w:sz="4" w:space="0"/>
              <w:right w:val="single" w:color="auto" w:sz="4" w:space="0"/>
            </w:tcBorders>
            <w:noWrap w:val="0"/>
            <w:vAlign w:val="center"/>
          </w:tcPr>
          <w:p w14:paraId="6BA62246">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92.06%</w:t>
            </w:r>
          </w:p>
        </w:tc>
        <w:tc>
          <w:tcPr>
            <w:tcW w:w="1168" w:type="dxa"/>
            <w:tcBorders>
              <w:top w:val="nil"/>
              <w:left w:val="nil"/>
              <w:bottom w:val="single" w:color="auto" w:sz="4" w:space="0"/>
              <w:right w:val="single" w:color="auto" w:sz="4" w:space="0"/>
            </w:tcBorders>
            <w:noWrap w:val="0"/>
            <w:vAlign w:val="center"/>
          </w:tcPr>
          <w:p w14:paraId="0B7D349C">
            <w:pPr>
              <w:spacing w:line="240" w:lineRule="exact"/>
              <w:jc w:val="center"/>
              <w:rPr>
                <w:rFonts w:hint="default" w:ascii="仿宋_GB2312" w:hAnsi="仿宋_GB2312" w:eastAsia="仿宋_GB2312" w:cs="仿宋_GB2312"/>
                <w:sz w:val="20"/>
                <w:szCs w:val="20"/>
                <w:highlight w:val="none"/>
                <w:lang w:val="en-US" w:eastAsia="zh-CN"/>
              </w:rPr>
            </w:pPr>
            <w:r>
              <w:rPr>
                <w:rFonts w:hint="eastAsia" w:ascii="仿宋_GB2312" w:hAnsi="仿宋_GB2312" w:eastAsia="仿宋_GB2312" w:cs="仿宋_GB2312"/>
                <w:sz w:val="20"/>
                <w:szCs w:val="20"/>
                <w:highlight w:val="none"/>
                <w:lang w:val="en-US" w:eastAsia="zh-CN"/>
              </w:rPr>
              <w:t>9.21</w:t>
            </w:r>
          </w:p>
        </w:tc>
      </w:tr>
      <w:tr w14:paraId="4BAB38A0">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03C7E143">
            <w:pPr>
              <w:widowControl/>
              <w:spacing w:line="240" w:lineRule="exact"/>
              <w:jc w:val="left"/>
              <w:rPr>
                <w:rFonts w:hint="eastAsia" w:ascii="仿宋_GB2312" w:hAnsi="仿宋_GB2312" w:eastAsia="仿宋_GB2312" w:cs="仿宋_GB2312"/>
                <w:color w:val="000000"/>
                <w:sz w:val="20"/>
                <w:szCs w:val="20"/>
                <w:highlight w:val="none"/>
              </w:rPr>
            </w:pPr>
          </w:p>
        </w:tc>
        <w:tc>
          <w:tcPr>
            <w:tcW w:w="5005" w:type="dxa"/>
            <w:gridSpan w:val="4"/>
            <w:tcBorders>
              <w:top w:val="nil"/>
              <w:left w:val="nil"/>
              <w:bottom w:val="single" w:color="auto" w:sz="4" w:space="0"/>
              <w:right w:val="single" w:color="auto" w:sz="4" w:space="0"/>
            </w:tcBorders>
            <w:noWrap w:val="0"/>
            <w:vAlign w:val="center"/>
          </w:tcPr>
          <w:p w14:paraId="3AD5C435">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按收入性质分：</w:t>
            </w:r>
          </w:p>
        </w:tc>
        <w:tc>
          <w:tcPr>
            <w:tcW w:w="4076" w:type="dxa"/>
            <w:gridSpan w:val="4"/>
            <w:tcBorders>
              <w:top w:val="nil"/>
              <w:left w:val="nil"/>
              <w:bottom w:val="single" w:color="auto" w:sz="4" w:space="0"/>
              <w:right w:val="single" w:color="auto" w:sz="4" w:space="0"/>
            </w:tcBorders>
            <w:noWrap w:val="0"/>
            <w:vAlign w:val="center"/>
          </w:tcPr>
          <w:p w14:paraId="07D36869">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按支出性质分：</w:t>
            </w:r>
          </w:p>
        </w:tc>
      </w:tr>
      <w:tr w14:paraId="071757A3">
        <w:tblPrEx>
          <w:tblCellMar>
            <w:top w:w="0" w:type="dxa"/>
            <w:left w:w="108" w:type="dxa"/>
            <w:bottom w:w="0" w:type="dxa"/>
            <w:right w:w="108" w:type="dxa"/>
          </w:tblCellMar>
        </w:tblPrEx>
        <w:trPr>
          <w:trHeight w:val="90" w:hRule="atLeast"/>
          <w:jc w:val="center"/>
        </w:trPr>
        <w:tc>
          <w:tcPr>
            <w:tcW w:w="998" w:type="dxa"/>
            <w:vMerge w:val="continue"/>
            <w:tcBorders>
              <w:left w:val="single" w:color="auto" w:sz="4" w:space="0"/>
              <w:right w:val="single" w:color="auto" w:sz="4" w:space="0"/>
            </w:tcBorders>
            <w:noWrap w:val="0"/>
            <w:vAlign w:val="center"/>
          </w:tcPr>
          <w:p w14:paraId="3BC4F622">
            <w:pPr>
              <w:widowControl/>
              <w:spacing w:line="240" w:lineRule="exact"/>
              <w:jc w:val="left"/>
              <w:rPr>
                <w:rFonts w:hint="eastAsia" w:ascii="仿宋_GB2312" w:hAnsi="仿宋_GB2312" w:eastAsia="仿宋_GB2312" w:cs="仿宋_GB2312"/>
                <w:color w:val="000000"/>
                <w:sz w:val="20"/>
                <w:szCs w:val="20"/>
                <w:highlight w:val="none"/>
              </w:rPr>
            </w:pPr>
          </w:p>
        </w:tc>
        <w:tc>
          <w:tcPr>
            <w:tcW w:w="5005" w:type="dxa"/>
            <w:gridSpan w:val="4"/>
            <w:tcBorders>
              <w:top w:val="nil"/>
              <w:left w:val="nil"/>
              <w:bottom w:val="single" w:color="auto" w:sz="4" w:space="0"/>
              <w:right w:val="single" w:color="auto" w:sz="4" w:space="0"/>
            </w:tcBorders>
            <w:noWrap w:val="0"/>
            <w:vAlign w:val="center"/>
          </w:tcPr>
          <w:p w14:paraId="0FF9F719">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xml:space="preserve">  其中：  一般公共预算：</w:t>
            </w:r>
            <w:r>
              <w:rPr>
                <w:rFonts w:hint="eastAsia" w:ascii="仿宋_GB2312" w:hAnsi="仿宋_GB2312" w:eastAsia="仿宋_GB2312" w:cs="仿宋_GB2312"/>
                <w:color w:val="000000"/>
                <w:sz w:val="20"/>
                <w:szCs w:val="20"/>
                <w:highlight w:val="none"/>
                <w:lang w:val="en-US" w:eastAsia="zh-CN"/>
              </w:rPr>
              <w:t>675.32</w:t>
            </w:r>
          </w:p>
        </w:tc>
        <w:tc>
          <w:tcPr>
            <w:tcW w:w="4076" w:type="dxa"/>
            <w:gridSpan w:val="4"/>
            <w:tcBorders>
              <w:top w:val="nil"/>
              <w:left w:val="nil"/>
              <w:bottom w:val="single" w:color="auto" w:sz="4" w:space="0"/>
              <w:right w:val="single" w:color="auto" w:sz="4" w:space="0"/>
            </w:tcBorders>
            <w:noWrap w:val="0"/>
            <w:vAlign w:val="center"/>
          </w:tcPr>
          <w:p w14:paraId="14D264FB">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其中：基本支出：</w:t>
            </w:r>
            <w:r>
              <w:rPr>
                <w:rFonts w:hint="eastAsia" w:ascii="仿宋_GB2312" w:hAnsi="仿宋_GB2312" w:eastAsia="仿宋_GB2312" w:cs="仿宋_GB2312"/>
                <w:color w:val="000000"/>
                <w:sz w:val="20"/>
                <w:szCs w:val="20"/>
                <w:highlight w:val="none"/>
                <w:lang w:val="en-US" w:eastAsia="zh-CN"/>
              </w:rPr>
              <w:t>525.27</w:t>
            </w:r>
          </w:p>
        </w:tc>
      </w:tr>
      <w:tr w14:paraId="1174AEF4">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1088773A">
            <w:pPr>
              <w:widowControl/>
              <w:spacing w:line="240" w:lineRule="exact"/>
              <w:jc w:val="left"/>
              <w:rPr>
                <w:rFonts w:hint="eastAsia" w:ascii="仿宋_GB2312" w:hAnsi="仿宋_GB2312" w:eastAsia="仿宋_GB2312" w:cs="仿宋_GB2312"/>
                <w:color w:val="000000"/>
                <w:sz w:val="20"/>
                <w:szCs w:val="20"/>
                <w:highlight w:val="none"/>
              </w:rPr>
            </w:pPr>
          </w:p>
        </w:tc>
        <w:tc>
          <w:tcPr>
            <w:tcW w:w="5005" w:type="dxa"/>
            <w:gridSpan w:val="4"/>
            <w:tcBorders>
              <w:top w:val="nil"/>
              <w:left w:val="nil"/>
              <w:bottom w:val="single" w:color="auto" w:sz="4" w:space="0"/>
              <w:right w:val="single" w:color="auto" w:sz="4" w:space="0"/>
            </w:tcBorders>
            <w:noWrap w:val="0"/>
            <w:vAlign w:val="center"/>
          </w:tcPr>
          <w:p w14:paraId="51F41EF7">
            <w:pPr>
              <w:widowControl/>
              <w:spacing w:line="240" w:lineRule="exact"/>
              <w:ind w:firstLine="800" w:firstLineChars="400"/>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政府性基金拨款：</w:t>
            </w:r>
          </w:p>
        </w:tc>
        <w:tc>
          <w:tcPr>
            <w:tcW w:w="4076" w:type="dxa"/>
            <w:gridSpan w:val="4"/>
            <w:tcBorders>
              <w:top w:val="nil"/>
              <w:left w:val="nil"/>
              <w:bottom w:val="single" w:color="auto" w:sz="4" w:space="0"/>
              <w:right w:val="single" w:color="auto" w:sz="4" w:space="0"/>
            </w:tcBorders>
            <w:noWrap w:val="0"/>
            <w:vAlign w:val="center"/>
          </w:tcPr>
          <w:p w14:paraId="07987DF8">
            <w:pPr>
              <w:widowControl/>
              <w:spacing w:line="240" w:lineRule="exact"/>
              <w:ind w:firstLine="600" w:firstLineChars="300"/>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项目支出：</w:t>
            </w:r>
            <w:r>
              <w:rPr>
                <w:rFonts w:hint="eastAsia" w:ascii="仿宋_GB2312" w:hAnsi="仿宋_GB2312" w:eastAsia="仿宋_GB2312" w:cs="仿宋_GB2312"/>
                <w:color w:val="000000"/>
                <w:sz w:val="20"/>
                <w:szCs w:val="20"/>
                <w:highlight w:val="none"/>
                <w:lang w:val="en-US" w:eastAsia="zh-CN"/>
              </w:rPr>
              <w:t>398.65</w:t>
            </w:r>
          </w:p>
        </w:tc>
      </w:tr>
      <w:tr w14:paraId="262CA30E">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6B8DC817">
            <w:pPr>
              <w:widowControl/>
              <w:spacing w:line="240" w:lineRule="exact"/>
              <w:jc w:val="left"/>
              <w:rPr>
                <w:rFonts w:hint="eastAsia" w:ascii="仿宋_GB2312" w:hAnsi="仿宋_GB2312" w:eastAsia="仿宋_GB2312" w:cs="仿宋_GB2312"/>
                <w:color w:val="000000"/>
                <w:sz w:val="20"/>
                <w:szCs w:val="20"/>
                <w:highlight w:val="none"/>
              </w:rPr>
            </w:pPr>
          </w:p>
        </w:tc>
        <w:tc>
          <w:tcPr>
            <w:tcW w:w="5005" w:type="dxa"/>
            <w:gridSpan w:val="4"/>
            <w:tcBorders>
              <w:top w:val="nil"/>
              <w:left w:val="nil"/>
              <w:bottom w:val="single" w:color="auto" w:sz="4" w:space="0"/>
              <w:right w:val="single" w:color="auto" w:sz="4" w:space="0"/>
            </w:tcBorders>
            <w:noWrap w:val="0"/>
            <w:vAlign w:val="center"/>
          </w:tcPr>
          <w:p w14:paraId="76435F49">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纳入专户管理的非税收入拨款：</w:t>
            </w:r>
          </w:p>
        </w:tc>
        <w:tc>
          <w:tcPr>
            <w:tcW w:w="4076" w:type="dxa"/>
            <w:gridSpan w:val="4"/>
            <w:tcBorders>
              <w:top w:val="nil"/>
              <w:left w:val="nil"/>
              <w:bottom w:val="single" w:color="auto" w:sz="4" w:space="0"/>
              <w:right w:val="single" w:color="auto" w:sz="4" w:space="0"/>
            </w:tcBorders>
            <w:noWrap w:val="0"/>
            <w:vAlign w:val="center"/>
          </w:tcPr>
          <w:p w14:paraId="029EF475">
            <w:pPr>
              <w:widowControl/>
              <w:spacing w:line="240" w:lineRule="exact"/>
              <w:jc w:val="left"/>
              <w:rPr>
                <w:rFonts w:hint="eastAsia" w:ascii="仿宋_GB2312" w:hAnsi="仿宋_GB2312" w:eastAsia="仿宋_GB2312" w:cs="仿宋_GB2312"/>
                <w:color w:val="000000"/>
                <w:sz w:val="20"/>
                <w:szCs w:val="20"/>
                <w:highlight w:val="none"/>
              </w:rPr>
            </w:pPr>
          </w:p>
        </w:tc>
      </w:tr>
      <w:tr w14:paraId="2580FF2D">
        <w:tblPrEx>
          <w:tblCellMar>
            <w:top w:w="0" w:type="dxa"/>
            <w:left w:w="108" w:type="dxa"/>
            <w:bottom w:w="0" w:type="dxa"/>
            <w:right w:w="108" w:type="dxa"/>
          </w:tblCellMar>
        </w:tblPrEx>
        <w:trPr>
          <w:jc w:val="center"/>
        </w:trPr>
        <w:tc>
          <w:tcPr>
            <w:tcW w:w="998" w:type="dxa"/>
            <w:vMerge w:val="continue"/>
            <w:tcBorders>
              <w:left w:val="single" w:color="auto" w:sz="4" w:space="0"/>
              <w:bottom w:val="single" w:color="000000" w:sz="4" w:space="0"/>
              <w:right w:val="single" w:color="auto" w:sz="4" w:space="0"/>
            </w:tcBorders>
            <w:noWrap w:val="0"/>
            <w:vAlign w:val="center"/>
          </w:tcPr>
          <w:p w14:paraId="2F0C6F66">
            <w:pPr>
              <w:widowControl/>
              <w:spacing w:line="240" w:lineRule="exact"/>
              <w:jc w:val="left"/>
              <w:rPr>
                <w:rFonts w:hint="eastAsia" w:ascii="仿宋_GB2312" w:hAnsi="仿宋_GB2312" w:eastAsia="仿宋_GB2312" w:cs="仿宋_GB2312"/>
                <w:color w:val="000000"/>
                <w:sz w:val="20"/>
                <w:szCs w:val="20"/>
                <w:highlight w:val="none"/>
              </w:rPr>
            </w:pPr>
          </w:p>
        </w:tc>
        <w:tc>
          <w:tcPr>
            <w:tcW w:w="5005" w:type="dxa"/>
            <w:gridSpan w:val="4"/>
            <w:tcBorders>
              <w:top w:val="nil"/>
              <w:left w:val="nil"/>
              <w:bottom w:val="single" w:color="auto" w:sz="4" w:space="0"/>
              <w:right w:val="single" w:color="auto" w:sz="4" w:space="0"/>
            </w:tcBorders>
            <w:noWrap w:val="0"/>
            <w:vAlign w:val="center"/>
          </w:tcPr>
          <w:p w14:paraId="7D55F30F">
            <w:pPr>
              <w:widowControl/>
              <w:spacing w:line="240" w:lineRule="exact"/>
              <w:ind w:firstLine="1400" w:firstLineChars="700"/>
              <w:jc w:val="left"/>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rPr>
              <w:t>其他资金：</w:t>
            </w:r>
            <w:r>
              <w:rPr>
                <w:rFonts w:hint="eastAsia" w:ascii="仿宋_GB2312" w:hAnsi="仿宋_GB2312" w:eastAsia="仿宋_GB2312" w:cs="仿宋_GB2312"/>
                <w:color w:val="000000"/>
                <w:sz w:val="20"/>
                <w:szCs w:val="20"/>
                <w:highlight w:val="none"/>
                <w:lang w:val="en-US" w:eastAsia="zh-CN"/>
              </w:rPr>
              <w:t>294.61</w:t>
            </w:r>
          </w:p>
        </w:tc>
        <w:tc>
          <w:tcPr>
            <w:tcW w:w="4076" w:type="dxa"/>
            <w:gridSpan w:val="4"/>
            <w:tcBorders>
              <w:top w:val="nil"/>
              <w:left w:val="nil"/>
              <w:bottom w:val="single" w:color="auto" w:sz="4" w:space="0"/>
              <w:right w:val="single" w:color="auto" w:sz="4" w:space="0"/>
            </w:tcBorders>
            <w:noWrap w:val="0"/>
            <w:vAlign w:val="center"/>
          </w:tcPr>
          <w:p w14:paraId="3E481228">
            <w:pPr>
              <w:widowControl/>
              <w:spacing w:line="240" w:lineRule="exact"/>
              <w:jc w:val="left"/>
              <w:rPr>
                <w:rFonts w:hint="eastAsia" w:ascii="仿宋_GB2312" w:hAnsi="仿宋_GB2312" w:eastAsia="仿宋_GB2312" w:cs="仿宋_GB2312"/>
                <w:color w:val="000000"/>
                <w:sz w:val="20"/>
                <w:szCs w:val="20"/>
                <w:highlight w:val="none"/>
              </w:rPr>
            </w:pPr>
          </w:p>
        </w:tc>
      </w:tr>
      <w:tr w14:paraId="5064559D">
        <w:tblPrEx>
          <w:tblCellMar>
            <w:top w:w="0" w:type="dxa"/>
            <w:left w:w="108" w:type="dxa"/>
            <w:bottom w:w="0" w:type="dxa"/>
            <w:right w:w="108" w:type="dxa"/>
          </w:tblCellMar>
        </w:tblPrEx>
        <w:trPr>
          <w:jc w:val="center"/>
        </w:trPr>
        <w:tc>
          <w:tcPr>
            <w:tcW w:w="998" w:type="dxa"/>
            <w:vMerge w:val="restart"/>
            <w:tcBorders>
              <w:top w:val="nil"/>
              <w:left w:val="single" w:color="auto" w:sz="4" w:space="0"/>
              <w:bottom w:val="single" w:color="000000" w:sz="4" w:space="0"/>
              <w:right w:val="single" w:color="auto" w:sz="4" w:space="0"/>
            </w:tcBorders>
            <w:noWrap w:val="0"/>
            <w:vAlign w:val="center"/>
          </w:tcPr>
          <w:p w14:paraId="14BEFCE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5005" w:type="dxa"/>
            <w:gridSpan w:val="4"/>
            <w:tcBorders>
              <w:top w:val="single" w:color="auto" w:sz="4" w:space="0"/>
              <w:left w:val="nil"/>
              <w:bottom w:val="single" w:color="auto" w:sz="4" w:space="0"/>
              <w:right w:val="single" w:color="000000" w:sz="4" w:space="0"/>
            </w:tcBorders>
            <w:noWrap w:val="0"/>
            <w:vAlign w:val="center"/>
          </w:tcPr>
          <w:p w14:paraId="54D010D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076" w:type="dxa"/>
            <w:gridSpan w:val="4"/>
            <w:tcBorders>
              <w:top w:val="single" w:color="auto" w:sz="4" w:space="0"/>
              <w:left w:val="nil"/>
              <w:bottom w:val="single" w:color="auto" w:sz="4" w:space="0"/>
              <w:right w:val="single" w:color="auto" w:sz="4" w:space="0"/>
            </w:tcBorders>
            <w:noWrap w:val="0"/>
            <w:vAlign w:val="center"/>
          </w:tcPr>
          <w:p w14:paraId="73495C8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2D44AA90">
        <w:tblPrEx>
          <w:tblCellMar>
            <w:top w:w="0" w:type="dxa"/>
            <w:left w:w="108" w:type="dxa"/>
            <w:bottom w:w="0" w:type="dxa"/>
            <w:right w:w="108" w:type="dxa"/>
          </w:tblCellMar>
        </w:tblPrEx>
        <w:trPr>
          <w:trHeight w:val="1076" w:hRule="atLeast"/>
          <w:jc w:val="center"/>
        </w:trPr>
        <w:tc>
          <w:tcPr>
            <w:tcW w:w="998" w:type="dxa"/>
            <w:vMerge w:val="continue"/>
            <w:tcBorders>
              <w:top w:val="nil"/>
              <w:left w:val="single" w:color="auto" w:sz="4" w:space="0"/>
              <w:bottom w:val="single" w:color="000000" w:sz="4" w:space="0"/>
              <w:right w:val="single" w:color="auto" w:sz="4" w:space="0"/>
            </w:tcBorders>
            <w:noWrap w:val="0"/>
            <w:vAlign w:val="center"/>
          </w:tcPr>
          <w:p w14:paraId="0C7820B8">
            <w:pPr>
              <w:widowControl/>
              <w:spacing w:line="240" w:lineRule="exact"/>
              <w:jc w:val="left"/>
              <w:rPr>
                <w:rFonts w:hint="eastAsia" w:ascii="仿宋_GB2312" w:hAnsi="仿宋_GB2312" w:eastAsia="仿宋_GB2312" w:cs="仿宋_GB2312"/>
                <w:color w:val="000000"/>
                <w:sz w:val="20"/>
                <w:szCs w:val="20"/>
                <w:highlight w:val="none"/>
              </w:rPr>
            </w:pPr>
          </w:p>
        </w:tc>
        <w:tc>
          <w:tcPr>
            <w:tcW w:w="5005" w:type="dxa"/>
            <w:gridSpan w:val="4"/>
            <w:tcBorders>
              <w:top w:val="single" w:color="auto" w:sz="4" w:space="0"/>
              <w:left w:val="nil"/>
              <w:bottom w:val="single" w:color="auto" w:sz="4" w:space="0"/>
              <w:right w:val="single" w:color="000000" w:sz="4" w:space="0"/>
            </w:tcBorders>
            <w:noWrap w:val="0"/>
            <w:vAlign w:val="center"/>
          </w:tcPr>
          <w:p w14:paraId="4234F39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紧盯问题重点，持续抓好整销号；2、狠抓源头治理，聚力打好水质攻坚战；3、多举措全领域，强力打好蓝天保卫战；4、强化执法监管，防范生态污染事故；5、落实“双随机、一公开”日常执法规范有序，其他工作稳步开展。</w:t>
            </w:r>
          </w:p>
        </w:tc>
        <w:tc>
          <w:tcPr>
            <w:tcW w:w="4076" w:type="dxa"/>
            <w:gridSpan w:val="4"/>
            <w:tcBorders>
              <w:top w:val="single" w:color="auto" w:sz="4" w:space="0"/>
              <w:left w:val="nil"/>
              <w:bottom w:val="single" w:color="auto" w:sz="4" w:space="0"/>
              <w:right w:val="single" w:color="auto" w:sz="4" w:space="0"/>
            </w:tcBorders>
            <w:noWrap w:val="0"/>
            <w:vAlign w:val="center"/>
          </w:tcPr>
          <w:p w14:paraId="3905926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已</w:t>
            </w:r>
            <w:r>
              <w:rPr>
                <w:rFonts w:hint="eastAsia" w:ascii="仿宋_GB2312" w:hAnsi="仿宋_GB2312" w:eastAsia="仿宋_GB2312" w:cs="仿宋_GB2312"/>
                <w:color w:val="000000"/>
                <w:sz w:val="20"/>
                <w:szCs w:val="20"/>
                <w:highlight w:val="none"/>
                <w:lang w:val="en-US" w:eastAsia="zh-CN"/>
              </w:rPr>
              <w:t>完成100%</w:t>
            </w:r>
          </w:p>
        </w:tc>
      </w:tr>
      <w:tr w14:paraId="1E2C1431">
        <w:tblPrEx>
          <w:tblCellMar>
            <w:top w:w="0" w:type="dxa"/>
            <w:left w:w="108" w:type="dxa"/>
            <w:bottom w:w="0" w:type="dxa"/>
            <w:right w:w="108" w:type="dxa"/>
          </w:tblCellMar>
        </w:tblPrEx>
        <w:trPr>
          <w:trHeight w:val="551" w:hRule="atLeast"/>
          <w:jc w:val="center"/>
        </w:trPr>
        <w:tc>
          <w:tcPr>
            <w:tcW w:w="998" w:type="dxa"/>
            <w:vMerge w:val="restart"/>
            <w:tcBorders>
              <w:top w:val="nil"/>
              <w:left w:val="single" w:color="auto" w:sz="4" w:space="0"/>
              <w:right w:val="single" w:color="auto" w:sz="4" w:space="0"/>
            </w:tcBorders>
            <w:noWrap w:val="0"/>
            <w:vAlign w:val="center"/>
          </w:tcPr>
          <w:p w14:paraId="5B888EC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4452D09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4C20723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50ADAD5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p w14:paraId="055F21A0">
            <w:pPr>
              <w:widowControl/>
              <w:spacing w:line="240" w:lineRule="exact"/>
              <w:jc w:val="center"/>
              <w:rPr>
                <w:rFonts w:hint="eastAsia" w:ascii="仿宋_GB2312" w:hAnsi="仿宋_GB2312" w:eastAsia="仿宋_GB2312" w:cs="仿宋_GB2312"/>
                <w:color w:val="000000"/>
                <w:sz w:val="20"/>
                <w:szCs w:val="20"/>
                <w:highlight w:val="none"/>
              </w:rPr>
            </w:pPr>
          </w:p>
        </w:tc>
        <w:tc>
          <w:tcPr>
            <w:tcW w:w="1095" w:type="dxa"/>
            <w:tcBorders>
              <w:top w:val="nil"/>
              <w:left w:val="nil"/>
              <w:bottom w:val="single" w:color="auto" w:sz="4" w:space="0"/>
              <w:right w:val="single" w:color="auto" w:sz="4" w:space="0"/>
            </w:tcBorders>
            <w:noWrap w:val="0"/>
            <w:vAlign w:val="center"/>
          </w:tcPr>
          <w:p w14:paraId="7074B89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63" w:type="dxa"/>
            <w:tcBorders>
              <w:top w:val="nil"/>
              <w:left w:val="nil"/>
              <w:bottom w:val="single" w:color="auto" w:sz="4" w:space="0"/>
              <w:right w:val="single" w:color="auto" w:sz="4" w:space="0"/>
            </w:tcBorders>
            <w:noWrap w:val="0"/>
            <w:vAlign w:val="center"/>
          </w:tcPr>
          <w:p w14:paraId="7959DCB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622" w:type="dxa"/>
            <w:tcBorders>
              <w:top w:val="nil"/>
              <w:left w:val="nil"/>
              <w:bottom w:val="single" w:color="auto" w:sz="4" w:space="0"/>
              <w:right w:val="single" w:color="auto" w:sz="4" w:space="0"/>
            </w:tcBorders>
            <w:noWrap w:val="0"/>
            <w:vAlign w:val="center"/>
          </w:tcPr>
          <w:p w14:paraId="300890E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225" w:type="dxa"/>
            <w:tcBorders>
              <w:top w:val="nil"/>
              <w:left w:val="nil"/>
              <w:bottom w:val="single" w:color="auto" w:sz="4" w:space="0"/>
              <w:right w:val="single" w:color="auto" w:sz="4" w:space="0"/>
            </w:tcBorders>
            <w:noWrap w:val="0"/>
            <w:vAlign w:val="center"/>
          </w:tcPr>
          <w:p w14:paraId="227622E3">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年度指标值</w:t>
            </w:r>
          </w:p>
        </w:tc>
        <w:tc>
          <w:tcPr>
            <w:tcW w:w="1273" w:type="dxa"/>
            <w:tcBorders>
              <w:top w:val="nil"/>
              <w:left w:val="nil"/>
              <w:bottom w:val="single" w:color="auto" w:sz="4" w:space="0"/>
              <w:right w:val="single" w:color="auto" w:sz="4" w:space="0"/>
            </w:tcBorders>
            <w:noWrap w:val="0"/>
            <w:vAlign w:val="center"/>
          </w:tcPr>
          <w:p w14:paraId="130C6D5B">
            <w:pPr>
              <w:widowControl/>
              <w:spacing w:line="240" w:lineRule="exac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实际完成值</w:t>
            </w:r>
          </w:p>
        </w:tc>
        <w:tc>
          <w:tcPr>
            <w:tcW w:w="596" w:type="dxa"/>
            <w:tcBorders>
              <w:top w:val="nil"/>
              <w:left w:val="nil"/>
              <w:bottom w:val="single" w:color="auto" w:sz="4" w:space="0"/>
              <w:right w:val="single" w:color="auto" w:sz="4" w:space="0"/>
            </w:tcBorders>
            <w:noWrap w:val="0"/>
            <w:vAlign w:val="center"/>
          </w:tcPr>
          <w:p w14:paraId="5EC7B1A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1039" w:type="dxa"/>
            <w:tcBorders>
              <w:top w:val="nil"/>
              <w:left w:val="nil"/>
              <w:bottom w:val="single" w:color="auto" w:sz="4" w:space="0"/>
              <w:right w:val="single" w:color="auto" w:sz="4" w:space="0"/>
            </w:tcBorders>
            <w:noWrap w:val="0"/>
            <w:vAlign w:val="center"/>
          </w:tcPr>
          <w:p w14:paraId="46A8C0D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168" w:type="dxa"/>
            <w:tcBorders>
              <w:top w:val="nil"/>
              <w:left w:val="nil"/>
              <w:bottom w:val="single" w:color="auto" w:sz="4" w:space="0"/>
              <w:right w:val="single" w:color="auto" w:sz="4" w:space="0"/>
            </w:tcBorders>
            <w:noWrap w:val="0"/>
            <w:vAlign w:val="center"/>
          </w:tcPr>
          <w:p w14:paraId="5372F293">
            <w:pPr>
              <w:widowControl/>
              <w:spacing w:line="240" w:lineRule="exact"/>
              <w:jc w:val="both"/>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12644442">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3D724438">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restart"/>
            <w:tcBorders>
              <w:top w:val="nil"/>
              <w:left w:val="nil"/>
              <w:right w:val="single" w:color="auto" w:sz="4" w:space="0"/>
            </w:tcBorders>
            <w:noWrap w:val="0"/>
            <w:vAlign w:val="center"/>
          </w:tcPr>
          <w:p w14:paraId="298CFAB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20069182">
            <w:pPr>
              <w:widowControl/>
              <w:spacing w:line="240" w:lineRule="exact"/>
              <w:jc w:val="center"/>
              <w:rPr>
                <w:rFonts w:hint="eastAsia" w:ascii="仿宋_GB2312" w:hAnsi="仿宋_GB2312" w:eastAsia="仿宋_GB2312" w:cs="仿宋_GB2312"/>
                <w:color w:val="000000"/>
                <w:sz w:val="20"/>
                <w:szCs w:val="20"/>
                <w:highlight w:val="none"/>
              </w:rPr>
            </w:pPr>
          </w:p>
          <w:p w14:paraId="43E19F3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63" w:type="dxa"/>
            <w:vMerge w:val="restart"/>
            <w:tcBorders>
              <w:top w:val="nil"/>
              <w:left w:val="nil"/>
              <w:right w:val="single" w:color="auto" w:sz="4" w:space="0"/>
            </w:tcBorders>
            <w:noWrap w:val="0"/>
            <w:vAlign w:val="center"/>
          </w:tcPr>
          <w:p w14:paraId="1C68CFF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622" w:type="dxa"/>
            <w:tcBorders>
              <w:top w:val="nil"/>
              <w:left w:val="nil"/>
              <w:bottom w:val="single" w:color="auto" w:sz="4" w:space="0"/>
              <w:right w:val="single" w:color="auto" w:sz="4" w:space="0"/>
            </w:tcBorders>
            <w:noWrap w:val="0"/>
            <w:vAlign w:val="center"/>
          </w:tcPr>
          <w:p w14:paraId="3FBFDB67">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对</w:t>
            </w:r>
            <w:r>
              <w:rPr>
                <w:rFonts w:hint="eastAsia" w:ascii="仿宋_GB2312" w:hAnsi="仿宋_GB2312" w:eastAsia="仿宋_GB2312" w:cs="仿宋_GB2312"/>
                <w:color w:val="000000"/>
                <w:sz w:val="20"/>
                <w:szCs w:val="20"/>
                <w:highlight w:val="none"/>
              </w:rPr>
              <w:t>柴油货车开展路检路查检查</w:t>
            </w:r>
          </w:p>
        </w:tc>
        <w:tc>
          <w:tcPr>
            <w:tcW w:w="1225" w:type="dxa"/>
            <w:tcBorders>
              <w:top w:val="nil"/>
              <w:left w:val="nil"/>
              <w:bottom w:val="single" w:color="auto" w:sz="4" w:space="0"/>
              <w:right w:val="single" w:color="auto" w:sz="4" w:space="0"/>
            </w:tcBorders>
            <w:noWrap w:val="0"/>
            <w:vAlign w:val="center"/>
          </w:tcPr>
          <w:p w14:paraId="0068623A">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94台</w:t>
            </w:r>
          </w:p>
        </w:tc>
        <w:tc>
          <w:tcPr>
            <w:tcW w:w="1273" w:type="dxa"/>
            <w:tcBorders>
              <w:top w:val="nil"/>
              <w:left w:val="nil"/>
              <w:bottom w:val="single" w:color="auto" w:sz="4" w:space="0"/>
              <w:right w:val="single" w:color="auto" w:sz="4" w:space="0"/>
            </w:tcBorders>
            <w:noWrap w:val="0"/>
            <w:vAlign w:val="center"/>
          </w:tcPr>
          <w:p w14:paraId="5354F096">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94台</w:t>
            </w:r>
          </w:p>
        </w:tc>
        <w:tc>
          <w:tcPr>
            <w:tcW w:w="596" w:type="dxa"/>
            <w:tcBorders>
              <w:top w:val="nil"/>
              <w:left w:val="nil"/>
              <w:bottom w:val="single" w:color="auto" w:sz="4" w:space="0"/>
              <w:right w:val="single" w:color="auto" w:sz="4" w:space="0"/>
            </w:tcBorders>
            <w:noWrap w:val="0"/>
            <w:vAlign w:val="center"/>
          </w:tcPr>
          <w:p w14:paraId="4527A519">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nil"/>
              <w:left w:val="nil"/>
              <w:bottom w:val="single" w:color="auto" w:sz="4" w:space="0"/>
              <w:right w:val="single" w:color="auto" w:sz="4" w:space="0"/>
            </w:tcBorders>
            <w:noWrap w:val="0"/>
            <w:vAlign w:val="center"/>
          </w:tcPr>
          <w:p w14:paraId="244A6AB9">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nil"/>
              <w:left w:val="nil"/>
              <w:bottom w:val="single" w:color="auto" w:sz="4" w:space="0"/>
              <w:right w:val="single" w:color="auto" w:sz="4" w:space="0"/>
            </w:tcBorders>
            <w:noWrap w:val="0"/>
            <w:vAlign w:val="center"/>
          </w:tcPr>
          <w:p w14:paraId="094EEC3C">
            <w:pPr>
              <w:widowControl/>
              <w:spacing w:line="240" w:lineRule="exact"/>
              <w:jc w:val="center"/>
              <w:rPr>
                <w:rFonts w:hint="eastAsia" w:ascii="仿宋_GB2312" w:hAnsi="仿宋_GB2312" w:eastAsia="仿宋_GB2312" w:cs="仿宋_GB2312"/>
                <w:color w:val="000000"/>
                <w:sz w:val="20"/>
                <w:szCs w:val="20"/>
                <w:highlight w:val="none"/>
              </w:rPr>
            </w:pPr>
          </w:p>
        </w:tc>
      </w:tr>
      <w:tr w14:paraId="35103247">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3CF63331">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left w:val="nil"/>
              <w:right w:val="single" w:color="auto" w:sz="4" w:space="0"/>
            </w:tcBorders>
            <w:noWrap w:val="0"/>
            <w:vAlign w:val="center"/>
          </w:tcPr>
          <w:p w14:paraId="302085B6">
            <w:pPr>
              <w:spacing w:line="240" w:lineRule="exact"/>
              <w:jc w:val="left"/>
              <w:rPr>
                <w:rFonts w:hint="eastAsia" w:ascii="仿宋_GB2312" w:hAnsi="仿宋_GB2312" w:eastAsia="仿宋_GB2312" w:cs="仿宋_GB2312"/>
                <w:color w:val="000000"/>
                <w:sz w:val="20"/>
                <w:szCs w:val="20"/>
                <w:highlight w:val="none"/>
              </w:rPr>
            </w:pPr>
          </w:p>
        </w:tc>
        <w:tc>
          <w:tcPr>
            <w:tcW w:w="1063" w:type="dxa"/>
            <w:vMerge w:val="continue"/>
            <w:tcBorders>
              <w:left w:val="nil"/>
              <w:right w:val="single" w:color="auto" w:sz="4" w:space="0"/>
            </w:tcBorders>
            <w:noWrap w:val="0"/>
            <w:vAlign w:val="center"/>
          </w:tcPr>
          <w:p w14:paraId="20AA95AD">
            <w:pPr>
              <w:spacing w:line="240" w:lineRule="exact"/>
              <w:jc w:val="center"/>
              <w:rPr>
                <w:rFonts w:hint="eastAsia" w:ascii="仿宋_GB2312" w:hAnsi="仿宋_GB2312" w:eastAsia="仿宋_GB2312" w:cs="仿宋_GB2312"/>
                <w:color w:val="000000"/>
                <w:sz w:val="20"/>
                <w:szCs w:val="20"/>
                <w:highlight w:val="none"/>
              </w:rPr>
            </w:pPr>
          </w:p>
        </w:tc>
        <w:tc>
          <w:tcPr>
            <w:tcW w:w="1622" w:type="dxa"/>
            <w:tcBorders>
              <w:top w:val="nil"/>
              <w:left w:val="nil"/>
              <w:bottom w:val="single" w:color="auto" w:sz="4" w:space="0"/>
              <w:right w:val="single" w:color="auto" w:sz="4" w:space="0"/>
            </w:tcBorders>
            <w:noWrap w:val="0"/>
            <w:vAlign w:val="center"/>
          </w:tcPr>
          <w:p w14:paraId="23F61C6A">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受理各类环境信访件</w:t>
            </w:r>
            <w:r>
              <w:rPr>
                <w:rFonts w:hint="eastAsia" w:ascii="仿宋_GB2312" w:hAnsi="仿宋_GB2312" w:eastAsia="仿宋_GB2312" w:cs="仿宋_GB2312"/>
                <w:color w:val="000000"/>
                <w:sz w:val="20"/>
                <w:szCs w:val="20"/>
                <w:highlight w:val="none"/>
                <w:lang w:eastAsia="zh-CN"/>
              </w:rPr>
              <w:t>办结</w:t>
            </w:r>
          </w:p>
        </w:tc>
        <w:tc>
          <w:tcPr>
            <w:tcW w:w="1225" w:type="dxa"/>
            <w:tcBorders>
              <w:top w:val="nil"/>
              <w:left w:val="nil"/>
              <w:bottom w:val="single" w:color="auto" w:sz="4" w:space="0"/>
              <w:right w:val="single" w:color="auto" w:sz="4" w:space="0"/>
            </w:tcBorders>
            <w:noWrap w:val="0"/>
            <w:vAlign w:val="center"/>
          </w:tcPr>
          <w:p w14:paraId="0A5B6C82">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96件</w:t>
            </w:r>
          </w:p>
        </w:tc>
        <w:tc>
          <w:tcPr>
            <w:tcW w:w="1273" w:type="dxa"/>
            <w:tcBorders>
              <w:top w:val="nil"/>
              <w:left w:val="nil"/>
              <w:bottom w:val="single" w:color="auto" w:sz="4" w:space="0"/>
              <w:right w:val="single" w:color="auto" w:sz="4" w:space="0"/>
            </w:tcBorders>
            <w:noWrap w:val="0"/>
            <w:vAlign w:val="center"/>
          </w:tcPr>
          <w:p w14:paraId="04FC5D9F">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96件</w:t>
            </w:r>
          </w:p>
        </w:tc>
        <w:tc>
          <w:tcPr>
            <w:tcW w:w="596" w:type="dxa"/>
            <w:tcBorders>
              <w:top w:val="nil"/>
              <w:left w:val="nil"/>
              <w:bottom w:val="single" w:color="auto" w:sz="4" w:space="0"/>
              <w:right w:val="single" w:color="auto" w:sz="4" w:space="0"/>
            </w:tcBorders>
            <w:noWrap w:val="0"/>
            <w:vAlign w:val="center"/>
          </w:tcPr>
          <w:p w14:paraId="462C9D5E">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nil"/>
              <w:left w:val="nil"/>
              <w:bottom w:val="single" w:color="auto" w:sz="4" w:space="0"/>
              <w:right w:val="single" w:color="auto" w:sz="4" w:space="0"/>
            </w:tcBorders>
            <w:noWrap w:val="0"/>
            <w:vAlign w:val="center"/>
          </w:tcPr>
          <w:p w14:paraId="6ED4E024">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nil"/>
              <w:left w:val="nil"/>
              <w:bottom w:val="single" w:color="auto" w:sz="4" w:space="0"/>
              <w:right w:val="single" w:color="auto" w:sz="4" w:space="0"/>
            </w:tcBorders>
            <w:noWrap w:val="0"/>
            <w:vAlign w:val="center"/>
          </w:tcPr>
          <w:p w14:paraId="1FACF8C1">
            <w:pPr>
              <w:widowControl/>
              <w:spacing w:line="240" w:lineRule="exact"/>
              <w:jc w:val="center"/>
              <w:rPr>
                <w:rFonts w:hint="eastAsia" w:ascii="仿宋_GB2312" w:hAnsi="仿宋_GB2312" w:eastAsia="仿宋_GB2312" w:cs="仿宋_GB2312"/>
                <w:color w:val="000000"/>
                <w:sz w:val="20"/>
                <w:szCs w:val="20"/>
                <w:highlight w:val="none"/>
              </w:rPr>
            </w:pPr>
          </w:p>
        </w:tc>
      </w:tr>
      <w:tr w14:paraId="312A5CFD">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1F00D647">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left w:val="nil"/>
              <w:right w:val="single" w:color="auto" w:sz="4" w:space="0"/>
            </w:tcBorders>
            <w:noWrap w:val="0"/>
            <w:vAlign w:val="center"/>
          </w:tcPr>
          <w:p w14:paraId="010434CA">
            <w:pPr>
              <w:spacing w:line="240" w:lineRule="exact"/>
              <w:jc w:val="left"/>
              <w:rPr>
                <w:rFonts w:hint="eastAsia" w:ascii="仿宋_GB2312" w:hAnsi="仿宋_GB2312" w:eastAsia="仿宋_GB2312" w:cs="仿宋_GB2312"/>
                <w:color w:val="000000"/>
                <w:sz w:val="20"/>
                <w:szCs w:val="20"/>
                <w:highlight w:val="none"/>
              </w:rPr>
            </w:pPr>
          </w:p>
        </w:tc>
        <w:tc>
          <w:tcPr>
            <w:tcW w:w="1063" w:type="dxa"/>
            <w:vMerge w:val="continue"/>
            <w:tcBorders>
              <w:left w:val="nil"/>
              <w:bottom w:val="single" w:color="auto" w:sz="4" w:space="0"/>
              <w:right w:val="single" w:color="auto" w:sz="4" w:space="0"/>
            </w:tcBorders>
            <w:noWrap w:val="0"/>
            <w:vAlign w:val="center"/>
          </w:tcPr>
          <w:p w14:paraId="50F21240">
            <w:pPr>
              <w:widowControl/>
              <w:spacing w:line="240" w:lineRule="exact"/>
              <w:jc w:val="center"/>
              <w:rPr>
                <w:rFonts w:hint="eastAsia" w:ascii="仿宋_GB2312" w:hAnsi="仿宋_GB2312" w:eastAsia="仿宋_GB2312" w:cs="仿宋_GB2312"/>
                <w:color w:val="000000"/>
                <w:sz w:val="20"/>
                <w:szCs w:val="20"/>
                <w:highlight w:val="none"/>
              </w:rPr>
            </w:pPr>
          </w:p>
        </w:tc>
        <w:tc>
          <w:tcPr>
            <w:tcW w:w="1622" w:type="dxa"/>
            <w:tcBorders>
              <w:top w:val="nil"/>
              <w:left w:val="nil"/>
              <w:bottom w:val="single" w:color="auto" w:sz="4" w:space="0"/>
              <w:right w:val="single" w:color="auto" w:sz="4" w:space="0"/>
            </w:tcBorders>
            <w:noWrap w:val="0"/>
            <w:vAlign w:val="center"/>
          </w:tcPr>
          <w:p w14:paraId="19383DD4">
            <w:pPr>
              <w:widowControl/>
              <w:spacing w:line="240" w:lineRule="exact"/>
              <w:jc w:val="center"/>
              <w:rPr>
                <w:rFonts w:hint="eastAsia" w:ascii="仿宋_GB2312" w:hAnsi="仿宋_GB2312" w:eastAsia="仿宋_GB2312" w:cs="仿宋_GB2312"/>
                <w:color w:val="000000"/>
                <w:sz w:val="20"/>
                <w:szCs w:val="20"/>
                <w:highlight w:val="none"/>
                <w:lang w:eastAsia="zh-CN"/>
              </w:rPr>
            </w:pPr>
            <w:r>
              <w:rPr>
                <w:rFonts w:hint="eastAsia" w:ascii="仿宋_GB2312" w:hAnsi="宋体" w:eastAsia="仿宋_GB2312" w:cs="仿宋_GB2312"/>
                <w:i w:val="0"/>
                <w:iCs w:val="0"/>
                <w:color w:val="000000"/>
                <w:kern w:val="0"/>
                <w:sz w:val="20"/>
                <w:szCs w:val="20"/>
                <w:u w:val="none"/>
                <w:lang w:val="en-US" w:eastAsia="zh-CN" w:bidi="ar"/>
              </w:rPr>
              <w:t>完成的罚没款征缴任务</w:t>
            </w:r>
          </w:p>
        </w:tc>
        <w:tc>
          <w:tcPr>
            <w:tcW w:w="1225" w:type="dxa"/>
            <w:tcBorders>
              <w:top w:val="nil"/>
              <w:left w:val="nil"/>
              <w:bottom w:val="single" w:color="auto" w:sz="4" w:space="0"/>
              <w:right w:val="single" w:color="auto" w:sz="4" w:space="0"/>
            </w:tcBorders>
            <w:noWrap w:val="0"/>
            <w:vAlign w:val="center"/>
          </w:tcPr>
          <w:p w14:paraId="0EB15571">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20万元</w:t>
            </w:r>
          </w:p>
        </w:tc>
        <w:tc>
          <w:tcPr>
            <w:tcW w:w="1273" w:type="dxa"/>
            <w:tcBorders>
              <w:top w:val="nil"/>
              <w:left w:val="nil"/>
              <w:bottom w:val="single" w:color="auto" w:sz="4" w:space="0"/>
              <w:right w:val="single" w:color="auto" w:sz="4" w:space="0"/>
            </w:tcBorders>
            <w:noWrap w:val="0"/>
            <w:vAlign w:val="center"/>
          </w:tcPr>
          <w:p w14:paraId="2C165BC5">
            <w:pPr>
              <w:widowControl/>
              <w:spacing w:line="240" w:lineRule="exact"/>
              <w:jc w:val="center"/>
              <w:rPr>
                <w:rFonts w:hint="eastAsia" w:ascii="仿宋_GB2312" w:hAnsi="仿宋_GB2312" w:eastAsia="仿宋_GB2312" w:cs="仿宋_GB2312"/>
                <w:color w:val="000000"/>
                <w:sz w:val="20"/>
                <w:szCs w:val="20"/>
                <w:highlight w:val="none"/>
                <w:lang w:val="en-US" w:eastAsia="zh-CN"/>
              </w:rPr>
            </w:pPr>
            <w:r>
              <w:rPr>
                <w:rFonts w:hint="default" w:ascii="仿宋_GB2312" w:hAnsi="仿宋_GB2312" w:eastAsia="仿宋_GB2312" w:cs="仿宋_GB2312"/>
                <w:color w:val="000000"/>
                <w:sz w:val="20"/>
                <w:szCs w:val="20"/>
                <w:highlight w:val="none"/>
                <w:lang w:val="en-US" w:eastAsia="zh-CN"/>
              </w:rPr>
              <w:t>19.95</w:t>
            </w:r>
            <w:r>
              <w:rPr>
                <w:rFonts w:hint="eastAsia" w:ascii="仿宋_GB2312" w:hAnsi="仿宋_GB2312" w:eastAsia="仿宋_GB2312" w:cs="仿宋_GB2312"/>
                <w:color w:val="000000"/>
                <w:sz w:val="20"/>
                <w:szCs w:val="20"/>
                <w:highlight w:val="none"/>
                <w:lang w:val="en-US" w:eastAsia="zh-CN"/>
              </w:rPr>
              <w:t>万元</w:t>
            </w:r>
          </w:p>
        </w:tc>
        <w:tc>
          <w:tcPr>
            <w:tcW w:w="596" w:type="dxa"/>
            <w:tcBorders>
              <w:top w:val="nil"/>
              <w:left w:val="nil"/>
              <w:bottom w:val="single" w:color="auto" w:sz="4" w:space="0"/>
              <w:right w:val="single" w:color="auto" w:sz="4" w:space="0"/>
            </w:tcBorders>
            <w:noWrap w:val="0"/>
            <w:vAlign w:val="center"/>
          </w:tcPr>
          <w:p w14:paraId="12D8EE64">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039" w:type="dxa"/>
            <w:tcBorders>
              <w:top w:val="nil"/>
              <w:left w:val="nil"/>
              <w:bottom w:val="single" w:color="auto" w:sz="4" w:space="0"/>
              <w:right w:val="single" w:color="auto" w:sz="4" w:space="0"/>
            </w:tcBorders>
            <w:noWrap w:val="0"/>
            <w:vAlign w:val="center"/>
          </w:tcPr>
          <w:p w14:paraId="670A1465">
            <w:pPr>
              <w:widowControl/>
              <w:spacing w:line="240" w:lineRule="exact"/>
              <w:jc w:val="center"/>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10</w:t>
            </w:r>
          </w:p>
        </w:tc>
        <w:tc>
          <w:tcPr>
            <w:tcW w:w="1168" w:type="dxa"/>
            <w:tcBorders>
              <w:top w:val="nil"/>
              <w:left w:val="nil"/>
              <w:bottom w:val="single" w:color="auto" w:sz="4" w:space="0"/>
              <w:right w:val="single" w:color="auto" w:sz="4" w:space="0"/>
            </w:tcBorders>
            <w:noWrap w:val="0"/>
            <w:vAlign w:val="center"/>
          </w:tcPr>
          <w:p w14:paraId="70443E9C">
            <w:pPr>
              <w:widowControl/>
              <w:spacing w:line="240" w:lineRule="exact"/>
              <w:jc w:val="center"/>
              <w:rPr>
                <w:rFonts w:hint="eastAsia" w:ascii="仿宋_GB2312" w:hAnsi="仿宋_GB2312" w:eastAsia="仿宋_GB2312" w:cs="仿宋_GB2312"/>
                <w:color w:val="000000"/>
                <w:sz w:val="20"/>
                <w:szCs w:val="20"/>
                <w:highlight w:val="none"/>
              </w:rPr>
            </w:pPr>
          </w:p>
        </w:tc>
      </w:tr>
      <w:tr w14:paraId="5FF9694B">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3463F4B5">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left w:val="nil"/>
              <w:right w:val="single" w:color="auto" w:sz="4" w:space="0"/>
            </w:tcBorders>
            <w:noWrap w:val="0"/>
            <w:vAlign w:val="center"/>
          </w:tcPr>
          <w:p w14:paraId="3968D517">
            <w:pPr>
              <w:spacing w:line="240" w:lineRule="exact"/>
              <w:jc w:val="left"/>
              <w:rPr>
                <w:rFonts w:hint="eastAsia" w:ascii="仿宋_GB2312" w:hAnsi="仿宋_GB2312" w:eastAsia="仿宋_GB2312" w:cs="仿宋_GB2312"/>
                <w:color w:val="000000"/>
                <w:sz w:val="20"/>
                <w:szCs w:val="20"/>
                <w:highlight w:val="none"/>
              </w:rPr>
            </w:pPr>
          </w:p>
        </w:tc>
        <w:tc>
          <w:tcPr>
            <w:tcW w:w="1063" w:type="dxa"/>
            <w:vMerge w:val="restart"/>
            <w:tcBorders>
              <w:top w:val="single" w:color="auto" w:sz="4" w:space="0"/>
              <w:left w:val="single" w:color="auto" w:sz="4" w:space="0"/>
              <w:bottom w:val="single" w:color="auto" w:sz="4" w:space="0"/>
              <w:right w:val="single" w:color="auto" w:sz="4" w:space="0"/>
            </w:tcBorders>
            <w:noWrap w:val="0"/>
            <w:vAlign w:val="center"/>
          </w:tcPr>
          <w:p w14:paraId="79C62B1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622" w:type="dxa"/>
            <w:tcBorders>
              <w:top w:val="single" w:color="auto" w:sz="4" w:space="0"/>
              <w:left w:val="single" w:color="auto" w:sz="4" w:space="0"/>
              <w:bottom w:val="single" w:color="auto" w:sz="4" w:space="0"/>
              <w:right w:val="single" w:color="auto" w:sz="4" w:space="0"/>
            </w:tcBorders>
            <w:noWrap w:val="0"/>
            <w:vAlign w:val="center"/>
          </w:tcPr>
          <w:p w14:paraId="1F5294F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环境质量达标</w:t>
            </w:r>
          </w:p>
        </w:tc>
        <w:tc>
          <w:tcPr>
            <w:tcW w:w="1225" w:type="dxa"/>
            <w:tcBorders>
              <w:top w:val="nil"/>
              <w:left w:val="nil"/>
              <w:bottom w:val="single" w:color="auto" w:sz="4" w:space="0"/>
              <w:right w:val="single" w:color="auto" w:sz="4" w:space="0"/>
            </w:tcBorders>
            <w:noWrap w:val="0"/>
            <w:vAlign w:val="center"/>
          </w:tcPr>
          <w:p w14:paraId="622391C3">
            <w:pPr>
              <w:widowControl/>
              <w:spacing w:line="240" w:lineRule="exact"/>
              <w:jc w:val="center"/>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90%</w:t>
            </w:r>
          </w:p>
        </w:tc>
        <w:tc>
          <w:tcPr>
            <w:tcW w:w="1273" w:type="dxa"/>
            <w:tcBorders>
              <w:top w:val="nil"/>
              <w:left w:val="nil"/>
              <w:bottom w:val="single" w:color="auto" w:sz="4" w:space="0"/>
              <w:right w:val="single" w:color="auto" w:sz="4" w:space="0"/>
            </w:tcBorders>
            <w:noWrap w:val="0"/>
            <w:vAlign w:val="center"/>
          </w:tcPr>
          <w:p w14:paraId="1F07FE1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90%</w:t>
            </w:r>
          </w:p>
        </w:tc>
        <w:tc>
          <w:tcPr>
            <w:tcW w:w="596" w:type="dxa"/>
            <w:tcBorders>
              <w:top w:val="nil"/>
              <w:left w:val="nil"/>
              <w:bottom w:val="single" w:color="auto" w:sz="4" w:space="0"/>
              <w:right w:val="single" w:color="auto" w:sz="4" w:space="0"/>
            </w:tcBorders>
            <w:noWrap w:val="0"/>
            <w:vAlign w:val="center"/>
          </w:tcPr>
          <w:p w14:paraId="4A0FCC6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nil"/>
              <w:left w:val="nil"/>
              <w:bottom w:val="single" w:color="auto" w:sz="4" w:space="0"/>
              <w:right w:val="single" w:color="auto" w:sz="4" w:space="0"/>
            </w:tcBorders>
            <w:noWrap w:val="0"/>
            <w:vAlign w:val="center"/>
          </w:tcPr>
          <w:p w14:paraId="1108C0A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nil"/>
              <w:left w:val="nil"/>
              <w:bottom w:val="single" w:color="auto" w:sz="4" w:space="0"/>
              <w:right w:val="single" w:color="auto" w:sz="4" w:space="0"/>
            </w:tcBorders>
            <w:noWrap w:val="0"/>
            <w:vAlign w:val="center"/>
          </w:tcPr>
          <w:p w14:paraId="09D056BC">
            <w:pPr>
              <w:widowControl/>
              <w:spacing w:line="240" w:lineRule="exact"/>
              <w:jc w:val="center"/>
              <w:rPr>
                <w:rFonts w:hint="eastAsia" w:ascii="仿宋_GB2312" w:hAnsi="仿宋_GB2312" w:eastAsia="仿宋_GB2312" w:cs="仿宋_GB2312"/>
                <w:color w:val="000000"/>
                <w:sz w:val="20"/>
                <w:szCs w:val="20"/>
                <w:highlight w:val="none"/>
              </w:rPr>
            </w:pPr>
          </w:p>
        </w:tc>
      </w:tr>
      <w:tr w14:paraId="33444F6B">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0FD6E530">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left w:val="nil"/>
              <w:right w:val="single" w:color="auto" w:sz="4" w:space="0"/>
            </w:tcBorders>
            <w:noWrap w:val="0"/>
            <w:vAlign w:val="center"/>
          </w:tcPr>
          <w:p w14:paraId="6833F07F">
            <w:pPr>
              <w:spacing w:line="240" w:lineRule="exact"/>
              <w:jc w:val="left"/>
              <w:rPr>
                <w:rFonts w:hint="eastAsia" w:ascii="仿宋_GB2312" w:hAnsi="仿宋_GB2312" w:eastAsia="仿宋_GB2312" w:cs="仿宋_GB2312"/>
                <w:color w:val="000000"/>
                <w:sz w:val="20"/>
                <w:szCs w:val="20"/>
                <w:highlight w:val="none"/>
              </w:rPr>
            </w:pPr>
          </w:p>
        </w:tc>
        <w:tc>
          <w:tcPr>
            <w:tcW w:w="1063" w:type="dxa"/>
            <w:vMerge w:val="continue"/>
            <w:tcBorders>
              <w:top w:val="single" w:color="auto" w:sz="4" w:space="0"/>
              <w:left w:val="single" w:color="auto" w:sz="4" w:space="0"/>
              <w:bottom w:val="single" w:color="auto" w:sz="4" w:space="0"/>
              <w:right w:val="single" w:color="auto" w:sz="4" w:space="0"/>
            </w:tcBorders>
            <w:noWrap w:val="0"/>
            <w:vAlign w:val="center"/>
          </w:tcPr>
          <w:p w14:paraId="4D6F1936">
            <w:pPr>
              <w:spacing w:line="240" w:lineRule="exact"/>
              <w:jc w:val="center"/>
              <w:rPr>
                <w:rFonts w:hint="eastAsia" w:ascii="仿宋_GB2312" w:hAnsi="仿宋_GB2312" w:eastAsia="仿宋_GB2312" w:cs="仿宋_GB2312"/>
                <w:color w:val="000000"/>
                <w:sz w:val="20"/>
                <w:szCs w:val="20"/>
                <w:highlight w:val="none"/>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5B5E646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完成任务率</w:t>
            </w:r>
          </w:p>
        </w:tc>
        <w:tc>
          <w:tcPr>
            <w:tcW w:w="1225" w:type="dxa"/>
            <w:tcBorders>
              <w:top w:val="nil"/>
              <w:left w:val="nil"/>
              <w:bottom w:val="single" w:color="auto" w:sz="4" w:space="0"/>
              <w:right w:val="single" w:color="auto" w:sz="4" w:space="0"/>
            </w:tcBorders>
            <w:noWrap w:val="0"/>
            <w:vAlign w:val="center"/>
          </w:tcPr>
          <w:p w14:paraId="355D57E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1273" w:type="dxa"/>
            <w:tcBorders>
              <w:top w:val="nil"/>
              <w:left w:val="nil"/>
              <w:bottom w:val="single" w:color="auto" w:sz="4" w:space="0"/>
              <w:right w:val="single" w:color="auto" w:sz="4" w:space="0"/>
            </w:tcBorders>
            <w:noWrap w:val="0"/>
            <w:vAlign w:val="center"/>
          </w:tcPr>
          <w:p w14:paraId="54424E6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596" w:type="dxa"/>
            <w:tcBorders>
              <w:top w:val="nil"/>
              <w:left w:val="nil"/>
              <w:bottom w:val="single" w:color="auto" w:sz="4" w:space="0"/>
              <w:right w:val="single" w:color="auto" w:sz="4" w:space="0"/>
            </w:tcBorders>
            <w:noWrap w:val="0"/>
            <w:vAlign w:val="center"/>
          </w:tcPr>
          <w:p w14:paraId="69FEB91B">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nil"/>
              <w:left w:val="nil"/>
              <w:bottom w:val="single" w:color="auto" w:sz="4" w:space="0"/>
              <w:right w:val="single" w:color="auto" w:sz="4" w:space="0"/>
            </w:tcBorders>
            <w:noWrap w:val="0"/>
            <w:vAlign w:val="center"/>
          </w:tcPr>
          <w:p w14:paraId="4705AABD">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nil"/>
              <w:left w:val="nil"/>
              <w:bottom w:val="single" w:color="auto" w:sz="4" w:space="0"/>
              <w:right w:val="single" w:color="auto" w:sz="4" w:space="0"/>
            </w:tcBorders>
            <w:noWrap w:val="0"/>
            <w:vAlign w:val="center"/>
          </w:tcPr>
          <w:p w14:paraId="5172F41A">
            <w:pPr>
              <w:widowControl/>
              <w:spacing w:line="240" w:lineRule="exact"/>
              <w:jc w:val="center"/>
              <w:rPr>
                <w:rFonts w:hint="eastAsia" w:ascii="仿宋_GB2312" w:hAnsi="仿宋_GB2312" w:eastAsia="仿宋_GB2312" w:cs="仿宋_GB2312"/>
                <w:color w:val="000000"/>
                <w:sz w:val="20"/>
                <w:szCs w:val="20"/>
                <w:highlight w:val="none"/>
              </w:rPr>
            </w:pPr>
          </w:p>
        </w:tc>
      </w:tr>
      <w:tr w14:paraId="5C6A0AF1">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6AF2A474">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left w:val="nil"/>
              <w:right w:val="single" w:color="auto" w:sz="4" w:space="0"/>
            </w:tcBorders>
            <w:noWrap w:val="0"/>
            <w:vAlign w:val="center"/>
          </w:tcPr>
          <w:p w14:paraId="432D8BEB">
            <w:pPr>
              <w:spacing w:line="240" w:lineRule="exact"/>
              <w:jc w:val="left"/>
              <w:rPr>
                <w:rFonts w:hint="eastAsia" w:ascii="仿宋_GB2312" w:hAnsi="仿宋_GB2312" w:eastAsia="仿宋_GB2312" w:cs="仿宋_GB2312"/>
                <w:color w:val="000000"/>
                <w:sz w:val="20"/>
                <w:szCs w:val="20"/>
                <w:highlight w:val="none"/>
              </w:rPr>
            </w:pPr>
          </w:p>
        </w:tc>
        <w:tc>
          <w:tcPr>
            <w:tcW w:w="1063" w:type="dxa"/>
            <w:vMerge w:val="restart"/>
            <w:tcBorders>
              <w:top w:val="single" w:color="auto" w:sz="4" w:space="0"/>
              <w:left w:val="single" w:color="auto" w:sz="4" w:space="0"/>
              <w:bottom w:val="single" w:color="auto" w:sz="4" w:space="0"/>
              <w:right w:val="single" w:color="auto" w:sz="4" w:space="0"/>
            </w:tcBorders>
            <w:noWrap w:val="0"/>
            <w:vAlign w:val="center"/>
          </w:tcPr>
          <w:p w14:paraId="32B6DA5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622" w:type="dxa"/>
            <w:tcBorders>
              <w:top w:val="single" w:color="auto" w:sz="4" w:space="0"/>
              <w:left w:val="single" w:color="auto" w:sz="4" w:space="0"/>
              <w:bottom w:val="single" w:color="auto" w:sz="4" w:space="0"/>
              <w:right w:val="single" w:color="auto" w:sz="4" w:space="0"/>
            </w:tcBorders>
            <w:noWrap w:val="0"/>
            <w:vAlign w:val="center"/>
          </w:tcPr>
          <w:p w14:paraId="675D996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按时完成各项指标任务</w:t>
            </w:r>
          </w:p>
        </w:tc>
        <w:tc>
          <w:tcPr>
            <w:tcW w:w="1225" w:type="dxa"/>
            <w:tcBorders>
              <w:top w:val="nil"/>
              <w:left w:val="nil"/>
              <w:bottom w:val="single" w:color="auto" w:sz="4" w:space="0"/>
              <w:right w:val="single" w:color="auto" w:sz="4" w:space="0"/>
            </w:tcBorders>
            <w:noWrap w:val="0"/>
            <w:vAlign w:val="center"/>
          </w:tcPr>
          <w:p w14:paraId="38C715D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2024年度</w:t>
            </w:r>
          </w:p>
        </w:tc>
        <w:tc>
          <w:tcPr>
            <w:tcW w:w="1273" w:type="dxa"/>
            <w:tcBorders>
              <w:top w:val="nil"/>
              <w:left w:val="nil"/>
              <w:bottom w:val="single" w:color="auto" w:sz="4" w:space="0"/>
              <w:right w:val="single" w:color="auto" w:sz="4" w:space="0"/>
            </w:tcBorders>
            <w:noWrap w:val="0"/>
            <w:vAlign w:val="center"/>
          </w:tcPr>
          <w:p w14:paraId="5AA0A07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2024年度</w:t>
            </w:r>
          </w:p>
        </w:tc>
        <w:tc>
          <w:tcPr>
            <w:tcW w:w="596" w:type="dxa"/>
            <w:tcBorders>
              <w:top w:val="nil"/>
              <w:left w:val="nil"/>
              <w:bottom w:val="single" w:color="auto" w:sz="4" w:space="0"/>
              <w:right w:val="single" w:color="auto" w:sz="4" w:space="0"/>
            </w:tcBorders>
            <w:noWrap w:val="0"/>
            <w:vAlign w:val="center"/>
          </w:tcPr>
          <w:p w14:paraId="5584FEE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nil"/>
              <w:left w:val="nil"/>
              <w:bottom w:val="single" w:color="auto" w:sz="4" w:space="0"/>
              <w:right w:val="single" w:color="auto" w:sz="4" w:space="0"/>
            </w:tcBorders>
            <w:noWrap w:val="0"/>
            <w:vAlign w:val="center"/>
          </w:tcPr>
          <w:p w14:paraId="16FF0BE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nil"/>
              <w:left w:val="nil"/>
              <w:bottom w:val="single" w:color="auto" w:sz="4" w:space="0"/>
              <w:right w:val="single" w:color="auto" w:sz="4" w:space="0"/>
            </w:tcBorders>
            <w:noWrap w:val="0"/>
            <w:vAlign w:val="center"/>
          </w:tcPr>
          <w:p w14:paraId="640774E3">
            <w:pPr>
              <w:widowControl/>
              <w:spacing w:line="240" w:lineRule="exact"/>
              <w:jc w:val="center"/>
              <w:rPr>
                <w:rFonts w:hint="eastAsia" w:ascii="仿宋_GB2312" w:hAnsi="仿宋_GB2312" w:eastAsia="仿宋_GB2312" w:cs="仿宋_GB2312"/>
                <w:color w:val="000000"/>
                <w:sz w:val="20"/>
                <w:szCs w:val="20"/>
                <w:highlight w:val="none"/>
              </w:rPr>
            </w:pPr>
          </w:p>
        </w:tc>
      </w:tr>
      <w:tr w14:paraId="2FA2FEDD">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2E9DBF6D">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left w:val="nil"/>
              <w:right w:val="single" w:color="auto" w:sz="4" w:space="0"/>
            </w:tcBorders>
            <w:noWrap w:val="0"/>
            <w:vAlign w:val="center"/>
          </w:tcPr>
          <w:p w14:paraId="5BA25AEF">
            <w:pPr>
              <w:spacing w:line="240" w:lineRule="exact"/>
              <w:jc w:val="left"/>
              <w:rPr>
                <w:rFonts w:hint="eastAsia" w:ascii="仿宋_GB2312" w:hAnsi="仿宋_GB2312" w:eastAsia="仿宋_GB2312" w:cs="仿宋_GB2312"/>
                <w:color w:val="000000"/>
                <w:sz w:val="20"/>
                <w:szCs w:val="20"/>
                <w:highlight w:val="none"/>
              </w:rPr>
            </w:pPr>
          </w:p>
        </w:tc>
        <w:tc>
          <w:tcPr>
            <w:tcW w:w="1063" w:type="dxa"/>
            <w:vMerge w:val="continue"/>
            <w:tcBorders>
              <w:top w:val="single" w:color="auto" w:sz="4" w:space="0"/>
              <w:left w:val="single" w:color="auto" w:sz="4" w:space="0"/>
              <w:bottom w:val="single" w:color="auto" w:sz="4" w:space="0"/>
              <w:right w:val="single" w:color="auto" w:sz="4" w:space="0"/>
            </w:tcBorders>
            <w:noWrap w:val="0"/>
            <w:vAlign w:val="center"/>
          </w:tcPr>
          <w:p w14:paraId="1379CC96">
            <w:pPr>
              <w:spacing w:line="240" w:lineRule="exact"/>
              <w:jc w:val="center"/>
              <w:rPr>
                <w:rFonts w:hint="eastAsia" w:ascii="仿宋_GB2312" w:hAnsi="仿宋_GB2312" w:eastAsia="仿宋_GB2312" w:cs="仿宋_GB2312"/>
                <w:color w:val="000000"/>
                <w:sz w:val="20"/>
                <w:szCs w:val="20"/>
                <w:highlight w:val="none"/>
              </w:rPr>
            </w:pPr>
          </w:p>
        </w:tc>
        <w:tc>
          <w:tcPr>
            <w:tcW w:w="1622" w:type="dxa"/>
            <w:tcBorders>
              <w:top w:val="single" w:color="auto" w:sz="4" w:space="0"/>
              <w:left w:val="single" w:color="auto" w:sz="4" w:space="0"/>
              <w:bottom w:val="single" w:color="auto" w:sz="4" w:space="0"/>
              <w:right w:val="single" w:color="auto" w:sz="4" w:space="0"/>
            </w:tcBorders>
            <w:noWrap w:val="0"/>
            <w:vAlign w:val="center"/>
          </w:tcPr>
          <w:p w14:paraId="6DCF9B6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突发任务及时完成</w:t>
            </w:r>
          </w:p>
        </w:tc>
        <w:tc>
          <w:tcPr>
            <w:tcW w:w="1225" w:type="dxa"/>
            <w:tcBorders>
              <w:top w:val="nil"/>
              <w:left w:val="nil"/>
              <w:bottom w:val="single" w:color="auto" w:sz="4" w:space="0"/>
              <w:right w:val="single" w:color="auto" w:sz="4" w:space="0"/>
            </w:tcBorders>
            <w:noWrap w:val="0"/>
            <w:vAlign w:val="center"/>
          </w:tcPr>
          <w:p w14:paraId="363D9CB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即时</w:t>
            </w:r>
          </w:p>
        </w:tc>
        <w:tc>
          <w:tcPr>
            <w:tcW w:w="1273" w:type="dxa"/>
            <w:tcBorders>
              <w:top w:val="nil"/>
              <w:left w:val="nil"/>
              <w:bottom w:val="single" w:color="auto" w:sz="4" w:space="0"/>
              <w:right w:val="single" w:color="auto" w:sz="4" w:space="0"/>
            </w:tcBorders>
            <w:noWrap w:val="0"/>
            <w:vAlign w:val="center"/>
          </w:tcPr>
          <w:p w14:paraId="04B7636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即时</w:t>
            </w:r>
          </w:p>
        </w:tc>
        <w:tc>
          <w:tcPr>
            <w:tcW w:w="596" w:type="dxa"/>
            <w:tcBorders>
              <w:top w:val="nil"/>
              <w:left w:val="nil"/>
              <w:bottom w:val="single" w:color="auto" w:sz="4" w:space="0"/>
              <w:right w:val="single" w:color="auto" w:sz="4" w:space="0"/>
            </w:tcBorders>
            <w:noWrap w:val="0"/>
            <w:vAlign w:val="center"/>
          </w:tcPr>
          <w:p w14:paraId="79102AE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nil"/>
              <w:left w:val="nil"/>
              <w:bottom w:val="single" w:color="auto" w:sz="4" w:space="0"/>
              <w:right w:val="single" w:color="auto" w:sz="4" w:space="0"/>
            </w:tcBorders>
            <w:noWrap w:val="0"/>
            <w:vAlign w:val="center"/>
          </w:tcPr>
          <w:p w14:paraId="7120C5F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nil"/>
              <w:left w:val="nil"/>
              <w:bottom w:val="single" w:color="auto" w:sz="4" w:space="0"/>
              <w:right w:val="single" w:color="auto" w:sz="4" w:space="0"/>
            </w:tcBorders>
            <w:noWrap w:val="0"/>
            <w:vAlign w:val="center"/>
          </w:tcPr>
          <w:p w14:paraId="1E25547F">
            <w:pPr>
              <w:widowControl/>
              <w:spacing w:line="240" w:lineRule="exact"/>
              <w:jc w:val="center"/>
              <w:rPr>
                <w:rFonts w:hint="eastAsia" w:ascii="仿宋_GB2312" w:hAnsi="仿宋_GB2312" w:eastAsia="仿宋_GB2312" w:cs="仿宋_GB2312"/>
                <w:color w:val="000000"/>
                <w:sz w:val="20"/>
                <w:szCs w:val="20"/>
                <w:highlight w:val="none"/>
              </w:rPr>
            </w:pPr>
          </w:p>
        </w:tc>
      </w:tr>
      <w:tr w14:paraId="3092B297">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57DBA633">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left w:val="nil"/>
              <w:bottom w:val="single" w:color="auto" w:sz="4" w:space="0"/>
              <w:right w:val="single" w:color="auto" w:sz="4" w:space="0"/>
            </w:tcBorders>
            <w:noWrap w:val="0"/>
            <w:vAlign w:val="center"/>
          </w:tcPr>
          <w:p w14:paraId="67B7F9D6">
            <w:pPr>
              <w:spacing w:line="240" w:lineRule="exact"/>
              <w:jc w:val="left"/>
              <w:rPr>
                <w:rFonts w:hint="eastAsia" w:ascii="仿宋_GB2312" w:hAnsi="仿宋_GB2312" w:eastAsia="仿宋_GB2312" w:cs="仿宋_GB2312"/>
                <w:color w:val="000000"/>
                <w:sz w:val="20"/>
                <w:szCs w:val="20"/>
                <w:highlight w:val="none"/>
              </w:rPr>
            </w:pPr>
          </w:p>
        </w:tc>
        <w:tc>
          <w:tcPr>
            <w:tcW w:w="1063" w:type="dxa"/>
            <w:tcBorders>
              <w:top w:val="nil"/>
              <w:left w:val="nil"/>
              <w:bottom w:val="single" w:color="auto" w:sz="4" w:space="0"/>
              <w:right w:val="single" w:color="auto" w:sz="4" w:space="0"/>
            </w:tcBorders>
            <w:noWrap w:val="0"/>
            <w:vAlign w:val="center"/>
          </w:tcPr>
          <w:p w14:paraId="1708BE2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622" w:type="dxa"/>
            <w:tcBorders>
              <w:top w:val="nil"/>
              <w:left w:val="nil"/>
              <w:bottom w:val="single" w:color="auto" w:sz="4" w:space="0"/>
              <w:right w:val="single" w:color="auto" w:sz="4" w:space="0"/>
            </w:tcBorders>
            <w:noWrap w:val="0"/>
            <w:vAlign w:val="center"/>
          </w:tcPr>
          <w:p w14:paraId="150E6CC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成本控制在预算内</w:t>
            </w:r>
          </w:p>
        </w:tc>
        <w:tc>
          <w:tcPr>
            <w:tcW w:w="1225" w:type="dxa"/>
            <w:tcBorders>
              <w:top w:val="nil"/>
              <w:left w:val="nil"/>
              <w:bottom w:val="single" w:color="auto" w:sz="4" w:space="0"/>
              <w:right w:val="single" w:color="auto" w:sz="4" w:space="0"/>
            </w:tcBorders>
            <w:noWrap w:val="0"/>
            <w:vAlign w:val="center"/>
          </w:tcPr>
          <w:p w14:paraId="0832F6FE">
            <w:pPr>
              <w:widowControl/>
              <w:spacing w:line="240" w:lineRule="exact"/>
              <w:jc w:val="center"/>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≤1003.98万元</w:t>
            </w:r>
          </w:p>
        </w:tc>
        <w:tc>
          <w:tcPr>
            <w:tcW w:w="1273" w:type="dxa"/>
            <w:tcBorders>
              <w:top w:val="nil"/>
              <w:left w:val="nil"/>
              <w:bottom w:val="single" w:color="auto" w:sz="4" w:space="0"/>
              <w:right w:val="single" w:color="auto" w:sz="4" w:space="0"/>
            </w:tcBorders>
            <w:noWrap w:val="0"/>
            <w:vAlign w:val="center"/>
          </w:tcPr>
          <w:p w14:paraId="640EE295">
            <w:pPr>
              <w:widowControl/>
              <w:spacing w:line="240" w:lineRule="exact"/>
              <w:jc w:val="center"/>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924.23</w:t>
            </w:r>
          </w:p>
        </w:tc>
        <w:tc>
          <w:tcPr>
            <w:tcW w:w="596" w:type="dxa"/>
            <w:tcBorders>
              <w:top w:val="nil"/>
              <w:left w:val="nil"/>
              <w:bottom w:val="single" w:color="auto" w:sz="4" w:space="0"/>
              <w:right w:val="single" w:color="auto" w:sz="4" w:space="0"/>
            </w:tcBorders>
            <w:noWrap w:val="0"/>
            <w:vAlign w:val="center"/>
          </w:tcPr>
          <w:p w14:paraId="6B9BD2B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039" w:type="dxa"/>
            <w:tcBorders>
              <w:top w:val="nil"/>
              <w:left w:val="nil"/>
              <w:bottom w:val="single" w:color="auto" w:sz="4" w:space="0"/>
              <w:right w:val="single" w:color="auto" w:sz="4" w:space="0"/>
            </w:tcBorders>
            <w:noWrap w:val="0"/>
            <w:vAlign w:val="center"/>
          </w:tcPr>
          <w:p w14:paraId="5AB65AE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168" w:type="dxa"/>
            <w:tcBorders>
              <w:top w:val="nil"/>
              <w:left w:val="nil"/>
              <w:bottom w:val="single" w:color="auto" w:sz="4" w:space="0"/>
              <w:right w:val="single" w:color="auto" w:sz="4" w:space="0"/>
            </w:tcBorders>
            <w:noWrap w:val="0"/>
            <w:vAlign w:val="center"/>
          </w:tcPr>
          <w:p w14:paraId="112EF9E3">
            <w:pPr>
              <w:widowControl/>
              <w:spacing w:line="240" w:lineRule="exact"/>
              <w:jc w:val="center"/>
              <w:rPr>
                <w:rFonts w:hint="eastAsia" w:ascii="仿宋_GB2312" w:hAnsi="仿宋_GB2312" w:eastAsia="仿宋_GB2312" w:cs="仿宋_GB2312"/>
                <w:color w:val="000000"/>
                <w:sz w:val="20"/>
                <w:szCs w:val="20"/>
                <w:highlight w:val="none"/>
              </w:rPr>
            </w:pPr>
          </w:p>
        </w:tc>
      </w:tr>
      <w:tr w14:paraId="0BB0664E">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5AA80AE5">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restart"/>
            <w:tcBorders>
              <w:top w:val="single" w:color="auto" w:sz="4" w:space="0"/>
              <w:left w:val="single" w:color="auto" w:sz="4" w:space="0"/>
              <w:bottom w:val="single" w:color="auto" w:sz="4" w:space="0"/>
              <w:right w:val="single" w:color="auto" w:sz="4" w:space="0"/>
            </w:tcBorders>
            <w:noWrap w:val="0"/>
            <w:vAlign w:val="center"/>
          </w:tcPr>
          <w:p w14:paraId="3BD0951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443896C">
            <w:pPr>
              <w:widowControl/>
              <w:spacing w:line="240" w:lineRule="exact"/>
              <w:jc w:val="center"/>
              <w:rPr>
                <w:rFonts w:hint="eastAsia" w:ascii="仿宋_GB2312" w:hAnsi="仿宋_GB2312" w:eastAsia="仿宋_GB2312" w:cs="仿宋_GB2312"/>
                <w:color w:val="000000"/>
                <w:sz w:val="20"/>
                <w:szCs w:val="20"/>
                <w:highlight w:val="none"/>
              </w:rPr>
            </w:pPr>
          </w:p>
          <w:p w14:paraId="11BC870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6551824A">
            <w:pPr>
              <w:widowControl/>
              <w:spacing w:line="240" w:lineRule="exact"/>
              <w:jc w:val="center"/>
              <w:rPr>
                <w:rFonts w:hint="eastAsia" w:ascii="仿宋_GB2312" w:hAnsi="仿宋_GB2312" w:eastAsia="仿宋_GB2312" w:cs="仿宋_GB2312"/>
                <w:color w:val="000000"/>
                <w:sz w:val="20"/>
                <w:szCs w:val="20"/>
                <w:highlight w:val="none"/>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7A7CC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0E000C2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622" w:type="dxa"/>
            <w:tcBorders>
              <w:top w:val="nil"/>
              <w:left w:val="nil"/>
              <w:bottom w:val="single" w:color="auto" w:sz="4" w:space="0"/>
              <w:right w:val="single" w:color="auto" w:sz="4" w:space="0"/>
            </w:tcBorders>
            <w:noWrap w:val="0"/>
            <w:vAlign w:val="center"/>
          </w:tcPr>
          <w:p w14:paraId="4988213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推动污染治理环保产业发展</w:t>
            </w:r>
          </w:p>
        </w:tc>
        <w:tc>
          <w:tcPr>
            <w:tcW w:w="1225" w:type="dxa"/>
            <w:tcBorders>
              <w:top w:val="nil"/>
              <w:left w:val="nil"/>
              <w:bottom w:val="single" w:color="auto" w:sz="4" w:space="0"/>
              <w:right w:val="single" w:color="auto" w:sz="4" w:space="0"/>
            </w:tcBorders>
            <w:noWrap w:val="0"/>
            <w:vAlign w:val="center"/>
          </w:tcPr>
          <w:p w14:paraId="78E2B61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效益明显</w:t>
            </w:r>
          </w:p>
        </w:tc>
        <w:tc>
          <w:tcPr>
            <w:tcW w:w="1273" w:type="dxa"/>
            <w:tcBorders>
              <w:top w:val="nil"/>
              <w:left w:val="nil"/>
              <w:bottom w:val="single" w:color="auto" w:sz="4" w:space="0"/>
              <w:right w:val="single" w:color="auto" w:sz="4" w:space="0"/>
            </w:tcBorders>
            <w:noWrap w:val="0"/>
            <w:vAlign w:val="center"/>
          </w:tcPr>
          <w:p w14:paraId="7164486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有所改善</w:t>
            </w:r>
          </w:p>
        </w:tc>
        <w:tc>
          <w:tcPr>
            <w:tcW w:w="596" w:type="dxa"/>
            <w:tcBorders>
              <w:top w:val="nil"/>
              <w:left w:val="nil"/>
              <w:bottom w:val="single" w:color="auto" w:sz="4" w:space="0"/>
              <w:right w:val="single" w:color="auto" w:sz="4" w:space="0"/>
            </w:tcBorders>
            <w:noWrap w:val="0"/>
            <w:vAlign w:val="center"/>
          </w:tcPr>
          <w:p w14:paraId="54656BA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nil"/>
              <w:left w:val="nil"/>
              <w:bottom w:val="single" w:color="auto" w:sz="4" w:space="0"/>
              <w:right w:val="single" w:color="auto" w:sz="4" w:space="0"/>
            </w:tcBorders>
            <w:noWrap w:val="0"/>
            <w:vAlign w:val="center"/>
          </w:tcPr>
          <w:p w14:paraId="1D3FCA1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nil"/>
              <w:left w:val="nil"/>
              <w:bottom w:val="single" w:color="auto" w:sz="4" w:space="0"/>
              <w:right w:val="single" w:color="auto" w:sz="4" w:space="0"/>
            </w:tcBorders>
            <w:noWrap w:val="0"/>
            <w:vAlign w:val="center"/>
          </w:tcPr>
          <w:p w14:paraId="4EFC159D">
            <w:pPr>
              <w:widowControl/>
              <w:spacing w:line="240" w:lineRule="exact"/>
              <w:jc w:val="center"/>
              <w:rPr>
                <w:rFonts w:hint="eastAsia" w:ascii="仿宋_GB2312" w:hAnsi="仿宋_GB2312" w:eastAsia="仿宋_GB2312" w:cs="仿宋_GB2312"/>
                <w:color w:val="000000"/>
                <w:sz w:val="20"/>
                <w:szCs w:val="20"/>
                <w:highlight w:val="none"/>
              </w:rPr>
            </w:pPr>
          </w:p>
        </w:tc>
      </w:tr>
      <w:tr w14:paraId="0DA61F37">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55ACB0BF">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14:paraId="40A9EF9D">
            <w:pPr>
              <w:spacing w:line="240" w:lineRule="exact"/>
              <w:jc w:val="center"/>
              <w:rPr>
                <w:rFonts w:hint="eastAsia" w:ascii="仿宋_GB2312" w:hAnsi="仿宋_GB2312" w:eastAsia="仿宋_GB2312" w:cs="仿宋_GB2312"/>
                <w:color w:val="000000"/>
                <w:sz w:val="20"/>
                <w:szCs w:val="20"/>
                <w:highlight w:val="none"/>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9D2C1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489559D">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益指标</w:t>
            </w:r>
          </w:p>
        </w:tc>
        <w:tc>
          <w:tcPr>
            <w:tcW w:w="1622" w:type="dxa"/>
            <w:tcBorders>
              <w:top w:val="single" w:color="auto" w:sz="4" w:space="0"/>
              <w:left w:val="single" w:color="auto" w:sz="4" w:space="0"/>
              <w:bottom w:val="single" w:color="auto" w:sz="4" w:space="0"/>
              <w:right w:val="single" w:color="auto" w:sz="4" w:space="0"/>
            </w:tcBorders>
            <w:noWrap w:val="0"/>
            <w:vAlign w:val="center"/>
          </w:tcPr>
          <w:p w14:paraId="524270B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提升了公众环保意识，提升生态环境保护社会影响度</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1486755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效益明显</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16B9B66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有所提升</w:t>
            </w:r>
          </w:p>
        </w:tc>
        <w:tc>
          <w:tcPr>
            <w:tcW w:w="596" w:type="dxa"/>
            <w:tcBorders>
              <w:top w:val="single" w:color="auto" w:sz="4" w:space="0"/>
              <w:left w:val="single" w:color="auto" w:sz="4" w:space="0"/>
              <w:bottom w:val="single" w:color="auto" w:sz="4" w:space="0"/>
              <w:right w:val="single" w:color="auto" w:sz="4" w:space="0"/>
            </w:tcBorders>
            <w:noWrap w:val="0"/>
            <w:vAlign w:val="center"/>
          </w:tcPr>
          <w:p w14:paraId="6B8A569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039" w:type="dxa"/>
            <w:tcBorders>
              <w:top w:val="single" w:color="auto" w:sz="4" w:space="0"/>
              <w:left w:val="single" w:color="auto" w:sz="4" w:space="0"/>
              <w:bottom w:val="single" w:color="auto" w:sz="4" w:space="0"/>
              <w:right w:val="single" w:color="auto" w:sz="4" w:space="0"/>
            </w:tcBorders>
            <w:noWrap w:val="0"/>
            <w:vAlign w:val="center"/>
          </w:tcPr>
          <w:p w14:paraId="123601C3">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8FD0ED5">
            <w:pPr>
              <w:widowControl/>
              <w:spacing w:line="240" w:lineRule="exact"/>
              <w:jc w:val="center"/>
              <w:rPr>
                <w:rFonts w:hint="eastAsia" w:ascii="仿宋_GB2312" w:hAnsi="仿宋_GB2312" w:eastAsia="仿宋_GB2312" w:cs="仿宋_GB2312"/>
                <w:color w:val="000000"/>
                <w:sz w:val="20"/>
                <w:szCs w:val="20"/>
                <w:highlight w:val="none"/>
              </w:rPr>
            </w:pPr>
          </w:p>
        </w:tc>
      </w:tr>
      <w:tr w14:paraId="36492B5E">
        <w:tblPrEx>
          <w:tblCellMar>
            <w:top w:w="0" w:type="dxa"/>
            <w:left w:w="108" w:type="dxa"/>
            <w:bottom w:w="0" w:type="dxa"/>
            <w:right w:w="108" w:type="dxa"/>
          </w:tblCellMar>
        </w:tblPrEx>
        <w:trPr>
          <w:trHeight w:val="430" w:hRule="atLeast"/>
          <w:jc w:val="center"/>
        </w:trPr>
        <w:tc>
          <w:tcPr>
            <w:tcW w:w="998" w:type="dxa"/>
            <w:vMerge w:val="continue"/>
            <w:tcBorders>
              <w:left w:val="single" w:color="auto" w:sz="4" w:space="0"/>
              <w:right w:val="single" w:color="auto" w:sz="4" w:space="0"/>
            </w:tcBorders>
            <w:noWrap w:val="0"/>
            <w:vAlign w:val="center"/>
          </w:tcPr>
          <w:p w14:paraId="7223D993">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14:paraId="27C83ABE">
            <w:pPr>
              <w:spacing w:line="240" w:lineRule="exact"/>
              <w:jc w:val="center"/>
              <w:rPr>
                <w:rFonts w:hint="eastAsia" w:ascii="仿宋_GB2312" w:hAnsi="仿宋_GB2312" w:eastAsia="仿宋_GB2312" w:cs="仿宋_GB2312"/>
                <w:color w:val="000000"/>
                <w:sz w:val="20"/>
                <w:szCs w:val="20"/>
                <w:highlight w:val="none"/>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FA068D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634CEC2A">
            <w:pPr>
              <w:widowControl/>
              <w:spacing w:line="240" w:lineRule="exact"/>
              <w:jc w:val="center"/>
              <w:rPr>
                <w:rFonts w:hint="eastAsia" w:ascii="仿宋_GB2312" w:hAnsi="仿宋_GB2312" w:eastAsia="仿宋_GB2312" w:cs="仿宋_GB2312"/>
                <w:color w:val="000000"/>
                <w:kern w:val="2"/>
                <w:sz w:val="20"/>
                <w:szCs w:val="20"/>
                <w:highlight w:val="none"/>
                <w:lang w:val="en-US" w:eastAsia="zh-CN" w:bidi="ar-SA"/>
              </w:rPr>
            </w:pPr>
            <w:r>
              <w:rPr>
                <w:rFonts w:hint="eastAsia" w:ascii="仿宋_GB2312" w:hAnsi="仿宋_GB2312" w:eastAsia="仿宋_GB2312" w:cs="仿宋_GB2312"/>
                <w:color w:val="000000"/>
                <w:sz w:val="20"/>
                <w:szCs w:val="20"/>
                <w:highlight w:val="none"/>
              </w:rPr>
              <w:t>益指标</w:t>
            </w:r>
          </w:p>
        </w:tc>
        <w:tc>
          <w:tcPr>
            <w:tcW w:w="1622" w:type="dxa"/>
            <w:tcBorders>
              <w:top w:val="single" w:color="auto" w:sz="4" w:space="0"/>
              <w:left w:val="single" w:color="auto" w:sz="4" w:space="0"/>
              <w:bottom w:val="single" w:color="auto" w:sz="4" w:space="0"/>
              <w:right w:val="single" w:color="auto" w:sz="4" w:space="0"/>
            </w:tcBorders>
            <w:noWrap w:val="0"/>
            <w:vAlign w:val="center"/>
          </w:tcPr>
          <w:p w14:paraId="006E764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区域内</w:t>
            </w:r>
            <w:r>
              <w:rPr>
                <w:rFonts w:hint="eastAsia" w:ascii="仿宋_GB2312" w:hAnsi="仿宋_GB2312" w:eastAsia="仿宋_GB2312" w:cs="仿宋_GB2312"/>
                <w:color w:val="000000"/>
                <w:sz w:val="20"/>
                <w:szCs w:val="20"/>
                <w:highlight w:val="none"/>
              </w:rPr>
              <w:t>生态环境考核</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0E49AFE8">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达标</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3623D41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达标</w:t>
            </w:r>
          </w:p>
        </w:tc>
        <w:tc>
          <w:tcPr>
            <w:tcW w:w="596" w:type="dxa"/>
            <w:tcBorders>
              <w:top w:val="single" w:color="auto" w:sz="4" w:space="0"/>
              <w:left w:val="single" w:color="auto" w:sz="4" w:space="0"/>
              <w:bottom w:val="single" w:color="auto" w:sz="4" w:space="0"/>
              <w:right w:val="single" w:color="auto" w:sz="4" w:space="0"/>
            </w:tcBorders>
            <w:noWrap w:val="0"/>
            <w:vAlign w:val="center"/>
          </w:tcPr>
          <w:p w14:paraId="4EEE1D2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039" w:type="dxa"/>
            <w:tcBorders>
              <w:top w:val="single" w:color="auto" w:sz="4" w:space="0"/>
              <w:left w:val="single" w:color="auto" w:sz="4" w:space="0"/>
              <w:bottom w:val="single" w:color="auto" w:sz="4" w:space="0"/>
              <w:right w:val="single" w:color="auto" w:sz="4" w:space="0"/>
            </w:tcBorders>
            <w:noWrap w:val="0"/>
            <w:vAlign w:val="center"/>
          </w:tcPr>
          <w:p w14:paraId="4955C08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6D9721F">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F1597E5">
        <w:tblPrEx>
          <w:tblCellMar>
            <w:top w:w="0" w:type="dxa"/>
            <w:left w:w="108" w:type="dxa"/>
            <w:bottom w:w="0" w:type="dxa"/>
            <w:right w:w="108" w:type="dxa"/>
          </w:tblCellMar>
        </w:tblPrEx>
        <w:trPr>
          <w:jc w:val="center"/>
        </w:trPr>
        <w:tc>
          <w:tcPr>
            <w:tcW w:w="998" w:type="dxa"/>
            <w:vMerge w:val="continue"/>
            <w:tcBorders>
              <w:left w:val="single" w:color="auto" w:sz="4" w:space="0"/>
              <w:right w:val="single" w:color="auto" w:sz="4" w:space="0"/>
            </w:tcBorders>
            <w:noWrap w:val="0"/>
            <w:vAlign w:val="center"/>
          </w:tcPr>
          <w:p w14:paraId="2E7978E3">
            <w:pPr>
              <w:spacing w:line="240" w:lineRule="exact"/>
              <w:jc w:val="left"/>
              <w:rPr>
                <w:rFonts w:hint="eastAsia" w:ascii="仿宋_GB2312" w:hAnsi="仿宋_GB2312" w:eastAsia="仿宋_GB2312" w:cs="仿宋_GB2312"/>
                <w:color w:val="000000"/>
                <w:sz w:val="20"/>
                <w:szCs w:val="20"/>
                <w:highlight w:val="none"/>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14:paraId="6E3CBD12">
            <w:pPr>
              <w:widowControl/>
              <w:spacing w:line="240" w:lineRule="exact"/>
              <w:jc w:val="center"/>
              <w:rPr>
                <w:rFonts w:hint="eastAsia" w:ascii="仿宋_GB2312" w:hAnsi="仿宋_GB2312" w:eastAsia="仿宋_GB2312" w:cs="仿宋_GB2312"/>
                <w:color w:val="000000"/>
                <w:sz w:val="20"/>
                <w:szCs w:val="20"/>
                <w:highlight w:val="none"/>
              </w:rPr>
            </w:pPr>
          </w:p>
        </w:tc>
        <w:tc>
          <w:tcPr>
            <w:tcW w:w="106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567CF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622" w:type="dxa"/>
            <w:tcBorders>
              <w:top w:val="single" w:color="auto" w:sz="4" w:space="0"/>
              <w:left w:val="single" w:color="auto" w:sz="4" w:space="0"/>
              <w:bottom w:val="single" w:color="auto" w:sz="4" w:space="0"/>
              <w:right w:val="single" w:color="auto" w:sz="4" w:space="0"/>
            </w:tcBorders>
            <w:noWrap w:val="0"/>
            <w:vAlign w:val="center"/>
          </w:tcPr>
          <w:p w14:paraId="290DD5D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绿色发展稳步推进</w:t>
            </w:r>
          </w:p>
        </w:tc>
        <w:tc>
          <w:tcPr>
            <w:tcW w:w="1225" w:type="dxa"/>
            <w:tcBorders>
              <w:top w:val="single" w:color="auto" w:sz="4" w:space="0"/>
              <w:left w:val="single" w:color="auto" w:sz="4" w:space="0"/>
              <w:bottom w:val="single" w:color="auto" w:sz="4" w:space="0"/>
              <w:right w:val="single" w:color="auto" w:sz="4" w:space="0"/>
            </w:tcBorders>
            <w:noWrap w:val="0"/>
            <w:vAlign w:val="center"/>
          </w:tcPr>
          <w:p w14:paraId="7006CE2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效益明显</w:t>
            </w:r>
          </w:p>
        </w:tc>
        <w:tc>
          <w:tcPr>
            <w:tcW w:w="1273" w:type="dxa"/>
            <w:tcBorders>
              <w:top w:val="single" w:color="auto" w:sz="4" w:space="0"/>
              <w:left w:val="single" w:color="auto" w:sz="4" w:space="0"/>
              <w:bottom w:val="single" w:color="auto" w:sz="4" w:space="0"/>
              <w:right w:val="single" w:color="auto" w:sz="4" w:space="0"/>
            </w:tcBorders>
            <w:noWrap w:val="0"/>
            <w:vAlign w:val="center"/>
          </w:tcPr>
          <w:p w14:paraId="3A3D113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效益明显</w:t>
            </w:r>
          </w:p>
        </w:tc>
        <w:tc>
          <w:tcPr>
            <w:tcW w:w="596" w:type="dxa"/>
            <w:tcBorders>
              <w:top w:val="single" w:color="auto" w:sz="4" w:space="0"/>
              <w:left w:val="single" w:color="auto" w:sz="4" w:space="0"/>
              <w:bottom w:val="single" w:color="auto" w:sz="4" w:space="0"/>
              <w:right w:val="single" w:color="auto" w:sz="4" w:space="0"/>
            </w:tcBorders>
            <w:noWrap w:val="0"/>
            <w:vAlign w:val="center"/>
          </w:tcPr>
          <w:p w14:paraId="5887471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039" w:type="dxa"/>
            <w:tcBorders>
              <w:top w:val="single" w:color="auto" w:sz="4" w:space="0"/>
              <w:left w:val="single" w:color="auto" w:sz="4" w:space="0"/>
              <w:bottom w:val="single" w:color="auto" w:sz="4" w:space="0"/>
              <w:right w:val="single" w:color="auto" w:sz="4" w:space="0"/>
            </w:tcBorders>
            <w:noWrap w:val="0"/>
            <w:vAlign w:val="center"/>
          </w:tcPr>
          <w:p w14:paraId="59D0ED87">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67A49164">
            <w:pPr>
              <w:widowControl/>
              <w:spacing w:line="240" w:lineRule="exact"/>
              <w:jc w:val="left"/>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06AAFDC">
        <w:tblPrEx>
          <w:tblCellMar>
            <w:top w:w="0" w:type="dxa"/>
            <w:left w:w="108" w:type="dxa"/>
            <w:bottom w:w="0" w:type="dxa"/>
            <w:right w:w="108" w:type="dxa"/>
          </w:tblCellMar>
        </w:tblPrEx>
        <w:trPr>
          <w:trHeight w:val="661" w:hRule="atLeast"/>
          <w:jc w:val="center"/>
        </w:trPr>
        <w:tc>
          <w:tcPr>
            <w:tcW w:w="998" w:type="dxa"/>
            <w:vMerge w:val="continue"/>
            <w:tcBorders>
              <w:left w:val="single" w:color="auto" w:sz="4" w:space="0"/>
              <w:right w:val="single" w:color="auto" w:sz="4" w:space="0"/>
            </w:tcBorders>
            <w:noWrap w:val="0"/>
            <w:vAlign w:val="center"/>
          </w:tcPr>
          <w:p w14:paraId="60827524">
            <w:pPr>
              <w:spacing w:line="240" w:lineRule="exact"/>
              <w:jc w:val="left"/>
              <w:rPr>
                <w:rFonts w:hint="eastAsia" w:ascii="仿宋_GB2312" w:hAnsi="仿宋_GB2312" w:eastAsia="仿宋_GB2312" w:cs="仿宋_GB2312"/>
                <w:color w:val="000000"/>
                <w:sz w:val="20"/>
                <w:szCs w:val="20"/>
                <w:highlight w:val="none"/>
              </w:rPr>
            </w:pPr>
          </w:p>
        </w:tc>
        <w:tc>
          <w:tcPr>
            <w:tcW w:w="1095" w:type="dxa"/>
            <w:tcBorders>
              <w:top w:val="single" w:color="auto" w:sz="4" w:space="0"/>
              <w:left w:val="single" w:color="auto" w:sz="4" w:space="0"/>
              <w:bottom w:val="single" w:color="auto" w:sz="4" w:space="0"/>
              <w:right w:val="single" w:color="auto" w:sz="4" w:space="0"/>
            </w:tcBorders>
            <w:noWrap w:val="0"/>
            <w:vAlign w:val="center"/>
          </w:tcPr>
          <w:p w14:paraId="581E5B5F">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294F75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74C22C6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04454102">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622" w:type="dxa"/>
            <w:tcBorders>
              <w:top w:val="single" w:color="auto" w:sz="4" w:space="0"/>
              <w:left w:val="nil"/>
              <w:bottom w:val="single" w:color="auto" w:sz="4" w:space="0"/>
              <w:right w:val="single" w:color="auto" w:sz="4" w:space="0"/>
            </w:tcBorders>
            <w:noWrap w:val="0"/>
            <w:vAlign w:val="center"/>
          </w:tcPr>
          <w:p w14:paraId="5550D06A">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全体人民群众</w:t>
            </w:r>
          </w:p>
        </w:tc>
        <w:tc>
          <w:tcPr>
            <w:tcW w:w="1225" w:type="dxa"/>
            <w:tcBorders>
              <w:top w:val="single" w:color="auto" w:sz="4" w:space="0"/>
              <w:left w:val="nil"/>
              <w:bottom w:val="single" w:color="auto" w:sz="4" w:space="0"/>
              <w:right w:val="single" w:color="auto" w:sz="4" w:space="0"/>
            </w:tcBorders>
            <w:noWrap w:val="0"/>
            <w:vAlign w:val="center"/>
          </w:tcPr>
          <w:p w14:paraId="5993817F">
            <w:pPr>
              <w:widowControl/>
              <w:spacing w:line="240" w:lineRule="exact"/>
              <w:jc w:val="center"/>
              <w:rPr>
                <w:rFonts w:hint="eastAsia" w:ascii="仿宋_GB2312" w:hAnsi="仿宋_GB2312" w:eastAsia="仿宋_GB2312" w:cs="仿宋_GB2312"/>
                <w:color w:val="000000"/>
                <w:sz w:val="20"/>
                <w:szCs w:val="20"/>
                <w:highlight w:val="none"/>
              </w:rPr>
            </w:pPr>
            <w:r>
              <w:rPr>
                <w:rFonts w:hint="default" w:ascii="仿宋_GB2312" w:hAnsi="仿宋_GB2312" w:eastAsia="仿宋_GB2312" w:cs="仿宋_GB2312"/>
                <w:color w:val="000000"/>
                <w:sz w:val="20"/>
                <w:szCs w:val="20"/>
                <w:highlight w:val="none"/>
              </w:rPr>
              <w:t>≥</w:t>
            </w:r>
            <w:r>
              <w:rPr>
                <w:rFonts w:hint="eastAsia" w:ascii="仿宋_GB2312" w:hAnsi="仿宋_GB2312" w:eastAsia="仿宋_GB2312" w:cs="仿宋_GB2312"/>
                <w:color w:val="000000"/>
                <w:sz w:val="20"/>
                <w:szCs w:val="20"/>
                <w:highlight w:val="none"/>
                <w:lang w:val="en-US" w:eastAsia="zh-CN"/>
              </w:rPr>
              <w:t>95%</w:t>
            </w:r>
          </w:p>
        </w:tc>
        <w:tc>
          <w:tcPr>
            <w:tcW w:w="1273" w:type="dxa"/>
            <w:tcBorders>
              <w:top w:val="single" w:color="auto" w:sz="4" w:space="0"/>
              <w:left w:val="nil"/>
              <w:bottom w:val="single" w:color="auto" w:sz="4" w:space="0"/>
              <w:right w:val="single" w:color="auto" w:sz="4" w:space="0"/>
            </w:tcBorders>
            <w:noWrap w:val="0"/>
            <w:vAlign w:val="center"/>
          </w:tcPr>
          <w:p w14:paraId="46CA1CEE">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96%</w:t>
            </w:r>
          </w:p>
        </w:tc>
        <w:tc>
          <w:tcPr>
            <w:tcW w:w="596" w:type="dxa"/>
            <w:tcBorders>
              <w:top w:val="single" w:color="auto" w:sz="4" w:space="0"/>
              <w:left w:val="nil"/>
              <w:bottom w:val="single" w:color="auto" w:sz="4" w:space="0"/>
              <w:right w:val="single" w:color="auto" w:sz="4" w:space="0"/>
            </w:tcBorders>
            <w:noWrap w:val="0"/>
            <w:vAlign w:val="center"/>
          </w:tcPr>
          <w:p w14:paraId="64BD1651">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039" w:type="dxa"/>
            <w:tcBorders>
              <w:top w:val="single" w:color="auto" w:sz="4" w:space="0"/>
              <w:left w:val="nil"/>
              <w:bottom w:val="single" w:color="auto" w:sz="4" w:space="0"/>
              <w:right w:val="single" w:color="auto" w:sz="4" w:space="0"/>
            </w:tcBorders>
            <w:noWrap w:val="0"/>
            <w:vAlign w:val="center"/>
          </w:tcPr>
          <w:p w14:paraId="6D6A25B4">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168" w:type="dxa"/>
            <w:tcBorders>
              <w:top w:val="single" w:color="auto" w:sz="4" w:space="0"/>
              <w:left w:val="nil"/>
              <w:bottom w:val="single" w:color="auto" w:sz="4" w:space="0"/>
              <w:right w:val="single" w:color="auto" w:sz="4" w:space="0"/>
            </w:tcBorders>
            <w:noWrap w:val="0"/>
            <w:vAlign w:val="center"/>
          </w:tcPr>
          <w:p w14:paraId="7E456BBA">
            <w:pPr>
              <w:widowControl/>
              <w:spacing w:line="240" w:lineRule="exact"/>
              <w:jc w:val="left"/>
              <w:rPr>
                <w:rFonts w:hint="eastAsia" w:ascii="仿宋_GB2312" w:hAnsi="仿宋_GB2312" w:eastAsia="仿宋_GB2312" w:cs="仿宋_GB2312"/>
                <w:color w:val="000000"/>
                <w:sz w:val="20"/>
                <w:szCs w:val="20"/>
                <w:highlight w:val="none"/>
              </w:rPr>
            </w:pPr>
          </w:p>
        </w:tc>
      </w:tr>
      <w:tr w14:paraId="550D16DB">
        <w:tblPrEx>
          <w:tblCellMar>
            <w:top w:w="0" w:type="dxa"/>
            <w:left w:w="108" w:type="dxa"/>
            <w:bottom w:w="0" w:type="dxa"/>
            <w:right w:w="108" w:type="dxa"/>
          </w:tblCellMar>
        </w:tblPrEx>
        <w:trPr>
          <w:trHeight w:val="270" w:hRule="atLeast"/>
          <w:jc w:val="center"/>
        </w:trPr>
        <w:tc>
          <w:tcPr>
            <w:tcW w:w="7276" w:type="dxa"/>
            <w:gridSpan w:val="6"/>
            <w:tcBorders>
              <w:top w:val="single" w:color="auto" w:sz="4" w:space="0"/>
              <w:left w:val="single" w:color="auto" w:sz="4" w:space="0"/>
              <w:bottom w:val="single" w:color="auto" w:sz="4" w:space="0"/>
              <w:right w:val="single" w:color="000000" w:sz="4" w:space="0"/>
            </w:tcBorders>
            <w:noWrap w:val="0"/>
            <w:vAlign w:val="center"/>
          </w:tcPr>
          <w:p w14:paraId="3A7E7725">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596" w:type="dxa"/>
            <w:tcBorders>
              <w:top w:val="nil"/>
              <w:left w:val="nil"/>
              <w:bottom w:val="single" w:color="auto" w:sz="4" w:space="0"/>
              <w:right w:val="single" w:color="auto" w:sz="4" w:space="0"/>
            </w:tcBorders>
            <w:noWrap w:val="0"/>
            <w:vAlign w:val="center"/>
          </w:tcPr>
          <w:p w14:paraId="7419F78C">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1039" w:type="dxa"/>
            <w:tcBorders>
              <w:top w:val="nil"/>
              <w:left w:val="nil"/>
              <w:bottom w:val="single" w:color="auto" w:sz="4" w:space="0"/>
              <w:right w:val="single" w:color="auto" w:sz="4" w:space="0"/>
            </w:tcBorders>
            <w:noWrap w:val="0"/>
            <w:vAlign w:val="center"/>
          </w:tcPr>
          <w:p w14:paraId="5F064185">
            <w:pPr>
              <w:widowControl/>
              <w:spacing w:line="240" w:lineRule="exact"/>
              <w:jc w:val="left"/>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9</w:t>
            </w:r>
            <w:bookmarkStart w:id="0" w:name="_GoBack"/>
            <w:bookmarkEnd w:id="0"/>
            <w:r>
              <w:rPr>
                <w:rFonts w:hint="eastAsia" w:ascii="仿宋_GB2312" w:hAnsi="仿宋_GB2312" w:eastAsia="仿宋_GB2312" w:cs="仿宋_GB2312"/>
                <w:color w:val="000000"/>
                <w:sz w:val="20"/>
                <w:szCs w:val="20"/>
                <w:highlight w:val="none"/>
                <w:lang w:val="en-US" w:eastAsia="zh-CN"/>
              </w:rPr>
              <w:t>9.21</w:t>
            </w:r>
          </w:p>
        </w:tc>
        <w:tc>
          <w:tcPr>
            <w:tcW w:w="1168" w:type="dxa"/>
            <w:tcBorders>
              <w:top w:val="nil"/>
              <w:left w:val="nil"/>
              <w:bottom w:val="single" w:color="auto" w:sz="4" w:space="0"/>
              <w:right w:val="single" w:color="auto" w:sz="4" w:space="0"/>
            </w:tcBorders>
            <w:noWrap w:val="0"/>
            <w:vAlign w:val="center"/>
          </w:tcPr>
          <w:p w14:paraId="46BE099D">
            <w:pPr>
              <w:widowControl/>
              <w:spacing w:line="240" w:lineRule="exact"/>
              <w:jc w:val="left"/>
              <w:rPr>
                <w:rFonts w:hint="eastAsia" w:ascii="仿宋_GB2312" w:hAnsi="仿宋_GB2312" w:eastAsia="仿宋_GB2312" w:cs="仿宋_GB2312"/>
                <w:color w:val="000000"/>
                <w:sz w:val="20"/>
                <w:szCs w:val="20"/>
                <w:highlight w:val="none"/>
              </w:rPr>
            </w:pPr>
          </w:p>
        </w:tc>
      </w:tr>
    </w:tbl>
    <w:p w14:paraId="5B006F0E">
      <w:pPr>
        <w:widowControl/>
        <w:spacing w:line="600" w:lineRule="exact"/>
        <w:jc w:val="left"/>
        <w:rPr>
          <w:rFonts w:hint="eastAsia" w:ascii="黑体" w:hAnsi="黑体" w:eastAsia="黑体" w:cs="黑体"/>
          <w:sz w:val="32"/>
          <w:szCs w:val="32"/>
          <w:highlight w:val="none"/>
          <w:lang w:val="en-US" w:eastAsia="zh-CN"/>
        </w:rPr>
      </w:pPr>
      <w:r>
        <w:rPr>
          <w:rFonts w:hint="default" w:ascii="Times New Roman" w:hAnsi="Times New Roman" w:eastAsia="仿宋_GB2312" w:cs="Times New Roman"/>
          <w:sz w:val="22"/>
          <w:szCs w:val="22"/>
          <w:highlight w:val="none"/>
        </w:rPr>
        <w:t xml:space="preserve">填表人：      填报日期：         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单位负责人签字：</w:t>
      </w:r>
      <w:r>
        <w:rPr>
          <w:rFonts w:hint="default" w:ascii="Times New Roman" w:hAnsi="Times New Roman" w:eastAsia="仿宋_GB2312" w:cs="Times New Roman"/>
          <w:sz w:val="22"/>
          <w:szCs w:val="2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4E823395">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0EC42ADA">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3DF15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01F83B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49DFAF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lang w:val="en-US" w:eastAsia="zh-CN"/>
              </w:rPr>
              <w:t>环境监察、监测等运行经费</w:t>
            </w:r>
          </w:p>
        </w:tc>
      </w:tr>
      <w:tr w14:paraId="67EFFB1D">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1A0DA21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7385B26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岳阳市生态环境局</w:t>
            </w:r>
          </w:p>
        </w:tc>
        <w:tc>
          <w:tcPr>
            <w:tcW w:w="1134" w:type="dxa"/>
            <w:tcBorders>
              <w:top w:val="single" w:color="auto" w:sz="4" w:space="0"/>
              <w:left w:val="nil"/>
              <w:bottom w:val="single" w:color="auto" w:sz="4" w:space="0"/>
              <w:right w:val="single" w:color="000000" w:sz="4" w:space="0"/>
            </w:tcBorders>
            <w:noWrap w:val="0"/>
            <w:vAlign w:val="center"/>
          </w:tcPr>
          <w:p w14:paraId="785928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03C20E5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岳阳市生态环境局岳阳楼分局</w:t>
            </w:r>
          </w:p>
        </w:tc>
      </w:tr>
      <w:tr w14:paraId="34F0DC9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7C983D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713B033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1D3BA8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50C70B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06439D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277CAB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1A83E54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79387DA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52DE561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4A996F9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7C0EDE3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6D047BF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22FFF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50B93E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55AD2C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23E7350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243.92</w:t>
            </w:r>
          </w:p>
        </w:tc>
        <w:tc>
          <w:tcPr>
            <w:tcW w:w="1134" w:type="dxa"/>
            <w:tcBorders>
              <w:top w:val="nil"/>
              <w:left w:val="nil"/>
              <w:bottom w:val="single" w:color="auto" w:sz="4" w:space="0"/>
              <w:right w:val="single" w:color="auto" w:sz="4" w:space="0"/>
            </w:tcBorders>
            <w:noWrap w:val="0"/>
            <w:vAlign w:val="center"/>
          </w:tcPr>
          <w:p w14:paraId="0A30D6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243.92</w:t>
            </w:r>
          </w:p>
        </w:tc>
        <w:tc>
          <w:tcPr>
            <w:tcW w:w="828" w:type="dxa"/>
            <w:tcBorders>
              <w:top w:val="nil"/>
              <w:left w:val="nil"/>
              <w:bottom w:val="single" w:color="auto" w:sz="4" w:space="0"/>
              <w:right w:val="single" w:color="auto" w:sz="4" w:space="0"/>
            </w:tcBorders>
            <w:noWrap w:val="0"/>
            <w:vAlign w:val="center"/>
          </w:tcPr>
          <w:p w14:paraId="2DEE5E2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10B70A5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29F7DE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14:paraId="1BA58CF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EDBA16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1DFD1E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2ADB2CB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FADBEC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B0D23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468D14F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4212A02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976A87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3B3696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C91DC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A5E57F0">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31426AB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10443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012CEA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1C1B60F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07A9C8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44C1762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500091F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6B2700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E4017A0">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133165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5BBC8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243.92</w:t>
            </w:r>
          </w:p>
        </w:tc>
        <w:tc>
          <w:tcPr>
            <w:tcW w:w="1134" w:type="dxa"/>
            <w:tcBorders>
              <w:top w:val="nil"/>
              <w:left w:val="nil"/>
              <w:bottom w:val="single" w:color="auto" w:sz="4" w:space="0"/>
              <w:right w:val="single" w:color="auto" w:sz="4" w:space="0"/>
            </w:tcBorders>
            <w:noWrap w:val="0"/>
            <w:vAlign w:val="center"/>
          </w:tcPr>
          <w:p w14:paraId="037AFFE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243.92</w:t>
            </w:r>
          </w:p>
        </w:tc>
        <w:tc>
          <w:tcPr>
            <w:tcW w:w="828" w:type="dxa"/>
            <w:tcBorders>
              <w:top w:val="nil"/>
              <w:left w:val="nil"/>
              <w:bottom w:val="single" w:color="auto" w:sz="4" w:space="0"/>
              <w:right w:val="single" w:color="auto" w:sz="4" w:space="0"/>
            </w:tcBorders>
            <w:noWrap w:val="0"/>
            <w:vAlign w:val="center"/>
          </w:tcPr>
          <w:p w14:paraId="34A79C0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1BD86DA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3B9493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7486883">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24725E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25DE65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6E7468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30D4186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97AEC8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2B4BDBE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目标1：日常环境监管、执法工作；</w:t>
            </w:r>
          </w:p>
          <w:p w14:paraId="0731AD20">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目标2：委托第三方进行执法性监督监测；</w:t>
            </w:r>
          </w:p>
          <w:p w14:paraId="5D9E407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lang w:eastAsia="zh-CN"/>
              </w:rPr>
              <w:t>目标3：环保迎检、应急处置经费；</w:t>
            </w:r>
          </w:p>
          <w:p w14:paraId="33526652">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目标4：节能环保宣传费用。</w:t>
            </w:r>
          </w:p>
        </w:tc>
        <w:tc>
          <w:tcPr>
            <w:tcW w:w="4253" w:type="dxa"/>
            <w:gridSpan w:val="4"/>
            <w:tcBorders>
              <w:top w:val="single" w:color="auto" w:sz="4" w:space="0"/>
              <w:left w:val="nil"/>
              <w:bottom w:val="single" w:color="auto" w:sz="4" w:space="0"/>
              <w:right w:val="single" w:color="auto" w:sz="4" w:space="0"/>
            </w:tcBorders>
            <w:noWrap w:val="0"/>
            <w:vAlign w:val="center"/>
          </w:tcPr>
          <w:p w14:paraId="1B2067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已完成</w:t>
            </w:r>
          </w:p>
        </w:tc>
      </w:tr>
      <w:tr w14:paraId="6EDA7C2F">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14E7EBA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043946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6780E5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5DD06D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6BA108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3617A1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4BE4E9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48EA23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45690B0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0E5CC2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26F7C6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147744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28CC79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052FE80B">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611F0D4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F9FED0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58A1D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36BCFF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414313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9497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337328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监测频次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C635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每月一次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D0312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BF5AC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68405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40DA6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2BFC00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B9E2E2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265E20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6CFB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69628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各种整治符合环保标准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9DCA4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完成主要污染物减排目标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5A04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95FCD8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24DD0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D6A91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E533CB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C38EA3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C22515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77BB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0BC27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按时完成各项指标任务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38C5D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2024年12月31日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F267B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B2EB7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76E86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B5C6B3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DC1C3E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5E21C1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A880B8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57A8E2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CD345C7">
            <w:pPr>
              <w:spacing w:line="3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工作经费和专项治理经费按要求控制在预算内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37EC0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243.92万元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555FDA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243.92万元</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AE118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67F2E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45FAB9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600184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FB90241">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5ED101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4E39FAA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118F057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3ADF791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AF16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42E90F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nil"/>
              <w:bottom w:val="single" w:color="auto" w:sz="4" w:space="0"/>
              <w:right w:val="single" w:color="auto" w:sz="4" w:space="0"/>
            </w:tcBorders>
            <w:noWrap w:val="0"/>
            <w:vAlign w:val="center"/>
          </w:tcPr>
          <w:p w14:paraId="1D9D4C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实现节能减排，减少环保治理经费</w:t>
            </w:r>
          </w:p>
        </w:tc>
        <w:tc>
          <w:tcPr>
            <w:tcW w:w="1134" w:type="dxa"/>
            <w:tcBorders>
              <w:top w:val="single" w:color="auto" w:sz="4" w:space="0"/>
              <w:left w:val="nil"/>
              <w:bottom w:val="single" w:color="auto" w:sz="4" w:space="0"/>
              <w:right w:val="single" w:color="auto" w:sz="4" w:space="0"/>
            </w:tcBorders>
            <w:noWrap w:val="0"/>
            <w:vAlign w:val="center"/>
          </w:tcPr>
          <w:p w14:paraId="5515E0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经济平稳发展</w:t>
            </w:r>
          </w:p>
        </w:tc>
        <w:tc>
          <w:tcPr>
            <w:tcW w:w="1134" w:type="dxa"/>
            <w:tcBorders>
              <w:top w:val="single" w:color="auto" w:sz="4" w:space="0"/>
              <w:left w:val="nil"/>
              <w:bottom w:val="single" w:color="auto" w:sz="4" w:space="0"/>
              <w:right w:val="single" w:color="auto" w:sz="4" w:space="0"/>
            </w:tcBorders>
            <w:noWrap w:val="0"/>
            <w:vAlign w:val="center"/>
          </w:tcPr>
          <w:p w14:paraId="2CCBB1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经济平稳发展</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nil"/>
              <w:bottom w:val="single" w:color="auto" w:sz="4" w:space="0"/>
              <w:right w:val="single" w:color="auto" w:sz="4" w:space="0"/>
            </w:tcBorders>
            <w:noWrap w:val="0"/>
            <w:vAlign w:val="center"/>
          </w:tcPr>
          <w:p w14:paraId="3A642D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55F8FE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12F6EF7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F6C77D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9D9CD7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A2F87C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0CAE2A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3D25A2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2EB5520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改善</w:t>
            </w:r>
            <w:r>
              <w:rPr>
                <w:rFonts w:hint="eastAsia" w:ascii="仿宋_GB2312" w:hAnsi="仿宋_GB2312" w:eastAsia="仿宋_GB2312" w:cs="仿宋_GB2312"/>
                <w:color w:val="000000"/>
                <w:sz w:val="20"/>
                <w:szCs w:val="20"/>
                <w:highlight w:val="none"/>
              </w:rPr>
              <w:t>达到环境质量控制目标</w:t>
            </w:r>
          </w:p>
        </w:tc>
        <w:tc>
          <w:tcPr>
            <w:tcW w:w="1134" w:type="dxa"/>
            <w:tcBorders>
              <w:top w:val="nil"/>
              <w:left w:val="nil"/>
              <w:bottom w:val="single" w:color="auto" w:sz="4" w:space="0"/>
              <w:right w:val="single" w:color="auto" w:sz="4" w:space="0"/>
            </w:tcBorders>
            <w:noWrap w:val="0"/>
            <w:vAlign w:val="center"/>
          </w:tcPr>
          <w:p w14:paraId="2B72611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有所改善</w:t>
            </w:r>
          </w:p>
        </w:tc>
        <w:tc>
          <w:tcPr>
            <w:tcW w:w="1134" w:type="dxa"/>
            <w:tcBorders>
              <w:top w:val="nil"/>
              <w:left w:val="nil"/>
              <w:bottom w:val="single" w:color="auto" w:sz="4" w:space="0"/>
              <w:right w:val="single" w:color="auto" w:sz="4" w:space="0"/>
            </w:tcBorders>
            <w:noWrap w:val="0"/>
            <w:vAlign w:val="center"/>
          </w:tcPr>
          <w:p w14:paraId="02F0E6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有所改善</w:t>
            </w:r>
          </w:p>
        </w:tc>
        <w:tc>
          <w:tcPr>
            <w:tcW w:w="828" w:type="dxa"/>
            <w:tcBorders>
              <w:top w:val="nil"/>
              <w:left w:val="nil"/>
              <w:bottom w:val="single" w:color="auto" w:sz="4" w:space="0"/>
              <w:right w:val="single" w:color="auto" w:sz="4" w:space="0"/>
            </w:tcBorders>
            <w:noWrap w:val="0"/>
            <w:vAlign w:val="center"/>
          </w:tcPr>
          <w:p w14:paraId="0580B7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85974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0A14EE5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DCE64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0FDC89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1690FC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B2D78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F05BA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787B1D5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促进环境质量认知度</w:t>
            </w:r>
          </w:p>
        </w:tc>
        <w:tc>
          <w:tcPr>
            <w:tcW w:w="1134" w:type="dxa"/>
            <w:tcBorders>
              <w:top w:val="nil"/>
              <w:left w:val="nil"/>
              <w:bottom w:val="single" w:color="auto" w:sz="4" w:space="0"/>
              <w:right w:val="single" w:color="auto" w:sz="4" w:space="0"/>
            </w:tcBorders>
            <w:noWrap w:val="0"/>
            <w:vAlign w:val="center"/>
          </w:tcPr>
          <w:p w14:paraId="55F6DC6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有所促进</w:t>
            </w:r>
          </w:p>
        </w:tc>
        <w:tc>
          <w:tcPr>
            <w:tcW w:w="1134" w:type="dxa"/>
            <w:tcBorders>
              <w:top w:val="nil"/>
              <w:left w:val="nil"/>
              <w:bottom w:val="single" w:color="auto" w:sz="4" w:space="0"/>
              <w:right w:val="single" w:color="auto" w:sz="4" w:space="0"/>
            </w:tcBorders>
            <w:noWrap w:val="0"/>
            <w:vAlign w:val="center"/>
          </w:tcPr>
          <w:p w14:paraId="60CE1F1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eastAsia="zh-CN"/>
              </w:rPr>
              <w:t>有所促进</w:t>
            </w:r>
          </w:p>
        </w:tc>
        <w:tc>
          <w:tcPr>
            <w:tcW w:w="828" w:type="dxa"/>
            <w:tcBorders>
              <w:top w:val="nil"/>
              <w:left w:val="nil"/>
              <w:bottom w:val="single" w:color="auto" w:sz="4" w:space="0"/>
              <w:right w:val="single" w:color="auto" w:sz="4" w:space="0"/>
            </w:tcBorders>
            <w:noWrap w:val="0"/>
            <w:vAlign w:val="center"/>
          </w:tcPr>
          <w:p w14:paraId="5D8A19F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7936E3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23EBAE0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7F146F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1E0D65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30422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152AC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nil"/>
              <w:left w:val="nil"/>
              <w:bottom w:val="single" w:color="auto" w:sz="4" w:space="0"/>
              <w:right w:val="single" w:color="auto" w:sz="4" w:space="0"/>
            </w:tcBorders>
            <w:noWrap w:val="0"/>
            <w:vAlign w:val="center"/>
          </w:tcPr>
          <w:p w14:paraId="004D24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推动辖区生态环境质量持续改善</w:t>
            </w:r>
          </w:p>
        </w:tc>
        <w:tc>
          <w:tcPr>
            <w:tcW w:w="1134" w:type="dxa"/>
            <w:tcBorders>
              <w:top w:val="nil"/>
              <w:left w:val="nil"/>
              <w:bottom w:val="single" w:color="auto" w:sz="4" w:space="0"/>
              <w:right w:val="single" w:color="auto" w:sz="4" w:space="0"/>
            </w:tcBorders>
            <w:noWrap w:val="0"/>
            <w:vAlign w:val="center"/>
          </w:tcPr>
          <w:p w14:paraId="7441A816">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环境质量稳步提升</w:t>
            </w:r>
          </w:p>
        </w:tc>
        <w:tc>
          <w:tcPr>
            <w:tcW w:w="1134" w:type="dxa"/>
            <w:tcBorders>
              <w:top w:val="nil"/>
              <w:left w:val="nil"/>
              <w:bottom w:val="single" w:color="auto" w:sz="4" w:space="0"/>
              <w:right w:val="single" w:color="auto" w:sz="4" w:space="0"/>
            </w:tcBorders>
            <w:noWrap w:val="0"/>
            <w:vAlign w:val="center"/>
          </w:tcPr>
          <w:p w14:paraId="0EB121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p>
        </w:tc>
        <w:tc>
          <w:tcPr>
            <w:tcW w:w="828" w:type="dxa"/>
            <w:tcBorders>
              <w:top w:val="nil"/>
              <w:left w:val="nil"/>
              <w:bottom w:val="single" w:color="auto" w:sz="4" w:space="0"/>
              <w:right w:val="single" w:color="auto" w:sz="4" w:space="0"/>
            </w:tcBorders>
            <w:noWrap w:val="0"/>
            <w:vAlign w:val="center"/>
          </w:tcPr>
          <w:p w14:paraId="3D25B8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4050DC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465B362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D0828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661875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826B7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36F60D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7A7E36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8C5CE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7EC4C1F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全体人民群众</w:t>
            </w:r>
          </w:p>
        </w:tc>
        <w:tc>
          <w:tcPr>
            <w:tcW w:w="1134" w:type="dxa"/>
            <w:tcBorders>
              <w:top w:val="nil"/>
              <w:left w:val="nil"/>
              <w:bottom w:val="single" w:color="auto" w:sz="4" w:space="0"/>
              <w:right w:val="single" w:color="auto" w:sz="4" w:space="0"/>
            </w:tcBorders>
            <w:noWrap w:val="0"/>
            <w:vAlign w:val="center"/>
          </w:tcPr>
          <w:p w14:paraId="0A5496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≥95%</w:t>
            </w:r>
          </w:p>
        </w:tc>
        <w:tc>
          <w:tcPr>
            <w:tcW w:w="1134" w:type="dxa"/>
            <w:tcBorders>
              <w:top w:val="nil"/>
              <w:left w:val="nil"/>
              <w:bottom w:val="single" w:color="auto" w:sz="4" w:space="0"/>
              <w:right w:val="single" w:color="auto" w:sz="4" w:space="0"/>
            </w:tcBorders>
            <w:noWrap w:val="0"/>
            <w:vAlign w:val="center"/>
          </w:tcPr>
          <w:p w14:paraId="418775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713EF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09EAF6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72AA187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23FF882">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06C75C7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20894A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46415C6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2C5A195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7EAF25AD">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3BF0CD51">
      <w:pPr>
        <w:rPr>
          <w:rFonts w:hint="default" w:ascii="Times New Roman" w:hAnsi="Times New Roman" w:eastAsia="仿宋_GB2312" w:cs="Times New Roman"/>
          <w:sz w:val="18"/>
          <w:szCs w:val="18"/>
          <w:highlight w:val="none"/>
          <w:lang w:eastAsia="zh-CN"/>
        </w:rPr>
      </w:pPr>
    </w:p>
    <w:p w14:paraId="562F0FA7">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2FF766B4">
      <w:pPr>
        <w:rPr>
          <w:rFonts w:hint="default" w:ascii="Times New Roman" w:hAnsi="Times New Roman" w:eastAsia="仿宋_GB2312" w:cs="Times New Roman"/>
          <w:sz w:val="22"/>
          <w:szCs w:val="22"/>
          <w:highlight w:val="none"/>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124183CF">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4E34FD79">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81F19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727B26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26CAD0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lang w:val="en-US" w:eastAsia="zh-CN"/>
              </w:rPr>
              <w:t>大气污染防治</w:t>
            </w:r>
          </w:p>
        </w:tc>
      </w:tr>
      <w:tr w14:paraId="57799464">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71AC2C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374931B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岳阳市生态环境局</w:t>
            </w:r>
          </w:p>
        </w:tc>
        <w:tc>
          <w:tcPr>
            <w:tcW w:w="1134" w:type="dxa"/>
            <w:tcBorders>
              <w:top w:val="single" w:color="auto" w:sz="4" w:space="0"/>
              <w:left w:val="nil"/>
              <w:bottom w:val="single" w:color="auto" w:sz="4" w:space="0"/>
              <w:right w:val="single" w:color="000000" w:sz="4" w:space="0"/>
            </w:tcBorders>
            <w:noWrap w:val="0"/>
            <w:vAlign w:val="center"/>
          </w:tcPr>
          <w:p w14:paraId="4291BD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1E0FEA6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岳阳市生态环境局岳阳楼分局</w:t>
            </w:r>
          </w:p>
        </w:tc>
      </w:tr>
      <w:tr w14:paraId="2C52E36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1173B4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208134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5EE769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0932AE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354840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4EFD68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1792AFC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781A8A7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7BEB224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1721181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057450F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1DD3787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43A178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41C0F46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54DAB3C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BDF21D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50</w:t>
            </w:r>
          </w:p>
        </w:tc>
        <w:tc>
          <w:tcPr>
            <w:tcW w:w="1134" w:type="dxa"/>
            <w:tcBorders>
              <w:top w:val="nil"/>
              <w:left w:val="nil"/>
              <w:bottom w:val="single" w:color="auto" w:sz="4" w:space="0"/>
              <w:right w:val="single" w:color="auto" w:sz="4" w:space="0"/>
            </w:tcBorders>
            <w:noWrap w:val="0"/>
            <w:vAlign w:val="center"/>
          </w:tcPr>
          <w:p w14:paraId="11D93B11">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50</w:t>
            </w:r>
          </w:p>
        </w:tc>
        <w:tc>
          <w:tcPr>
            <w:tcW w:w="828" w:type="dxa"/>
            <w:tcBorders>
              <w:top w:val="nil"/>
              <w:left w:val="nil"/>
              <w:bottom w:val="single" w:color="auto" w:sz="4" w:space="0"/>
              <w:right w:val="single" w:color="auto" w:sz="4" w:space="0"/>
            </w:tcBorders>
            <w:noWrap w:val="0"/>
            <w:vAlign w:val="center"/>
          </w:tcPr>
          <w:p w14:paraId="3DE65A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00173FE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6E024E5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14:paraId="4D71EF19">
        <w:tblPrEx>
          <w:tblCellMar>
            <w:top w:w="0" w:type="dxa"/>
            <w:left w:w="108" w:type="dxa"/>
            <w:bottom w:w="0" w:type="dxa"/>
            <w:right w:w="108" w:type="dxa"/>
          </w:tblCellMar>
        </w:tblPrEx>
        <w:trPr>
          <w:trHeight w:val="246"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133832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79B1B6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06F4B7C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D79516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50</w:t>
            </w:r>
          </w:p>
        </w:tc>
        <w:tc>
          <w:tcPr>
            <w:tcW w:w="1134" w:type="dxa"/>
            <w:tcBorders>
              <w:top w:val="nil"/>
              <w:left w:val="nil"/>
              <w:bottom w:val="single" w:color="auto" w:sz="4" w:space="0"/>
              <w:right w:val="single" w:color="auto" w:sz="4" w:space="0"/>
            </w:tcBorders>
            <w:noWrap w:val="0"/>
            <w:vAlign w:val="center"/>
          </w:tcPr>
          <w:p w14:paraId="30BBF28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xml:space="preserve">  50</w:t>
            </w:r>
          </w:p>
        </w:tc>
        <w:tc>
          <w:tcPr>
            <w:tcW w:w="828" w:type="dxa"/>
            <w:tcBorders>
              <w:top w:val="nil"/>
              <w:left w:val="nil"/>
              <w:bottom w:val="single" w:color="auto" w:sz="4" w:space="0"/>
              <w:right w:val="single" w:color="auto" w:sz="4" w:space="0"/>
            </w:tcBorders>
            <w:noWrap w:val="0"/>
            <w:vAlign w:val="center"/>
          </w:tcPr>
          <w:p w14:paraId="53C2262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1FBEC32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0FADFD3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2FBE487">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7C4534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110AB40D">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218C035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1EF21A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2B19DE0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7D7AEA9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5A4EA4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74AF1B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480E22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CC4E4A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019788A">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666C50B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0530E43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15B48E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1030DB5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108A2C5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050F02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1E5A223">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28F98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340684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1F13FA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7E3193C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220C59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4D10AD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排查涉气企业大气减排</w:t>
            </w:r>
          </w:p>
        </w:tc>
        <w:tc>
          <w:tcPr>
            <w:tcW w:w="4253" w:type="dxa"/>
            <w:gridSpan w:val="4"/>
            <w:tcBorders>
              <w:top w:val="single" w:color="auto" w:sz="4" w:space="0"/>
              <w:left w:val="nil"/>
              <w:bottom w:val="single" w:color="auto" w:sz="4" w:space="0"/>
              <w:right w:val="single" w:color="auto" w:sz="4" w:space="0"/>
            </w:tcBorders>
            <w:noWrap w:val="0"/>
            <w:vAlign w:val="center"/>
          </w:tcPr>
          <w:p w14:paraId="55F6A68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lang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w:t>
            </w:r>
            <w:r>
              <w:rPr>
                <w:rFonts w:hint="eastAsia" w:ascii="仿宋_GB2312" w:hAnsi="仿宋_GB2312" w:eastAsia="仿宋_GB2312" w:cs="仿宋_GB2312"/>
                <w:color w:val="000000"/>
                <w:sz w:val="20"/>
                <w:szCs w:val="20"/>
                <w:highlight w:val="none"/>
                <w:lang w:eastAsia="zh-CN"/>
              </w:rPr>
              <w:t>已完成</w:t>
            </w:r>
          </w:p>
        </w:tc>
      </w:tr>
      <w:tr w14:paraId="630FC390">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50BCF8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2BA34F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3AA5AA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69A191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6290A92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69800A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380C2D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6106E15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395D4F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45DB25E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62720C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76BE32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030DC0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3E411EB5">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4832150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D24C5E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49315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4D0916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055FA8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8AA18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EE9BA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排查涉气企业</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3A3D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60家</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14F0D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B2753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FBD7F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F0DAB0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C1EF6A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64A528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503407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7CD91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54370D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各种整治符合环保标准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987D8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完成主要污染物减排目标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8E3D9D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53442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42E1E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433B25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5079D5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B5DB0E7">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760CC4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F2465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799DB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按时完成各项指标任务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626FE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2024年12月31日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56E24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489BA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9AD75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B0F1F0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48A6A8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3F30CF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25E921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D0F7C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3B121CB9">
            <w:pPr>
              <w:spacing w:line="3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工作经费和专项治理经费按要求控制在预算内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0376B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50万元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EACC3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50万元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ED73B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AF24B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271457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F0950C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B958FD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9728C4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354FAA2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575A7C3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05C10EC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0903D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2E898C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nil"/>
              <w:bottom w:val="single" w:color="auto" w:sz="4" w:space="0"/>
              <w:right w:val="single" w:color="auto" w:sz="4" w:space="0"/>
            </w:tcBorders>
            <w:noWrap w:val="0"/>
            <w:vAlign w:val="center"/>
          </w:tcPr>
          <w:p w14:paraId="67D2D38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实现节能减排，减少环保治理经费</w:t>
            </w:r>
          </w:p>
        </w:tc>
        <w:tc>
          <w:tcPr>
            <w:tcW w:w="1134" w:type="dxa"/>
            <w:tcBorders>
              <w:top w:val="single" w:color="auto" w:sz="4" w:space="0"/>
              <w:left w:val="nil"/>
              <w:bottom w:val="single" w:color="auto" w:sz="4" w:space="0"/>
              <w:right w:val="single" w:color="auto" w:sz="4" w:space="0"/>
            </w:tcBorders>
            <w:noWrap w:val="0"/>
            <w:vAlign w:val="center"/>
          </w:tcPr>
          <w:p w14:paraId="4602BB5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经济平稳发展</w:t>
            </w:r>
          </w:p>
        </w:tc>
        <w:tc>
          <w:tcPr>
            <w:tcW w:w="1134" w:type="dxa"/>
            <w:tcBorders>
              <w:top w:val="single" w:color="auto" w:sz="4" w:space="0"/>
              <w:left w:val="nil"/>
              <w:bottom w:val="single" w:color="auto" w:sz="4" w:space="0"/>
              <w:right w:val="single" w:color="auto" w:sz="4" w:space="0"/>
            </w:tcBorders>
            <w:noWrap w:val="0"/>
            <w:vAlign w:val="center"/>
          </w:tcPr>
          <w:p w14:paraId="58978A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经济平稳发展</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nil"/>
              <w:bottom w:val="single" w:color="auto" w:sz="4" w:space="0"/>
              <w:right w:val="single" w:color="auto" w:sz="4" w:space="0"/>
            </w:tcBorders>
            <w:noWrap w:val="0"/>
            <w:vAlign w:val="center"/>
          </w:tcPr>
          <w:p w14:paraId="50411E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683B18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4707B07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E30E1D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4FE3CE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D6273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F8B7E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0DE193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16D721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改善居民生产、生活环境</w:t>
            </w:r>
          </w:p>
        </w:tc>
        <w:tc>
          <w:tcPr>
            <w:tcW w:w="1134" w:type="dxa"/>
            <w:tcBorders>
              <w:top w:val="nil"/>
              <w:left w:val="nil"/>
              <w:bottom w:val="single" w:color="auto" w:sz="4" w:space="0"/>
              <w:right w:val="single" w:color="auto" w:sz="4" w:space="0"/>
            </w:tcBorders>
            <w:noWrap w:val="0"/>
            <w:vAlign w:val="center"/>
          </w:tcPr>
          <w:p w14:paraId="42B90ED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有所改善</w:t>
            </w:r>
          </w:p>
        </w:tc>
        <w:tc>
          <w:tcPr>
            <w:tcW w:w="1134" w:type="dxa"/>
            <w:tcBorders>
              <w:top w:val="nil"/>
              <w:left w:val="nil"/>
              <w:bottom w:val="single" w:color="auto" w:sz="4" w:space="0"/>
              <w:right w:val="single" w:color="auto" w:sz="4" w:space="0"/>
            </w:tcBorders>
            <w:noWrap w:val="0"/>
            <w:vAlign w:val="center"/>
          </w:tcPr>
          <w:p w14:paraId="7482B0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有所改善</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708CCD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6A15622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58E4EF9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468983C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69FDB06">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9B056B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9F44C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01697E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5866A1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城区空气质量优良率</w:t>
            </w:r>
          </w:p>
        </w:tc>
        <w:tc>
          <w:tcPr>
            <w:tcW w:w="1134" w:type="dxa"/>
            <w:tcBorders>
              <w:top w:val="nil"/>
              <w:left w:val="nil"/>
              <w:bottom w:val="single" w:color="auto" w:sz="4" w:space="0"/>
              <w:right w:val="single" w:color="auto" w:sz="4" w:space="0"/>
            </w:tcBorders>
            <w:noWrap w:val="0"/>
            <w:vAlign w:val="center"/>
          </w:tcPr>
          <w:p w14:paraId="1CF07F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≥86%</w:t>
            </w:r>
          </w:p>
        </w:tc>
        <w:tc>
          <w:tcPr>
            <w:tcW w:w="1134" w:type="dxa"/>
            <w:tcBorders>
              <w:top w:val="nil"/>
              <w:left w:val="nil"/>
              <w:bottom w:val="single" w:color="auto" w:sz="4" w:space="0"/>
              <w:right w:val="single" w:color="auto" w:sz="4" w:space="0"/>
            </w:tcBorders>
            <w:noWrap w:val="0"/>
            <w:vAlign w:val="center"/>
          </w:tcPr>
          <w:p w14:paraId="644B694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p>
        </w:tc>
        <w:tc>
          <w:tcPr>
            <w:tcW w:w="828" w:type="dxa"/>
            <w:tcBorders>
              <w:top w:val="nil"/>
              <w:left w:val="nil"/>
              <w:bottom w:val="single" w:color="auto" w:sz="4" w:space="0"/>
              <w:right w:val="single" w:color="auto" w:sz="4" w:space="0"/>
            </w:tcBorders>
            <w:noWrap w:val="0"/>
            <w:vAlign w:val="center"/>
          </w:tcPr>
          <w:p w14:paraId="71EDA5A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0CD171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2556992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3A28DF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FFB43B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C0922F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5B50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nil"/>
              <w:left w:val="nil"/>
              <w:bottom w:val="single" w:color="auto" w:sz="4" w:space="0"/>
              <w:right w:val="single" w:color="auto" w:sz="4" w:space="0"/>
            </w:tcBorders>
            <w:noWrap w:val="0"/>
            <w:vAlign w:val="center"/>
          </w:tcPr>
          <w:p w14:paraId="547947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推动辖区生态环境质量持续改善</w:t>
            </w:r>
          </w:p>
        </w:tc>
        <w:tc>
          <w:tcPr>
            <w:tcW w:w="1134" w:type="dxa"/>
            <w:tcBorders>
              <w:top w:val="nil"/>
              <w:left w:val="nil"/>
              <w:bottom w:val="single" w:color="auto" w:sz="4" w:space="0"/>
              <w:right w:val="single" w:color="auto" w:sz="4" w:space="0"/>
            </w:tcBorders>
            <w:noWrap w:val="0"/>
            <w:vAlign w:val="center"/>
          </w:tcPr>
          <w:p w14:paraId="68B088D0">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环境质量稳步提升</w:t>
            </w:r>
          </w:p>
        </w:tc>
        <w:tc>
          <w:tcPr>
            <w:tcW w:w="1134" w:type="dxa"/>
            <w:tcBorders>
              <w:top w:val="nil"/>
              <w:left w:val="nil"/>
              <w:bottom w:val="single" w:color="auto" w:sz="4" w:space="0"/>
              <w:right w:val="single" w:color="auto" w:sz="4" w:space="0"/>
            </w:tcBorders>
            <w:noWrap w:val="0"/>
            <w:vAlign w:val="center"/>
          </w:tcPr>
          <w:p w14:paraId="323F676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p>
        </w:tc>
        <w:tc>
          <w:tcPr>
            <w:tcW w:w="828" w:type="dxa"/>
            <w:tcBorders>
              <w:top w:val="nil"/>
              <w:left w:val="nil"/>
              <w:bottom w:val="single" w:color="auto" w:sz="4" w:space="0"/>
              <w:right w:val="single" w:color="auto" w:sz="4" w:space="0"/>
            </w:tcBorders>
            <w:noWrap w:val="0"/>
            <w:vAlign w:val="center"/>
          </w:tcPr>
          <w:p w14:paraId="748BFB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5D1F03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07DA67FD">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89330F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42646C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7C1B0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297BB4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0A96F0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6ACAD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2F9A41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全体人民群众</w:t>
            </w:r>
          </w:p>
        </w:tc>
        <w:tc>
          <w:tcPr>
            <w:tcW w:w="1134" w:type="dxa"/>
            <w:tcBorders>
              <w:top w:val="nil"/>
              <w:left w:val="nil"/>
              <w:bottom w:val="single" w:color="auto" w:sz="4" w:space="0"/>
              <w:right w:val="single" w:color="auto" w:sz="4" w:space="0"/>
            </w:tcBorders>
            <w:noWrap w:val="0"/>
            <w:vAlign w:val="center"/>
          </w:tcPr>
          <w:p w14:paraId="6D2989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nil"/>
              <w:left w:val="nil"/>
              <w:bottom w:val="single" w:color="auto" w:sz="4" w:space="0"/>
              <w:right w:val="single" w:color="auto" w:sz="4" w:space="0"/>
            </w:tcBorders>
            <w:noWrap w:val="0"/>
            <w:vAlign w:val="center"/>
          </w:tcPr>
          <w:p w14:paraId="051C870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59AA09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3C7D63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6E5FF8E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1BD08D8">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37A4160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1D1DD9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2D81CE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3B10359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327E2BA7">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1F6A6830">
      <w:pPr>
        <w:rPr>
          <w:rFonts w:hint="default" w:ascii="Times New Roman" w:hAnsi="Times New Roman" w:eastAsia="仿宋_GB2312" w:cs="Times New Roman"/>
          <w:sz w:val="18"/>
          <w:szCs w:val="18"/>
          <w:highlight w:val="none"/>
          <w:lang w:eastAsia="zh-CN"/>
        </w:rPr>
      </w:pPr>
    </w:p>
    <w:p w14:paraId="6E7EF6E8">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534E5C7E">
      <w:pPr>
        <w:rPr>
          <w:rFonts w:hint="eastAsia" w:ascii="黑体" w:hAnsi="黑体" w:eastAsia="黑体" w:cs="黑体"/>
          <w:sz w:val="32"/>
          <w:szCs w:val="32"/>
          <w:highlight w:val="none"/>
        </w:rPr>
      </w:pPr>
    </w:p>
    <w:p w14:paraId="359827A8">
      <w:pPr>
        <w:rPr>
          <w:rFonts w:hint="default" w:ascii="Times New Roman" w:hAnsi="Times New Roman" w:eastAsia="仿宋_GB2312" w:cs="Times New Roman"/>
          <w:sz w:val="22"/>
          <w:szCs w:val="22"/>
          <w:highlight w:val="none"/>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3</w:t>
      </w:r>
    </w:p>
    <w:p w14:paraId="3FD095B6">
      <w:pPr>
        <w:widowControl/>
        <w:spacing w:line="600" w:lineRule="exact"/>
        <w:jc w:val="center"/>
        <w:rPr>
          <w:rFonts w:hint="eastAsia" w:ascii="方正小标宋简体" w:hAnsi="方正小标宋简体" w:eastAsia="方正小标宋简体" w:cs="方正小标宋简体"/>
          <w:color w:val="000000"/>
          <w:sz w:val="36"/>
          <w:szCs w:val="36"/>
          <w:highlight w:val="none"/>
        </w:rPr>
      </w:pPr>
      <w:r>
        <w:rPr>
          <w:rFonts w:hint="eastAsia" w:ascii="方正小标宋简体" w:hAnsi="方正小标宋简体" w:eastAsia="方正小标宋简体" w:cs="方正小标宋简体"/>
          <w:color w:val="000000"/>
          <w:sz w:val="36"/>
          <w:szCs w:val="36"/>
          <w:highlight w:val="none"/>
        </w:rPr>
        <w:t>202</w:t>
      </w:r>
      <w:r>
        <w:rPr>
          <w:rFonts w:hint="eastAsia" w:ascii="方正小标宋简体" w:hAnsi="方正小标宋简体" w:eastAsia="方正小标宋简体" w:cs="方正小标宋简体"/>
          <w:color w:val="000000"/>
          <w:sz w:val="36"/>
          <w:szCs w:val="36"/>
          <w:highlight w:val="none"/>
          <w:lang w:val="en-US" w:eastAsia="zh-CN"/>
        </w:rPr>
        <w:t>4</w:t>
      </w:r>
      <w:r>
        <w:rPr>
          <w:rFonts w:hint="eastAsia" w:ascii="方正小标宋简体" w:hAnsi="方正小标宋简体" w:eastAsia="方正小标宋简体" w:cs="方正小标宋简体"/>
          <w:color w:val="000000"/>
          <w:sz w:val="36"/>
          <w:szCs w:val="36"/>
          <w:highlight w:val="none"/>
        </w:rPr>
        <w:t>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873"/>
        <w:gridCol w:w="1418"/>
      </w:tblGrid>
      <w:tr w14:paraId="4E67F334">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FF857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项目支</w:t>
            </w:r>
          </w:p>
          <w:p w14:paraId="56A557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6B1527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sz w:val="20"/>
                <w:szCs w:val="20"/>
                <w:highlight w:val="none"/>
              </w:rPr>
              <w:t>污染减排生态环境执法监察</w:t>
            </w:r>
          </w:p>
        </w:tc>
      </w:tr>
      <w:tr w14:paraId="64C7055D">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1E8AEFF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36FA7ED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岳阳市生态环境局</w:t>
            </w:r>
          </w:p>
        </w:tc>
        <w:tc>
          <w:tcPr>
            <w:tcW w:w="1134" w:type="dxa"/>
            <w:tcBorders>
              <w:top w:val="single" w:color="auto" w:sz="4" w:space="0"/>
              <w:left w:val="nil"/>
              <w:bottom w:val="single" w:color="auto" w:sz="4" w:space="0"/>
              <w:right w:val="single" w:color="000000" w:sz="4" w:space="0"/>
            </w:tcBorders>
            <w:noWrap w:val="0"/>
            <w:vAlign w:val="center"/>
          </w:tcPr>
          <w:p w14:paraId="2480AB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6397CED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eastAsia="zh-CN"/>
              </w:rPr>
              <w:t>岳阳市生态环境局岳阳楼分局</w:t>
            </w:r>
          </w:p>
        </w:tc>
      </w:tr>
      <w:tr w14:paraId="795024CD">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0B58774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项目资金</w:t>
            </w:r>
            <w:r>
              <w:rPr>
                <w:rFonts w:hint="eastAsia" w:ascii="仿宋_GB2312" w:hAnsi="仿宋_GB2312" w:eastAsia="仿宋_GB2312" w:cs="仿宋_GB2312"/>
                <w:color w:val="000000"/>
                <w:sz w:val="20"/>
                <w:szCs w:val="20"/>
                <w:highlight w:val="none"/>
              </w:rPr>
              <w:br w:type="textWrapping"/>
            </w:r>
            <w:r>
              <w:rPr>
                <w:rFonts w:hint="eastAsia" w:ascii="仿宋_GB2312" w:hAnsi="仿宋_GB2312" w:eastAsia="仿宋_GB2312" w:cs="仿宋_GB2312"/>
                <w:color w:val="000000"/>
                <w:sz w:val="20"/>
                <w:szCs w:val="20"/>
                <w:highlight w:val="none"/>
              </w:rPr>
              <w:t>（万元）</w:t>
            </w:r>
          </w:p>
        </w:tc>
        <w:tc>
          <w:tcPr>
            <w:tcW w:w="2160" w:type="dxa"/>
            <w:gridSpan w:val="2"/>
            <w:tcBorders>
              <w:top w:val="nil"/>
              <w:left w:val="nil"/>
              <w:bottom w:val="single" w:color="auto" w:sz="4" w:space="0"/>
              <w:right w:val="single" w:color="auto" w:sz="4" w:space="0"/>
            </w:tcBorders>
            <w:noWrap w:val="0"/>
            <w:vAlign w:val="center"/>
          </w:tcPr>
          <w:p w14:paraId="194284B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224" w:type="dxa"/>
            <w:tcBorders>
              <w:top w:val="nil"/>
              <w:left w:val="nil"/>
              <w:bottom w:val="single" w:color="auto" w:sz="4" w:space="0"/>
              <w:right w:val="single" w:color="auto" w:sz="4" w:space="0"/>
            </w:tcBorders>
            <w:noWrap w:val="0"/>
            <w:vAlign w:val="center"/>
          </w:tcPr>
          <w:p w14:paraId="1A40AF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年初</w:t>
            </w:r>
          </w:p>
          <w:p w14:paraId="2957DE3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656456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全年</w:t>
            </w:r>
          </w:p>
          <w:p w14:paraId="6106A3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预算数</w:t>
            </w:r>
          </w:p>
        </w:tc>
        <w:tc>
          <w:tcPr>
            <w:tcW w:w="1134" w:type="dxa"/>
            <w:tcBorders>
              <w:top w:val="nil"/>
              <w:left w:val="nil"/>
              <w:bottom w:val="single" w:color="auto" w:sz="4" w:space="0"/>
              <w:right w:val="single" w:color="auto" w:sz="4" w:space="0"/>
            </w:tcBorders>
            <w:noWrap w:val="0"/>
            <w:vAlign w:val="center"/>
          </w:tcPr>
          <w:p w14:paraId="4A35E2E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全年</w:t>
            </w:r>
          </w:p>
          <w:p w14:paraId="3F40F0D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执行数</w:t>
            </w:r>
          </w:p>
        </w:tc>
        <w:tc>
          <w:tcPr>
            <w:tcW w:w="828" w:type="dxa"/>
            <w:tcBorders>
              <w:top w:val="nil"/>
              <w:left w:val="nil"/>
              <w:bottom w:val="single" w:color="auto" w:sz="4" w:space="0"/>
              <w:right w:val="single" w:color="auto" w:sz="4" w:space="0"/>
            </w:tcBorders>
            <w:noWrap w:val="0"/>
            <w:vAlign w:val="center"/>
          </w:tcPr>
          <w:p w14:paraId="503527C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4E94825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执行率</w:t>
            </w:r>
          </w:p>
        </w:tc>
        <w:tc>
          <w:tcPr>
            <w:tcW w:w="1418" w:type="dxa"/>
            <w:tcBorders>
              <w:top w:val="nil"/>
              <w:left w:val="nil"/>
              <w:bottom w:val="single" w:color="auto" w:sz="4" w:space="0"/>
              <w:right w:val="single" w:color="auto" w:sz="4" w:space="0"/>
            </w:tcBorders>
            <w:noWrap w:val="0"/>
            <w:vAlign w:val="center"/>
          </w:tcPr>
          <w:p w14:paraId="02CED51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得分</w:t>
            </w:r>
          </w:p>
        </w:tc>
      </w:tr>
      <w:tr w14:paraId="29A1E65C">
        <w:tblPrEx>
          <w:tblCellMar>
            <w:top w:w="0" w:type="dxa"/>
            <w:left w:w="108" w:type="dxa"/>
            <w:bottom w:w="0" w:type="dxa"/>
            <w:right w:w="108" w:type="dxa"/>
          </w:tblCellMar>
        </w:tblPrEx>
        <w:trPr>
          <w:trHeight w:val="191"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0BE4D0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33CAE9F1">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年度资金总额　</w:t>
            </w:r>
          </w:p>
        </w:tc>
        <w:tc>
          <w:tcPr>
            <w:tcW w:w="1224" w:type="dxa"/>
            <w:tcBorders>
              <w:top w:val="nil"/>
              <w:left w:val="nil"/>
              <w:bottom w:val="single" w:color="auto" w:sz="4" w:space="0"/>
              <w:right w:val="single" w:color="auto" w:sz="4" w:space="0"/>
            </w:tcBorders>
            <w:noWrap w:val="0"/>
            <w:vAlign w:val="center"/>
          </w:tcPr>
          <w:p w14:paraId="52C6C18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67DC8A8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71.71</w:t>
            </w:r>
          </w:p>
        </w:tc>
        <w:tc>
          <w:tcPr>
            <w:tcW w:w="1134" w:type="dxa"/>
            <w:tcBorders>
              <w:top w:val="nil"/>
              <w:left w:val="nil"/>
              <w:bottom w:val="single" w:color="auto" w:sz="4" w:space="0"/>
              <w:right w:val="single" w:color="auto" w:sz="4" w:space="0"/>
            </w:tcBorders>
            <w:noWrap w:val="0"/>
            <w:vAlign w:val="center"/>
          </w:tcPr>
          <w:p w14:paraId="28A121F2">
            <w:pPr>
              <w:keepNext w:val="0"/>
              <w:keepLines w:val="0"/>
              <w:pageBreakBefore w:val="0"/>
              <w:widowControl/>
              <w:kinsoku/>
              <w:wordWrap/>
              <w:overflowPunct/>
              <w:topLinePunct w:val="0"/>
              <w:autoSpaceDE/>
              <w:autoSpaceDN/>
              <w:bidi w:val="0"/>
              <w:adjustRightInd/>
              <w:snapToGrid/>
              <w:spacing w:line="260" w:lineRule="exact"/>
              <w:ind w:firstLine="200" w:firstLineChars="100"/>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71.71</w:t>
            </w:r>
          </w:p>
        </w:tc>
        <w:tc>
          <w:tcPr>
            <w:tcW w:w="828" w:type="dxa"/>
            <w:tcBorders>
              <w:top w:val="nil"/>
              <w:left w:val="nil"/>
              <w:bottom w:val="single" w:color="auto" w:sz="4" w:space="0"/>
              <w:right w:val="single" w:color="auto" w:sz="4" w:space="0"/>
            </w:tcBorders>
            <w:noWrap w:val="0"/>
            <w:vAlign w:val="center"/>
          </w:tcPr>
          <w:p w14:paraId="23613AB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10</w:t>
            </w:r>
          </w:p>
        </w:tc>
        <w:tc>
          <w:tcPr>
            <w:tcW w:w="873" w:type="dxa"/>
            <w:tcBorders>
              <w:top w:val="nil"/>
              <w:left w:val="nil"/>
              <w:bottom w:val="single" w:color="auto" w:sz="4" w:space="0"/>
              <w:right w:val="single" w:color="auto" w:sz="4" w:space="0"/>
            </w:tcBorders>
            <w:noWrap w:val="0"/>
            <w:vAlign w:val="center"/>
          </w:tcPr>
          <w:p w14:paraId="44EE85C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1C2B9FF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w:t>
            </w:r>
          </w:p>
        </w:tc>
      </w:tr>
      <w:tr w14:paraId="0AD336AF">
        <w:tblPrEx>
          <w:tblCellMar>
            <w:top w:w="0" w:type="dxa"/>
            <w:left w:w="108" w:type="dxa"/>
            <w:bottom w:w="0" w:type="dxa"/>
            <w:right w:w="108" w:type="dxa"/>
          </w:tblCellMar>
        </w:tblPrEx>
        <w:trPr>
          <w:trHeight w:val="246"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46EF99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7FB54ED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其中：当年财政拨款　</w:t>
            </w:r>
          </w:p>
        </w:tc>
        <w:tc>
          <w:tcPr>
            <w:tcW w:w="1224" w:type="dxa"/>
            <w:tcBorders>
              <w:top w:val="nil"/>
              <w:left w:val="nil"/>
              <w:bottom w:val="single" w:color="auto" w:sz="4" w:space="0"/>
              <w:right w:val="single" w:color="auto" w:sz="4" w:space="0"/>
            </w:tcBorders>
            <w:noWrap w:val="0"/>
            <w:vAlign w:val="center"/>
          </w:tcPr>
          <w:p w14:paraId="499F1AB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F16CE1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xml:space="preserve">  71.71</w:t>
            </w:r>
          </w:p>
        </w:tc>
        <w:tc>
          <w:tcPr>
            <w:tcW w:w="1134" w:type="dxa"/>
            <w:tcBorders>
              <w:top w:val="nil"/>
              <w:left w:val="nil"/>
              <w:bottom w:val="single" w:color="auto" w:sz="4" w:space="0"/>
              <w:right w:val="single" w:color="auto" w:sz="4" w:space="0"/>
            </w:tcBorders>
            <w:noWrap w:val="0"/>
            <w:vAlign w:val="center"/>
          </w:tcPr>
          <w:p w14:paraId="5734B61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lang w:val="en-US" w:eastAsia="zh-CN"/>
              </w:rPr>
              <w:t xml:space="preserve">  71.71</w:t>
            </w:r>
          </w:p>
        </w:tc>
        <w:tc>
          <w:tcPr>
            <w:tcW w:w="828" w:type="dxa"/>
            <w:tcBorders>
              <w:top w:val="nil"/>
              <w:left w:val="nil"/>
              <w:bottom w:val="single" w:color="auto" w:sz="4" w:space="0"/>
              <w:right w:val="single" w:color="auto" w:sz="4" w:space="0"/>
            </w:tcBorders>
            <w:noWrap w:val="0"/>
            <w:vAlign w:val="center"/>
          </w:tcPr>
          <w:p w14:paraId="1CDD5AD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34D7FC4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35E9025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D5AE589">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E1CE83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683DB614">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上年结转资金　</w:t>
            </w:r>
          </w:p>
        </w:tc>
        <w:tc>
          <w:tcPr>
            <w:tcW w:w="1224" w:type="dxa"/>
            <w:tcBorders>
              <w:top w:val="nil"/>
              <w:left w:val="nil"/>
              <w:bottom w:val="single" w:color="auto" w:sz="4" w:space="0"/>
              <w:right w:val="single" w:color="auto" w:sz="4" w:space="0"/>
            </w:tcBorders>
            <w:noWrap w:val="0"/>
            <w:vAlign w:val="center"/>
          </w:tcPr>
          <w:p w14:paraId="78FF37D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2254961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1E1903E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693D11A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0A088E7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5C1D7C5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0AB7F9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2DF9044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2160" w:type="dxa"/>
            <w:gridSpan w:val="2"/>
            <w:tcBorders>
              <w:top w:val="nil"/>
              <w:left w:val="nil"/>
              <w:bottom w:val="single" w:color="auto" w:sz="4" w:space="0"/>
              <w:right w:val="single" w:color="auto" w:sz="4" w:space="0"/>
            </w:tcBorders>
            <w:noWrap w:val="0"/>
            <w:vAlign w:val="center"/>
          </w:tcPr>
          <w:p w14:paraId="23B5B042">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其他资金</w:t>
            </w:r>
          </w:p>
        </w:tc>
        <w:tc>
          <w:tcPr>
            <w:tcW w:w="1224" w:type="dxa"/>
            <w:tcBorders>
              <w:top w:val="nil"/>
              <w:left w:val="nil"/>
              <w:bottom w:val="single" w:color="auto" w:sz="4" w:space="0"/>
              <w:right w:val="single" w:color="auto" w:sz="4" w:space="0"/>
            </w:tcBorders>
            <w:noWrap w:val="0"/>
            <w:vAlign w:val="center"/>
          </w:tcPr>
          <w:p w14:paraId="31507A4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5176D43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134" w:type="dxa"/>
            <w:tcBorders>
              <w:top w:val="nil"/>
              <w:left w:val="nil"/>
              <w:bottom w:val="single" w:color="auto" w:sz="4" w:space="0"/>
              <w:right w:val="single" w:color="auto" w:sz="4" w:space="0"/>
            </w:tcBorders>
            <w:noWrap w:val="0"/>
            <w:vAlign w:val="center"/>
          </w:tcPr>
          <w:p w14:paraId="32B8483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0D2495B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873" w:type="dxa"/>
            <w:tcBorders>
              <w:top w:val="nil"/>
              <w:left w:val="nil"/>
              <w:bottom w:val="single" w:color="auto" w:sz="4" w:space="0"/>
              <w:right w:val="single" w:color="auto" w:sz="4" w:space="0"/>
            </w:tcBorders>
            <w:noWrap w:val="0"/>
            <w:vAlign w:val="center"/>
          </w:tcPr>
          <w:p w14:paraId="6B6B8FB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418" w:type="dxa"/>
            <w:tcBorders>
              <w:top w:val="nil"/>
              <w:left w:val="nil"/>
              <w:bottom w:val="single" w:color="auto" w:sz="4" w:space="0"/>
              <w:right w:val="single" w:color="auto" w:sz="4" w:space="0"/>
            </w:tcBorders>
            <w:noWrap w:val="0"/>
            <w:vAlign w:val="center"/>
          </w:tcPr>
          <w:p w14:paraId="3E99C12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48FAB5A">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06AF41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14:paraId="101E56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7E7D50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实际完成情况　</w:t>
            </w:r>
          </w:p>
        </w:tc>
      </w:tr>
      <w:tr w14:paraId="62B74D2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54FEAC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4518" w:type="dxa"/>
            <w:gridSpan w:val="4"/>
            <w:tcBorders>
              <w:top w:val="single" w:color="auto" w:sz="4" w:space="0"/>
              <w:left w:val="nil"/>
              <w:bottom w:val="single" w:color="auto" w:sz="4" w:space="0"/>
              <w:right w:val="single" w:color="000000" w:sz="4" w:space="0"/>
            </w:tcBorders>
            <w:noWrap w:val="0"/>
            <w:vAlign w:val="center"/>
          </w:tcPr>
          <w:p w14:paraId="209577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饮用水源和农村生活污水处理设施水质监测　　</w:t>
            </w:r>
          </w:p>
        </w:tc>
        <w:tc>
          <w:tcPr>
            <w:tcW w:w="4253" w:type="dxa"/>
            <w:gridSpan w:val="4"/>
            <w:tcBorders>
              <w:top w:val="single" w:color="auto" w:sz="4" w:space="0"/>
              <w:left w:val="nil"/>
              <w:bottom w:val="single" w:color="auto" w:sz="4" w:space="0"/>
              <w:right w:val="single" w:color="auto" w:sz="4" w:space="0"/>
            </w:tcBorders>
            <w:noWrap w:val="0"/>
            <w:vAlign w:val="center"/>
          </w:tcPr>
          <w:p w14:paraId="64809AFE">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 xml:space="preserve">                已完成</w:t>
            </w:r>
          </w:p>
        </w:tc>
      </w:tr>
      <w:tr w14:paraId="046F810A">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2E970F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绩</w:t>
            </w:r>
          </w:p>
          <w:p w14:paraId="19A481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w:t>
            </w:r>
          </w:p>
          <w:p w14:paraId="0631A9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w:t>
            </w:r>
          </w:p>
          <w:p w14:paraId="7BFC6F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标</w:t>
            </w:r>
          </w:p>
        </w:tc>
        <w:tc>
          <w:tcPr>
            <w:tcW w:w="1080" w:type="dxa"/>
            <w:tcBorders>
              <w:top w:val="nil"/>
              <w:left w:val="nil"/>
              <w:bottom w:val="single" w:color="auto" w:sz="4" w:space="0"/>
              <w:right w:val="single" w:color="auto" w:sz="4" w:space="0"/>
            </w:tcBorders>
            <w:noWrap w:val="0"/>
            <w:vAlign w:val="center"/>
          </w:tcPr>
          <w:p w14:paraId="307FCB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一级指标</w:t>
            </w:r>
          </w:p>
        </w:tc>
        <w:tc>
          <w:tcPr>
            <w:tcW w:w="1080" w:type="dxa"/>
            <w:tcBorders>
              <w:top w:val="nil"/>
              <w:left w:val="nil"/>
              <w:bottom w:val="single" w:color="auto" w:sz="4" w:space="0"/>
              <w:right w:val="single" w:color="auto" w:sz="4" w:space="0"/>
            </w:tcBorders>
            <w:noWrap w:val="0"/>
            <w:vAlign w:val="center"/>
          </w:tcPr>
          <w:p w14:paraId="07C60E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二级指标</w:t>
            </w:r>
          </w:p>
        </w:tc>
        <w:tc>
          <w:tcPr>
            <w:tcW w:w="1224" w:type="dxa"/>
            <w:tcBorders>
              <w:top w:val="nil"/>
              <w:left w:val="nil"/>
              <w:bottom w:val="single" w:color="auto" w:sz="4" w:space="0"/>
              <w:right w:val="single" w:color="auto" w:sz="4" w:space="0"/>
            </w:tcBorders>
            <w:noWrap w:val="0"/>
            <w:vAlign w:val="center"/>
          </w:tcPr>
          <w:p w14:paraId="681CDAC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三级指标</w:t>
            </w:r>
          </w:p>
        </w:tc>
        <w:tc>
          <w:tcPr>
            <w:tcW w:w="1134" w:type="dxa"/>
            <w:tcBorders>
              <w:top w:val="nil"/>
              <w:left w:val="nil"/>
              <w:bottom w:val="single" w:color="auto" w:sz="4" w:space="0"/>
              <w:right w:val="single" w:color="auto" w:sz="4" w:space="0"/>
            </w:tcBorders>
            <w:noWrap w:val="0"/>
            <w:vAlign w:val="center"/>
          </w:tcPr>
          <w:p w14:paraId="5E896C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年度</w:t>
            </w:r>
          </w:p>
          <w:p w14:paraId="44487A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指标值</w:t>
            </w:r>
          </w:p>
        </w:tc>
        <w:tc>
          <w:tcPr>
            <w:tcW w:w="1134" w:type="dxa"/>
            <w:tcBorders>
              <w:top w:val="nil"/>
              <w:left w:val="nil"/>
              <w:bottom w:val="single" w:color="auto" w:sz="4" w:space="0"/>
              <w:right w:val="single" w:color="auto" w:sz="4" w:space="0"/>
            </w:tcBorders>
            <w:noWrap w:val="0"/>
            <w:vAlign w:val="center"/>
          </w:tcPr>
          <w:p w14:paraId="0CFBDF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实际</w:t>
            </w:r>
          </w:p>
          <w:p w14:paraId="3B2B6B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完成值</w:t>
            </w:r>
          </w:p>
        </w:tc>
        <w:tc>
          <w:tcPr>
            <w:tcW w:w="828" w:type="dxa"/>
            <w:tcBorders>
              <w:top w:val="nil"/>
              <w:left w:val="nil"/>
              <w:bottom w:val="single" w:color="auto" w:sz="4" w:space="0"/>
              <w:right w:val="single" w:color="auto" w:sz="4" w:space="0"/>
            </w:tcBorders>
            <w:noWrap w:val="0"/>
            <w:vAlign w:val="center"/>
          </w:tcPr>
          <w:p w14:paraId="3887CD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分值</w:t>
            </w:r>
          </w:p>
        </w:tc>
        <w:tc>
          <w:tcPr>
            <w:tcW w:w="873" w:type="dxa"/>
            <w:tcBorders>
              <w:top w:val="nil"/>
              <w:left w:val="nil"/>
              <w:bottom w:val="single" w:color="auto" w:sz="4" w:space="0"/>
              <w:right w:val="single" w:color="auto" w:sz="4" w:space="0"/>
            </w:tcBorders>
            <w:noWrap w:val="0"/>
            <w:vAlign w:val="center"/>
          </w:tcPr>
          <w:p w14:paraId="46EAA6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得分</w:t>
            </w:r>
          </w:p>
        </w:tc>
        <w:tc>
          <w:tcPr>
            <w:tcW w:w="1418" w:type="dxa"/>
            <w:tcBorders>
              <w:top w:val="nil"/>
              <w:left w:val="nil"/>
              <w:bottom w:val="single" w:color="auto" w:sz="4" w:space="0"/>
              <w:right w:val="single" w:color="auto" w:sz="4" w:space="0"/>
            </w:tcBorders>
            <w:noWrap w:val="0"/>
            <w:vAlign w:val="center"/>
          </w:tcPr>
          <w:p w14:paraId="772DA728">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偏差原因分析及改进措施</w:t>
            </w:r>
          </w:p>
        </w:tc>
      </w:tr>
      <w:tr w14:paraId="1061EBF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29A07C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867309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产出指标</w:t>
            </w:r>
          </w:p>
          <w:p w14:paraId="757699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p>
          <w:p w14:paraId="2A7707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E048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77C90E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排查新增排污口</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2509B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92</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A72E7E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DECEF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4870E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6FFAB7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3CCEE35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316919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903D7D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4C514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1A73FD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各种整治符合环保标准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37E73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完成主要污染物减排目标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80F8BD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86D9E7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9F89C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ACE81A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07277E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29F4E2B">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3555CEE">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429317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906FB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按时完成各项指标任务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83F62E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2024年12月31日</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BE12B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100%</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DA00D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7DF76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6954B2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0BA3BA4">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0EAB05A">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5A29D3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AEF87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14:paraId="4E4F0167">
            <w:pPr>
              <w:spacing w:line="36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工作经费和专项治理经费按要求控制在预算内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323AD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highlight w:val="none"/>
                <w:lang w:val="en-US"/>
              </w:rPr>
            </w:pPr>
            <w:r>
              <w:rPr>
                <w:rFonts w:hint="eastAsia" w:ascii="仿宋_GB2312" w:hAnsi="仿宋_GB2312" w:eastAsia="仿宋_GB2312" w:cs="仿宋_GB2312"/>
                <w:color w:val="000000"/>
                <w:sz w:val="20"/>
                <w:szCs w:val="20"/>
                <w:highlight w:val="none"/>
                <w:lang w:val="en-US" w:eastAsia="zh-CN"/>
              </w:rPr>
              <w:t>71.71万元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98D65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71.71万元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66F63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E4B05A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0A911F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AFDA43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6569B5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C785360">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效益指标</w:t>
            </w:r>
          </w:p>
          <w:p w14:paraId="08EC333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p w14:paraId="236CED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（30分）</w:t>
            </w:r>
          </w:p>
          <w:p w14:paraId="2FAF6F9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F0C91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经济效</w:t>
            </w:r>
          </w:p>
          <w:p w14:paraId="639430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single" w:color="auto" w:sz="4" w:space="0"/>
              <w:left w:val="nil"/>
              <w:bottom w:val="single" w:color="auto" w:sz="4" w:space="0"/>
              <w:right w:val="single" w:color="auto" w:sz="4" w:space="0"/>
            </w:tcBorders>
            <w:noWrap w:val="0"/>
            <w:vAlign w:val="center"/>
          </w:tcPr>
          <w:p w14:paraId="0A2FD80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实现节能减排，减少环保治理经费</w:t>
            </w:r>
          </w:p>
        </w:tc>
        <w:tc>
          <w:tcPr>
            <w:tcW w:w="1134" w:type="dxa"/>
            <w:tcBorders>
              <w:top w:val="single" w:color="auto" w:sz="4" w:space="0"/>
              <w:left w:val="nil"/>
              <w:bottom w:val="single" w:color="auto" w:sz="4" w:space="0"/>
              <w:right w:val="single" w:color="auto" w:sz="4" w:space="0"/>
            </w:tcBorders>
            <w:noWrap w:val="0"/>
            <w:vAlign w:val="center"/>
          </w:tcPr>
          <w:p w14:paraId="0E3E19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经济平稳发展</w:t>
            </w:r>
          </w:p>
        </w:tc>
        <w:tc>
          <w:tcPr>
            <w:tcW w:w="1134" w:type="dxa"/>
            <w:tcBorders>
              <w:top w:val="single" w:color="auto" w:sz="4" w:space="0"/>
              <w:left w:val="nil"/>
              <w:bottom w:val="single" w:color="auto" w:sz="4" w:space="0"/>
              <w:right w:val="single" w:color="auto" w:sz="4" w:space="0"/>
            </w:tcBorders>
            <w:noWrap w:val="0"/>
            <w:vAlign w:val="center"/>
          </w:tcPr>
          <w:p w14:paraId="6A6633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经济平稳发展</w:t>
            </w:r>
            <w:r>
              <w:rPr>
                <w:rFonts w:hint="eastAsia" w:ascii="仿宋_GB2312" w:hAnsi="仿宋_GB2312" w:eastAsia="仿宋_GB2312" w:cs="仿宋_GB2312"/>
                <w:color w:val="000000"/>
                <w:sz w:val="20"/>
                <w:szCs w:val="20"/>
                <w:highlight w:val="none"/>
              </w:rPr>
              <w:t>　</w:t>
            </w:r>
          </w:p>
        </w:tc>
        <w:tc>
          <w:tcPr>
            <w:tcW w:w="828" w:type="dxa"/>
            <w:tcBorders>
              <w:top w:val="single" w:color="auto" w:sz="4" w:space="0"/>
              <w:left w:val="nil"/>
              <w:bottom w:val="single" w:color="auto" w:sz="4" w:space="0"/>
              <w:right w:val="single" w:color="auto" w:sz="4" w:space="0"/>
            </w:tcBorders>
            <w:noWrap w:val="0"/>
            <w:vAlign w:val="center"/>
          </w:tcPr>
          <w:p w14:paraId="19CAE2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23F5213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6FFE8C3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235D455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4D262EF">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A7C4A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3E62F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社会效</w:t>
            </w:r>
          </w:p>
          <w:p w14:paraId="3FC6D13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7DFB58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改善居民生产、生活环境</w:t>
            </w:r>
          </w:p>
        </w:tc>
        <w:tc>
          <w:tcPr>
            <w:tcW w:w="1134" w:type="dxa"/>
            <w:tcBorders>
              <w:top w:val="nil"/>
              <w:left w:val="nil"/>
              <w:bottom w:val="single" w:color="auto" w:sz="4" w:space="0"/>
              <w:right w:val="single" w:color="auto" w:sz="4" w:space="0"/>
            </w:tcBorders>
            <w:noWrap w:val="0"/>
            <w:vAlign w:val="center"/>
          </w:tcPr>
          <w:p w14:paraId="0BB541D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有所改善</w:t>
            </w:r>
          </w:p>
        </w:tc>
        <w:tc>
          <w:tcPr>
            <w:tcW w:w="1134" w:type="dxa"/>
            <w:tcBorders>
              <w:top w:val="nil"/>
              <w:left w:val="nil"/>
              <w:bottom w:val="single" w:color="auto" w:sz="4" w:space="0"/>
              <w:right w:val="single" w:color="auto" w:sz="4" w:space="0"/>
            </w:tcBorders>
            <w:noWrap w:val="0"/>
            <w:vAlign w:val="center"/>
          </w:tcPr>
          <w:p w14:paraId="555CE5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有所改善</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006549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4F5776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0A1E0C3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018FDF1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FBAA40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CFA6CA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1A34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生态效</w:t>
            </w:r>
          </w:p>
          <w:p w14:paraId="380C2E9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益指标</w:t>
            </w:r>
          </w:p>
        </w:tc>
        <w:tc>
          <w:tcPr>
            <w:tcW w:w="1224" w:type="dxa"/>
            <w:tcBorders>
              <w:top w:val="nil"/>
              <w:left w:val="nil"/>
              <w:bottom w:val="single" w:color="auto" w:sz="4" w:space="0"/>
              <w:right w:val="single" w:color="auto" w:sz="4" w:space="0"/>
            </w:tcBorders>
            <w:noWrap w:val="0"/>
            <w:vAlign w:val="center"/>
          </w:tcPr>
          <w:p w14:paraId="4D3BA0E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城区空气质量优良率</w:t>
            </w:r>
          </w:p>
        </w:tc>
        <w:tc>
          <w:tcPr>
            <w:tcW w:w="1134" w:type="dxa"/>
            <w:tcBorders>
              <w:top w:val="nil"/>
              <w:left w:val="nil"/>
              <w:bottom w:val="single" w:color="auto" w:sz="4" w:space="0"/>
              <w:right w:val="single" w:color="auto" w:sz="4" w:space="0"/>
            </w:tcBorders>
            <w:noWrap w:val="0"/>
            <w:vAlign w:val="center"/>
          </w:tcPr>
          <w:p w14:paraId="6CE9BB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≥86%</w:t>
            </w:r>
          </w:p>
        </w:tc>
        <w:tc>
          <w:tcPr>
            <w:tcW w:w="1134" w:type="dxa"/>
            <w:tcBorders>
              <w:top w:val="nil"/>
              <w:left w:val="nil"/>
              <w:bottom w:val="single" w:color="auto" w:sz="4" w:space="0"/>
              <w:right w:val="single" w:color="auto" w:sz="4" w:space="0"/>
            </w:tcBorders>
            <w:noWrap w:val="0"/>
            <w:vAlign w:val="center"/>
          </w:tcPr>
          <w:p w14:paraId="695CA0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p>
        </w:tc>
        <w:tc>
          <w:tcPr>
            <w:tcW w:w="828" w:type="dxa"/>
            <w:tcBorders>
              <w:top w:val="nil"/>
              <w:left w:val="nil"/>
              <w:bottom w:val="single" w:color="auto" w:sz="4" w:space="0"/>
              <w:right w:val="single" w:color="auto" w:sz="4" w:space="0"/>
            </w:tcBorders>
            <w:noWrap w:val="0"/>
            <w:vAlign w:val="center"/>
          </w:tcPr>
          <w:p w14:paraId="664A44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251827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5C06DB6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6E89019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EA744CC">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620BFD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34BE0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可持续影响指标</w:t>
            </w:r>
          </w:p>
        </w:tc>
        <w:tc>
          <w:tcPr>
            <w:tcW w:w="1224" w:type="dxa"/>
            <w:tcBorders>
              <w:top w:val="nil"/>
              <w:left w:val="nil"/>
              <w:bottom w:val="single" w:color="auto" w:sz="4" w:space="0"/>
              <w:right w:val="single" w:color="auto" w:sz="4" w:space="0"/>
            </w:tcBorders>
            <w:noWrap w:val="0"/>
            <w:vAlign w:val="center"/>
          </w:tcPr>
          <w:p w14:paraId="6E7527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推动辖区生态环境质量持续改善</w:t>
            </w:r>
          </w:p>
        </w:tc>
        <w:tc>
          <w:tcPr>
            <w:tcW w:w="1134" w:type="dxa"/>
            <w:tcBorders>
              <w:top w:val="nil"/>
              <w:left w:val="nil"/>
              <w:bottom w:val="single" w:color="auto" w:sz="4" w:space="0"/>
              <w:right w:val="single" w:color="auto" w:sz="4" w:space="0"/>
            </w:tcBorders>
            <w:noWrap w:val="0"/>
            <w:vAlign w:val="center"/>
          </w:tcPr>
          <w:p w14:paraId="1D2DE229">
            <w:pPr>
              <w:widowControl/>
              <w:spacing w:line="240" w:lineRule="exact"/>
              <w:jc w:val="center"/>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环境质量稳步提升</w:t>
            </w:r>
          </w:p>
        </w:tc>
        <w:tc>
          <w:tcPr>
            <w:tcW w:w="1134" w:type="dxa"/>
            <w:tcBorders>
              <w:top w:val="nil"/>
              <w:left w:val="nil"/>
              <w:bottom w:val="single" w:color="auto" w:sz="4" w:space="0"/>
              <w:right w:val="single" w:color="auto" w:sz="4" w:space="0"/>
            </w:tcBorders>
            <w:noWrap w:val="0"/>
            <w:vAlign w:val="center"/>
          </w:tcPr>
          <w:p w14:paraId="1F3023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p>
        </w:tc>
        <w:tc>
          <w:tcPr>
            <w:tcW w:w="828" w:type="dxa"/>
            <w:tcBorders>
              <w:top w:val="nil"/>
              <w:left w:val="nil"/>
              <w:bottom w:val="single" w:color="auto" w:sz="4" w:space="0"/>
              <w:right w:val="single" w:color="auto" w:sz="4" w:space="0"/>
            </w:tcBorders>
            <w:noWrap w:val="0"/>
            <w:vAlign w:val="center"/>
          </w:tcPr>
          <w:p w14:paraId="232F8B8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873" w:type="dxa"/>
            <w:tcBorders>
              <w:top w:val="nil"/>
              <w:left w:val="nil"/>
              <w:bottom w:val="single" w:color="auto" w:sz="4" w:space="0"/>
              <w:right w:val="single" w:color="auto" w:sz="4" w:space="0"/>
            </w:tcBorders>
            <w:noWrap w:val="0"/>
            <w:vAlign w:val="center"/>
          </w:tcPr>
          <w:p w14:paraId="10C194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5</w:t>
            </w:r>
          </w:p>
        </w:tc>
        <w:tc>
          <w:tcPr>
            <w:tcW w:w="1418" w:type="dxa"/>
            <w:tcBorders>
              <w:top w:val="nil"/>
              <w:left w:val="nil"/>
              <w:bottom w:val="single" w:color="auto" w:sz="4" w:space="0"/>
              <w:right w:val="single" w:color="auto" w:sz="4" w:space="0"/>
            </w:tcBorders>
            <w:noWrap w:val="0"/>
            <w:vAlign w:val="center"/>
          </w:tcPr>
          <w:p w14:paraId="18307B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75D0412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2836C12">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C16F5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满意度</w:t>
            </w:r>
          </w:p>
          <w:p w14:paraId="6A0FD4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指标</w:t>
            </w:r>
          </w:p>
          <w:p w14:paraId="1A2A28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E12C0F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服务对象满意度指标</w:t>
            </w:r>
          </w:p>
        </w:tc>
        <w:tc>
          <w:tcPr>
            <w:tcW w:w="1224" w:type="dxa"/>
            <w:tcBorders>
              <w:top w:val="nil"/>
              <w:left w:val="nil"/>
              <w:bottom w:val="single" w:color="auto" w:sz="4" w:space="0"/>
              <w:right w:val="single" w:color="auto" w:sz="4" w:space="0"/>
            </w:tcBorders>
            <w:noWrap w:val="0"/>
            <w:vAlign w:val="center"/>
          </w:tcPr>
          <w:p w14:paraId="7A274E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全体人民群众</w:t>
            </w:r>
          </w:p>
        </w:tc>
        <w:tc>
          <w:tcPr>
            <w:tcW w:w="1134" w:type="dxa"/>
            <w:tcBorders>
              <w:top w:val="nil"/>
              <w:left w:val="nil"/>
              <w:bottom w:val="single" w:color="auto" w:sz="4" w:space="0"/>
              <w:right w:val="single" w:color="auto" w:sz="4" w:space="0"/>
            </w:tcBorders>
            <w:noWrap w:val="0"/>
            <w:vAlign w:val="center"/>
          </w:tcPr>
          <w:p w14:paraId="44DBD7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≥90%</w:t>
            </w:r>
          </w:p>
        </w:tc>
        <w:tc>
          <w:tcPr>
            <w:tcW w:w="1134" w:type="dxa"/>
            <w:tcBorders>
              <w:top w:val="nil"/>
              <w:left w:val="nil"/>
              <w:bottom w:val="single" w:color="auto" w:sz="4" w:space="0"/>
              <w:right w:val="single" w:color="auto" w:sz="4" w:space="0"/>
            </w:tcBorders>
            <w:noWrap w:val="0"/>
            <w:vAlign w:val="center"/>
          </w:tcPr>
          <w:p w14:paraId="56C25A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已完成</w:t>
            </w:r>
            <w:r>
              <w:rPr>
                <w:rFonts w:hint="eastAsia" w:ascii="仿宋_GB2312" w:hAnsi="仿宋_GB2312" w:eastAsia="仿宋_GB2312" w:cs="仿宋_GB2312"/>
                <w:color w:val="000000"/>
                <w:sz w:val="20"/>
                <w:szCs w:val="20"/>
                <w:highlight w:val="none"/>
              </w:rPr>
              <w:t>　</w:t>
            </w:r>
          </w:p>
        </w:tc>
        <w:tc>
          <w:tcPr>
            <w:tcW w:w="828" w:type="dxa"/>
            <w:tcBorders>
              <w:top w:val="nil"/>
              <w:left w:val="nil"/>
              <w:bottom w:val="single" w:color="auto" w:sz="4" w:space="0"/>
              <w:right w:val="single" w:color="auto" w:sz="4" w:space="0"/>
            </w:tcBorders>
            <w:noWrap w:val="0"/>
            <w:vAlign w:val="center"/>
          </w:tcPr>
          <w:p w14:paraId="650C8F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873" w:type="dxa"/>
            <w:tcBorders>
              <w:top w:val="nil"/>
              <w:left w:val="nil"/>
              <w:bottom w:val="single" w:color="auto" w:sz="4" w:space="0"/>
              <w:right w:val="single" w:color="auto" w:sz="4" w:space="0"/>
            </w:tcBorders>
            <w:noWrap w:val="0"/>
            <w:vAlign w:val="center"/>
          </w:tcPr>
          <w:p w14:paraId="73EEA0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lang w:val="en-US" w:eastAsia="zh-CN"/>
              </w:rPr>
              <w:t>10</w:t>
            </w:r>
          </w:p>
        </w:tc>
        <w:tc>
          <w:tcPr>
            <w:tcW w:w="1418" w:type="dxa"/>
            <w:tcBorders>
              <w:top w:val="nil"/>
              <w:left w:val="nil"/>
              <w:bottom w:val="single" w:color="auto" w:sz="4" w:space="0"/>
              <w:right w:val="single" w:color="auto" w:sz="4" w:space="0"/>
            </w:tcBorders>
            <w:noWrap w:val="0"/>
            <w:vAlign w:val="center"/>
          </w:tcPr>
          <w:p w14:paraId="0F48C4E2">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r w14:paraId="1676C9A7">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14:paraId="277AF8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总分</w:t>
            </w:r>
          </w:p>
        </w:tc>
        <w:tc>
          <w:tcPr>
            <w:tcW w:w="828" w:type="dxa"/>
            <w:tcBorders>
              <w:top w:val="nil"/>
              <w:left w:val="nil"/>
              <w:bottom w:val="single" w:color="auto" w:sz="4" w:space="0"/>
              <w:right w:val="single" w:color="auto" w:sz="4" w:space="0"/>
            </w:tcBorders>
            <w:noWrap w:val="0"/>
            <w:vAlign w:val="center"/>
          </w:tcPr>
          <w:p w14:paraId="04D530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100</w:t>
            </w:r>
          </w:p>
        </w:tc>
        <w:tc>
          <w:tcPr>
            <w:tcW w:w="873" w:type="dxa"/>
            <w:tcBorders>
              <w:top w:val="nil"/>
              <w:left w:val="nil"/>
              <w:bottom w:val="single" w:color="auto" w:sz="4" w:space="0"/>
              <w:right w:val="single" w:color="auto" w:sz="4" w:space="0"/>
            </w:tcBorders>
            <w:noWrap w:val="0"/>
            <w:vAlign w:val="center"/>
          </w:tcPr>
          <w:p w14:paraId="50BC097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highlight w:val="none"/>
                <w:lang w:val="en-US" w:eastAsia="zh-CN"/>
              </w:rPr>
            </w:pPr>
            <w:r>
              <w:rPr>
                <w:rFonts w:hint="eastAsia" w:ascii="仿宋_GB2312" w:hAnsi="仿宋_GB2312" w:eastAsia="仿宋_GB2312" w:cs="仿宋_GB2312"/>
                <w:color w:val="000000"/>
                <w:sz w:val="20"/>
                <w:szCs w:val="20"/>
                <w:highlight w:val="none"/>
              </w:rPr>
              <w:t>　</w:t>
            </w:r>
            <w:r>
              <w:rPr>
                <w:rFonts w:hint="eastAsia" w:ascii="仿宋_GB2312" w:hAnsi="仿宋_GB2312" w:eastAsia="仿宋_GB2312" w:cs="仿宋_GB2312"/>
                <w:color w:val="000000"/>
                <w:sz w:val="20"/>
                <w:szCs w:val="20"/>
                <w:highlight w:val="none"/>
                <w:lang w:val="en-US" w:eastAsia="zh-CN"/>
              </w:rPr>
              <w:t>100</w:t>
            </w:r>
          </w:p>
        </w:tc>
        <w:tc>
          <w:tcPr>
            <w:tcW w:w="1418" w:type="dxa"/>
            <w:tcBorders>
              <w:top w:val="nil"/>
              <w:left w:val="nil"/>
              <w:bottom w:val="single" w:color="auto" w:sz="4" w:space="0"/>
              <w:right w:val="single" w:color="auto" w:sz="4" w:space="0"/>
            </w:tcBorders>
            <w:noWrap w:val="0"/>
            <w:vAlign w:val="center"/>
          </w:tcPr>
          <w:p w14:paraId="7FBDE475">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w:t>
            </w:r>
          </w:p>
        </w:tc>
      </w:tr>
    </w:tbl>
    <w:p w14:paraId="298087AA">
      <w:pPr>
        <w:rPr>
          <w:rFonts w:hint="eastAsia" w:ascii="Times New Roman" w:hAnsi="Times New Roman" w:eastAsia="仿宋_GB2312" w:cs="Times New Roman"/>
          <w:sz w:val="18"/>
          <w:szCs w:val="18"/>
          <w:highlight w:val="none"/>
          <w:lang w:eastAsia="zh-CN"/>
        </w:rPr>
      </w:pPr>
      <w:r>
        <w:rPr>
          <w:rFonts w:hint="default" w:ascii="Times New Roman" w:hAnsi="Times New Roman" w:eastAsia="仿宋_GB2312" w:cs="Times New Roman"/>
          <w:sz w:val="18"/>
          <w:szCs w:val="18"/>
          <w:highlight w:val="none"/>
        </w:rPr>
        <w:t>备注：一个一级项目支出一张表。</w:t>
      </w:r>
      <w:r>
        <w:rPr>
          <w:rFonts w:hint="eastAsia" w:ascii="Times New Roman" w:hAnsi="Times New Roman" w:eastAsia="仿宋_GB2312" w:cs="Times New Roman"/>
          <w:sz w:val="18"/>
          <w:szCs w:val="18"/>
          <w:highlight w:val="none"/>
          <w:lang w:eastAsia="zh-CN"/>
        </w:rPr>
        <w:t>如，</w:t>
      </w:r>
      <w:r>
        <w:rPr>
          <w:rFonts w:hint="default" w:ascii="Times New Roman" w:hAnsi="Times New Roman" w:eastAsia="仿宋_GB2312" w:cs="Times New Roman"/>
          <w:sz w:val="18"/>
          <w:szCs w:val="18"/>
          <w:highlight w:val="none"/>
        </w:rPr>
        <w:t>业务工作经费</w:t>
      </w:r>
      <w:r>
        <w:rPr>
          <w:rFonts w:hint="eastAsia" w:ascii="Times New Roman" w:hAnsi="Times New Roman" w:eastAsia="仿宋_GB2312" w:cs="Times New Roman"/>
          <w:sz w:val="18"/>
          <w:szCs w:val="18"/>
          <w:highlight w:val="none"/>
          <w:lang w:eastAsia="zh-CN"/>
        </w:rPr>
        <w:t>，</w:t>
      </w:r>
      <w:r>
        <w:rPr>
          <w:rFonts w:hint="default" w:ascii="Times New Roman" w:hAnsi="Times New Roman" w:eastAsia="仿宋_GB2312" w:cs="Times New Roman"/>
          <w:sz w:val="18"/>
          <w:szCs w:val="18"/>
          <w:highlight w:val="none"/>
        </w:rPr>
        <w:t>运行维护经费</w:t>
      </w:r>
      <w:r>
        <w:rPr>
          <w:rFonts w:hint="eastAsia" w:ascii="Times New Roman" w:hAnsi="Times New Roman" w:eastAsia="仿宋_GB2312" w:cs="Times New Roman"/>
          <w:sz w:val="18"/>
          <w:szCs w:val="18"/>
          <w:highlight w:val="none"/>
          <w:lang w:eastAsia="zh-CN"/>
        </w:rPr>
        <w:t>，其他事业发展类资金…各一张表。</w:t>
      </w:r>
    </w:p>
    <w:p w14:paraId="2ADF1399">
      <w:pPr>
        <w:rPr>
          <w:rFonts w:hint="default" w:ascii="Times New Roman" w:hAnsi="Times New Roman" w:eastAsia="仿宋_GB2312" w:cs="Times New Roman"/>
          <w:sz w:val="18"/>
          <w:szCs w:val="18"/>
          <w:highlight w:val="none"/>
          <w:lang w:eastAsia="zh-CN"/>
        </w:rPr>
      </w:pPr>
    </w:p>
    <w:p w14:paraId="7D147C02">
      <w:pPr>
        <w:rPr>
          <w:rFonts w:hint="default" w:ascii="Times New Roman" w:hAnsi="Times New Roman" w:eastAsia="仿宋_GB2312" w:cs="Times New Roman"/>
          <w:sz w:val="22"/>
          <w:szCs w:val="22"/>
          <w:highlight w:val="none"/>
        </w:rPr>
      </w:pPr>
      <w:r>
        <w:rPr>
          <w:rFonts w:hint="default" w:ascii="Times New Roman" w:hAnsi="Times New Roman" w:eastAsia="仿宋_GB2312" w:cs="Times New Roman"/>
          <w:sz w:val="22"/>
          <w:szCs w:val="22"/>
          <w:highlight w:val="none"/>
        </w:rPr>
        <w:t xml:space="preserve">填表人：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填报日期：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联系电话：   </w:t>
      </w:r>
      <w:r>
        <w:rPr>
          <w:rFonts w:hint="eastAsia" w:ascii="Times New Roman" w:hAnsi="Times New Roman" w:eastAsia="仿宋_GB2312" w:cs="Times New Roman"/>
          <w:sz w:val="22"/>
          <w:szCs w:val="22"/>
          <w:highlight w:val="none"/>
          <w:lang w:val="en-US" w:eastAsia="zh-CN"/>
        </w:rPr>
        <w:t xml:space="preserve">         </w:t>
      </w:r>
      <w:r>
        <w:rPr>
          <w:rFonts w:hint="default" w:ascii="Times New Roman" w:hAnsi="Times New Roman" w:eastAsia="仿宋_GB2312" w:cs="Times New Roman"/>
          <w:sz w:val="22"/>
          <w:szCs w:val="22"/>
          <w:highlight w:val="none"/>
        </w:rPr>
        <w:t xml:space="preserve"> 单位负责人签字：</w:t>
      </w:r>
    </w:p>
    <w:p w14:paraId="4C129455">
      <w:pPr>
        <w:pStyle w:val="2"/>
        <w:rPr>
          <w:rFonts w:hint="eastAsia"/>
        </w:rPr>
      </w:pPr>
    </w:p>
    <w:p w14:paraId="79442272">
      <w:pP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4</w:t>
      </w:r>
    </w:p>
    <w:p w14:paraId="2B47577A">
      <w:pPr>
        <w:jc w:val="center"/>
        <w:rPr>
          <w:rFonts w:hint="default" w:ascii="Times New Roman" w:hAnsi="Times New Roman" w:eastAsia="方正小标宋_GBK" w:cs="Times New Roman"/>
          <w:sz w:val="52"/>
          <w:szCs w:val="52"/>
          <w:highlight w:val="none"/>
        </w:rPr>
      </w:pPr>
    </w:p>
    <w:p w14:paraId="0B8B9EC2">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年度岳阳市生态环境局岳阳楼分局</w:t>
      </w:r>
    </w:p>
    <w:p w14:paraId="05C74D56">
      <w:pPr>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2BD5C23F">
      <w:pPr>
        <w:jc w:val="center"/>
        <w:rPr>
          <w:rFonts w:hint="default" w:ascii="Times New Roman" w:hAnsi="Times New Roman" w:eastAsia="方正小标宋_GBK" w:cs="Times New Roman"/>
          <w:b/>
          <w:sz w:val="52"/>
          <w:szCs w:val="52"/>
          <w:highlight w:val="none"/>
        </w:rPr>
      </w:pPr>
    </w:p>
    <w:p w14:paraId="2D3B0236">
      <w:pPr>
        <w:jc w:val="center"/>
        <w:rPr>
          <w:rFonts w:hint="default" w:ascii="Times New Roman" w:hAnsi="Times New Roman" w:eastAsia="楷体_GB2312" w:cs="Times New Roman"/>
          <w:b/>
          <w:sz w:val="32"/>
          <w:szCs w:val="32"/>
          <w:highlight w:val="none"/>
        </w:rPr>
      </w:pPr>
    </w:p>
    <w:p w14:paraId="0B7AFF52">
      <w:pPr>
        <w:jc w:val="center"/>
        <w:rPr>
          <w:rFonts w:hint="default" w:ascii="Times New Roman" w:hAnsi="Times New Roman" w:eastAsia="楷体_GB2312" w:cs="Times New Roman"/>
          <w:b/>
          <w:sz w:val="32"/>
          <w:szCs w:val="32"/>
          <w:highlight w:val="none"/>
        </w:rPr>
      </w:pPr>
    </w:p>
    <w:p w14:paraId="3849E02B">
      <w:pPr>
        <w:jc w:val="center"/>
        <w:rPr>
          <w:rFonts w:hint="default" w:ascii="Times New Roman" w:hAnsi="Times New Roman" w:eastAsia="楷体_GB2312" w:cs="Times New Roman"/>
          <w:b/>
          <w:sz w:val="32"/>
          <w:szCs w:val="32"/>
          <w:highlight w:val="none"/>
        </w:rPr>
      </w:pPr>
    </w:p>
    <w:p w14:paraId="65C78EF5">
      <w:pPr>
        <w:jc w:val="center"/>
        <w:rPr>
          <w:rFonts w:hint="default" w:ascii="Times New Roman" w:hAnsi="Times New Roman" w:eastAsia="楷体_GB2312" w:cs="Times New Roman"/>
          <w:b/>
          <w:sz w:val="32"/>
          <w:szCs w:val="32"/>
          <w:highlight w:val="none"/>
        </w:rPr>
      </w:pPr>
    </w:p>
    <w:p w14:paraId="642F9792">
      <w:pPr>
        <w:jc w:val="center"/>
        <w:rPr>
          <w:rFonts w:hint="default" w:ascii="Times New Roman" w:hAnsi="Times New Roman" w:eastAsia="楷体_GB2312" w:cs="Times New Roman"/>
          <w:b/>
          <w:sz w:val="32"/>
          <w:szCs w:val="32"/>
          <w:highlight w:val="none"/>
        </w:rPr>
      </w:pPr>
    </w:p>
    <w:p w14:paraId="0A43DF9F">
      <w:pPr>
        <w:jc w:val="center"/>
        <w:rPr>
          <w:rFonts w:hint="default" w:ascii="Times New Roman" w:hAnsi="Times New Roman" w:eastAsia="楷体_GB2312" w:cs="Times New Roman"/>
          <w:b/>
          <w:sz w:val="32"/>
          <w:szCs w:val="32"/>
          <w:highlight w:val="none"/>
        </w:rPr>
      </w:pPr>
    </w:p>
    <w:p w14:paraId="5710C859">
      <w:pPr>
        <w:jc w:val="center"/>
        <w:rPr>
          <w:rFonts w:hint="default" w:ascii="Times New Roman" w:hAnsi="Times New Roman" w:eastAsia="黑体" w:cs="Times New Roman"/>
          <w:sz w:val="32"/>
          <w:szCs w:val="32"/>
          <w:highlight w:val="none"/>
        </w:rPr>
      </w:pPr>
    </w:p>
    <w:p w14:paraId="3B6590D8">
      <w:pPr>
        <w:jc w:val="center"/>
        <w:rPr>
          <w:rFonts w:hint="default" w:ascii="Times New Roman" w:hAnsi="Times New Roman" w:eastAsia="黑体" w:cs="Times New Roman"/>
          <w:sz w:val="32"/>
          <w:szCs w:val="32"/>
          <w:highlight w:val="none"/>
        </w:rPr>
      </w:pPr>
    </w:p>
    <w:p w14:paraId="4115CC6F">
      <w:pPr>
        <w:jc w:val="center"/>
        <w:rPr>
          <w:rFonts w:hint="default" w:ascii="Times New Roman" w:hAnsi="Times New Roman" w:eastAsia="黑体" w:cs="Times New Roman"/>
          <w:sz w:val="32"/>
          <w:szCs w:val="32"/>
          <w:highlight w:val="none"/>
        </w:rPr>
      </w:pPr>
    </w:p>
    <w:p w14:paraId="3018543D">
      <w:pPr>
        <w:jc w:val="both"/>
        <w:rPr>
          <w:rFonts w:hint="default" w:ascii="Times New Roman" w:hAnsi="Times New Roman" w:eastAsia="黑体" w:cs="Times New Roman"/>
          <w:sz w:val="32"/>
          <w:szCs w:val="32"/>
          <w:highlight w:val="none"/>
        </w:rPr>
      </w:pPr>
    </w:p>
    <w:p w14:paraId="7882CC3E">
      <w:pPr>
        <w:jc w:val="center"/>
        <w:rPr>
          <w:rFonts w:hint="default" w:ascii="Times New Roman" w:hAnsi="Times New Roman" w:eastAsia="黑体" w:cs="Times New Roman"/>
          <w:sz w:val="32"/>
          <w:szCs w:val="32"/>
          <w:highlight w:val="none"/>
        </w:rPr>
      </w:pPr>
    </w:p>
    <w:p w14:paraId="3DCF09B8">
      <w:pPr>
        <w:jc w:val="center"/>
        <w:rPr>
          <w:rFonts w:hint="default" w:ascii="Times New Roman" w:hAnsi="Times New Roman" w:eastAsia="黑体" w:cs="Times New Roman"/>
          <w:sz w:val="32"/>
          <w:szCs w:val="32"/>
          <w:highlight w:val="none"/>
        </w:rPr>
      </w:pPr>
    </w:p>
    <w:p w14:paraId="5AD86D3A">
      <w:pPr>
        <w:jc w:val="center"/>
        <w:rPr>
          <w:rFonts w:hint="default" w:ascii="Times New Roman" w:hAnsi="Times New Roman" w:eastAsia="黑体" w:cs="Times New Roman"/>
          <w:sz w:val="32"/>
          <w:szCs w:val="32"/>
          <w:highlight w:val="none"/>
        </w:rPr>
      </w:pPr>
    </w:p>
    <w:p w14:paraId="161D49F7">
      <w:pPr>
        <w:spacing w:line="600" w:lineRule="exact"/>
        <w:jc w:val="center"/>
        <w:rPr>
          <w:rFonts w:hint="default" w:ascii="Times New Roman" w:hAnsi="Times New Roman" w:eastAsia="仿宋_GB2312" w:cs="Times New Roman"/>
          <w:sz w:val="32"/>
          <w:szCs w:val="32"/>
          <w:highlight w:val="none"/>
          <w:u w:val="single"/>
        </w:rPr>
      </w:pPr>
      <w:r>
        <w:rPr>
          <w:rFonts w:hint="default" w:ascii="Times New Roman" w:hAnsi="Times New Roman" w:eastAsia="仿宋_GB2312" w:cs="Times New Roman"/>
          <w:sz w:val="32"/>
          <w:szCs w:val="32"/>
          <w:highlight w:val="none"/>
        </w:rPr>
        <w:t>部门（单位）名称：</w:t>
      </w:r>
      <w:r>
        <w:rPr>
          <w:rFonts w:hint="default" w:ascii="Times New Roman" w:hAnsi="Times New Roman" w:eastAsia="仿宋_GB2312" w:cs="Times New Roman"/>
          <w:sz w:val="32"/>
          <w:szCs w:val="32"/>
          <w:highlight w:val="none"/>
          <w:u w:val="single"/>
        </w:rPr>
        <w:t>（盖章）</w:t>
      </w:r>
    </w:p>
    <w:p w14:paraId="3651926A">
      <w:pPr>
        <w:spacing w:line="600" w:lineRule="exact"/>
        <w:jc w:val="center"/>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年  月  日</w:t>
      </w:r>
    </w:p>
    <w:p w14:paraId="4D22A5C4">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（此页为封面）</w:t>
      </w:r>
    </w:p>
    <w:p w14:paraId="56F32A61">
      <w:pPr>
        <w:ind w:firstLine="880" w:firstLineChars="200"/>
        <w:jc w:val="both"/>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4</w:t>
      </w:r>
      <w:r>
        <w:rPr>
          <w:rFonts w:hint="eastAsia" w:ascii="方正小标宋简体" w:hAnsi="方正小标宋简体" w:eastAsia="方正小标宋简体" w:cs="方正小标宋简体"/>
          <w:sz w:val="44"/>
          <w:szCs w:val="44"/>
          <w:highlight w:val="none"/>
        </w:rPr>
        <w:t>年度岳阳市生态环境局岳阳楼分局</w:t>
      </w:r>
    </w:p>
    <w:p w14:paraId="053CB687">
      <w:pPr>
        <w:ind w:firstLine="880" w:firstLineChars="20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整体支出绩效自评报告</w:t>
      </w:r>
    </w:p>
    <w:p w14:paraId="42444932">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highlight w:val="none"/>
        </w:rPr>
      </w:pPr>
    </w:p>
    <w:p w14:paraId="2821696F">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部门（单位）基本情况</w:t>
      </w:r>
    </w:p>
    <w:p w14:paraId="7DC9F260">
      <w:pPr>
        <w:pStyle w:val="2"/>
        <w:numPr>
          <w:ilvl w:val="0"/>
          <w:numId w:val="0"/>
        </w:numPr>
        <w:rPr>
          <w:rFonts w:hint="default" w:eastAsia="仿宋"/>
          <w:lang w:val="en-US" w:eastAsia="zh-CN"/>
        </w:rPr>
      </w:pPr>
      <w:r>
        <w:rPr>
          <w:rFonts w:hint="eastAsia"/>
          <w:lang w:val="en-US" w:eastAsia="zh-CN"/>
        </w:rPr>
        <w:t xml:space="preserve"> </w:t>
      </w:r>
      <w:r>
        <w:rPr>
          <w:rFonts w:hint="eastAsia" w:ascii="仿宋_GB2312" w:hAnsi="仿宋_GB2312" w:eastAsia="仿宋_GB2312" w:cs="仿宋_GB2312"/>
          <w:b w:val="0"/>
          <w:bCs/>
          <w:kern w:val="0"/>
          <w:sz w:val="32"/>
          <w:szCs w:val="32"/>
          <w:lang w:val="en-US" w:eastAsia="zh-CN" w:bidi="ar"/>
        </w:rPr>
        <w:t>    （一）职能职责</w:t>
      </w:r>
      <w:r>
        <w:rPr>
          <w:rFonts w:hint="eastAsia" w:ascii="仿宋_GB2312" w:hAnsi="仿宋_GB2312" w:eastAsia="仿宋_GB2312" w:cs="仿宋_GB2312"/>
          <w:b w:val="0"/>
          <w:bCs/>
          <w:kern w:val="0"/>
          <w:sz w:val="32"/>
          <w:szCs w:val="32"/>
          <w:lang w:val="en-US" w:eastAsia="zh-CN" w:bidi="ar"/>
        </w:rPr>
        <w:br w:type="textWrapping"/>
      </w:r>
      <w:r>
        <w:rPr>
          <w:rFonts w:hint="eastAsia" w:ascii="仿宋_GB2312" w:hAnsi="仿宋_GB2312" w:eastAsia="仿宋_GB2312" w:cs="仿宋_GB2312"/>
          <w:b w:val="0"/>
          <w:bCs/>
          <w:kern w:val="0"/>
          <w:sz w:val="32"/>
          <w:szCs w:val="32"/>
          <w:lang w:val="en-US" w:eastAsia="zh-CN" w:bidi="ar"/>
        </w:rPr>
        <w:t>     受岳阳市生态环境局委托，主要是贯彻落实环境保护政策，执行国家环保法律法规。负责辖区内环境规划、环境管理、环境宣传教育、环境监察等工作。</w:t>
      </w:r>
      <w:r>
        <w:rPr>
          <w:rFonts w:hint="eastAsia" w:ascii="仿宋_GB2312" w:hAnsi="仿宋_GB2312" w:eastAsia="仿宋_GB2312" w:cs="仿宋_GB2312"/>
          <w:b w:val="0"/>
          <w:bCs/>
          <w:kern w:val="0"/>
          <w:sz w:val="32"/>
          <w:szCs w:val="32"/>
          <w:lang w:val="en-US" w:eastAsia="zh-CN" w:bidi="ar"/>
        </w:rPr>
        <w:br w:type="textWrapping"/>
      </w:r>
      <w:r>
        <w:rPr>
          <w:rFonts w:hint="eastAsia" w:ascii="仿宋_GB2312" w:hAnsi="仿宋_GB2312" w:eastAsia="仿宋_GB2312" w:cs="仿宋_GB2312"/>
          <w:b w:val="0"/>
          <w:bCs/>
          <w:kern w:val="0"/>
          <w:sz w:val="32"/>
          <w:szCs w:val="32"/>
          <w:lang w:val="en-US" w:eastAsia="zh-CN" w:bidi="ar"/>
        </w:rPr>
        <w:t>     （二）机构设置</w:t>
      </w:r>
      <w:r>
        <w:rPr>
          <w:rFonts w:hint="eastAsia" w:ascii="仿宋_GB2312" w:hAnsi="仿宋_GB2312" w:eastAsia="仿宋_GB2312" w:cs="仿宋_GB2312"/>
          <w:b w:val="0"/>
          <w:bCs/>
          <w:kern w:val="0"/>
          <w:sz w:val="32"/>
          <w:szCs w:val="32"/>
          <w:lang w:val="en-US" w:eastAsia="zh-CN" w:bidi="ar"/>
        </w:rPr>
        <w:br w:type="textWrapping"/>
      </w:r>
      <w:r>
        <w:rPr>
          <w:rFonts w:hint="eastAsia" w:ascii="仿宋_GB2312" w:hAnsi="仿宋_GB2312" w:eastAsia="仿宋_GB2312" w:cs="仿宋_GB2312"/>
          <w:b w:val="0"/>
          <w:bCs/>
          <w:kern w:val="0"/>
          <w:sz w:val="32"/>
          <w:szCs w:val="32"/>
          <w:lang w:val="en-US" w:eastAsia="zh-CN" w:bidi="ar"/>
        </w:rPr>
        <w:t>      独立编制、核算机构数1个，核定编制数为33人，现在实有编制人员31人，其中全额事业编制31人。离退休人员13人，为岳阳市生态环境局的派出机构。</w:t>
      </w:r>
    </w:p>
    <w:p w14:paraId="5086D90B">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二、一般公共预算支出情况</w:t>
      </w:r>
    </w:p>
    <w:p w14:paraId="7FBB8019">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b w:val="0"/>
          <w:bCs/>
          <w:kern w:val="0"/>
          <w:sz w:val="32"/>
          <w:szCs w:val="32"/>
          <w:lang w:val="en-US" w:eastAsia="zh-CN" w:bidi="ar"/>
        </w:rPr>
      </w:pPr>
      <w:r>
        <w:rPr>
          <w:rFonts w:hint="default" w:ascii="仿宋_GB2312" w:hAnsi="仿宋_GB2312" w:eastAsia="仿宋_GB2312" w:cs="仿宋_GB2312"/>
          <w:b w:val="0"/>
          <w:bCs/>
          <w:kern w:val="0"/>
          <w:sz w:val="32"/>
          <w:szCs w:val="32"/>
          <w:lang w:val="en-US" w:eastAsia="zh-CN" w:bidi="ar"/>
        </w:rPr>
        <w:t>（一）基本支出情况</w:t>
      </w:r>
    </w:p>
    <w:p w14:paraId="0BD8E170">
      <w:pPr>
        <w:keepNext w:val="0"/>
        <w:keepLines w:val="0"/>
        <w:pageBreakBefore w:val="0"/>
        <w:widowControl w:val="0"/>
        <w:kinsoku/>
        <w:wordWrap/>
        <w:overflowPunct/>
        <w:topLinePunct w:val="0"/>
        <w:autoSpaceDE/>
        <w:autoSpaceDN/>
        <w:bidi w:val="0"/>
        <w:adjustRightInd/>
        <w:snapToGrid/>
        <w:spacing w:before="0" w:beforeAutospacing="0" w:after="0" w:afterAutospacing="0" w:line="580" w:lineRule="exact"/>
        <w:ind w:left="0" w:leftChars="0" w:right="0" w:firstLine="960" w:firstLineChars="300"/>
        <w:jc w:val="both"/>
        <w:textAlignment w:val="auto"/>
        <w:rPr>
          <w:rFonts w:hint="default" w:ascii="仿宋_GB2312" w:hAnsi="仿宋_GB2312" w:eastAsia="仿宋_GB2312" w:cs="仿宋_GB2312"/>
          <w:b w:val="0"/>
          <w:bCs/>
          <w:kern w:val="0"/>
          <w:sz w:val="32"/>
          <w:szCs w:val="32"/>
          <w:lang w:val="en-US" w:eastAsia="zh-CN" w:bidi="ar"/>
        </w:rPr>
      </w:pPr>
      <w:r>
        <w:rPr>
          <w:rFonts w:hint="eastAsia" w:ascii="仿宋_GB2312" w:hAnsi="仿宋_GB2312" w:eastAsia="仿宋_GB2312" w:cs="仿宋_GB2312"/>
          <w:b w:val="0"/>
          <w:bCs/>
          <w:kern w:val="0"/>
          <w:sz w:val="32"/>
          <w:szCs w:val="32"/>
          <w:lang w:val="en-US" w:eastAsia="zh-CN" w:bidi="ar"/>
        </w:rPr>
        <w:t>2024年基本支出年初预算数为</w:t>
      </w:r>
      <w:r>
        <w:rPr>
          <w:rFonts w:hint="eastAsia" w:ascii="宋体" w:hAnsi="宋体"/>
          <w:sz w:val="32"/>
          <w:szCs w:val="24"/>
        </w:rPr>
        <w:t>465.75</w:t>
      </w:r>
      <w:r>
        <w:rPr>
          <w:rFonts w:hint="eastAsia" w:ascii="仿宋_GB2312" w:hAnsi="仿宋_GB2312" w:eastAsia="仿宋_GB2312" w:cs="仿宋_GB2312"/>
          <w:b w:val="0"/>
          <w:bCs/>
          <w:kern w:val="0"/>
          <w:sz w:val="32"/>
          <w:szCs w:val="32"/>
          <w:lang w:val="en-US" w:eastAsia="zh-CN" w:bidi="ar"/>
        </w:rPr>
        <w:t>万元，决算实际支出数为957.03万元。其中：人员经费453.47万元，主要包括：基本工资、津贴补贴、奖金、伙食补助费、绩效工资、机关事业单位基本养老保险缴费、职工基本医疗保险缴费、其他社会保障缴费、住房公积金、医疗费、退休费等；公用经费72.10万元，主要包括：办公费、印刷费、咨询费、水电费、邮电费、物业管理费、差旅费、维修（护）费、工会经费、公务接待费、劳务费、委托业务费、福利费、公务用车运行维护费、其他交通费用、其他商品和服务支出等。</w:t>
      </w:r>
    </w:p>
    <w:p w14:paraId="34EEBF8C">
      <w:pPr>
        <w:pStyle w:val="7"/>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b w:val="0"/>
          <w:bCs/>
          <w:kern w:val="0"/>
          <w:sz w:val="32"/>
          <w:szCs w:val="32"/>
          <w:lang w:val="en-US" w:eastAsia="zh-CN" w:bidi="ar-SA"/>
        </w:rPr>
      </w:pPr>
      <w:r>
        <w:rPr>
          <w:rFonts w:hint="default" w:ascii="仿宋_GB2312" w:hAnsi="仿宋_GB2312" w:eastAsia="仿宋_GB2312" w:cs="仿宋_GB2312"/>
          <w:b w:val="0"/>
          <w:bCs/>
          <w:kern w:val="0"/>
          <w:sz w:val="32"/>
          <w:szCs w:val="32"/>
          <w:lang w:val="en-US" w:eastAsia="zh-CN" w:bidi="ar-SA"/>
        </w:rPr>
        <w:t>项目支出情况</w:t>
      </w:r>
    </w:p>
    <w:p w14:paraId="7CB7376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b w:val="0"/>
          <w:bCs/>
          <w:kern w:val="0"/>
          <w:sz w:val="32"/>
          <w:szCs w:val="32"/>
          <w:lang w:val="en-US" w:eastAsia="zh-CN" w:bidi="ar-SA"/>
        </w:rPr>
      </w:pPr>
      <w:r>
        <w:rPr>
          <w:rFonts w:hint="eastAsia" w:ascii="仿宋_GB2312" w:hAnsi="仿宋_GB2312" w:eastAsia="仿宋_GB2312" w:cs="仿宋_GB2312"/>
          <w:b w:val="0"/>
          <w:bCs/>
          <w:kern w:val="0"/>
          <w:sz w:val="32"/>
          <w:szCs w:val="32"/>
          <w:lang w:val="en-US" w:eastAsia="zh-CN" w:bidi="ar-SA"/>
        </w:rPr>
        <w:t>2024年项目支出年初预算数为5.00万元，决算实际支出数为398.65万元。主要用于办案费支出，环境监察、监测等运行经费，上级环保专项，污染防治攻坚防治经费，2023年单位指标结余等方面。</w:t>
      </w:r>
    </w:p>
    <w:p w14:paraId="17F9D65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b w:val="0"/>
          <w:bCs/>
          <w:kern w:val="0"/>
          <w:sz w:val="32"/>
          <w:szCs w:val="32"/>
          <w:lang w:val="en-US" w:eastAsia="zh-CN" w:bidi="ar-SA"/>
        </w:rPr>
      </w:pPr>
    </w:p>
    <w:p w14:paraId="6F4DEC8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kern w:val="0"/>
          <w:sz w:val="32"/>
          <w:szCs w:val="32"/>
          <w:highlight w:val="none"/>
          <w:lang w:val="en-US" w:eastAsia="zh-CN" w:bidi="ar-SA"/>
        </w:rPr>
      </w:pPr>
      <w:r>
        <w:rPr>
          <w:rFonts w:hint="default" w:ascii="Times New Roman" w:hAnsi="Times New Roman" w:eastAsia="黑体" w:cs="Times New Roman"/>
          <w:kern w:val="0"/>
          <w:sz w:val="32"/>
          <w:szCs w:val="32"/>
          <w:highlight w:val="none"/>
          <w:lang w:val="en-US" w:eastAsia="zh-CN" w:bidi="ar-SA"/>
        </w:rPr>
        <w:t>三、政府性基金预算支出情况</w:t>
      </w:r>
    </w:p>
    <w:p w14:paraId="48EE013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kern w:val="0"/>
          <w:sz w:val="32"/>
          <w:szCs w:val="32"/>
          <w:highlight w:val="none"/>
        </w:rPr>
      </w:pPr>
      <w:r>
        <w:rPr>
          <w:rFonts w:hint="eastAsia" w:ascii="仿宋_GB2312" w:hAnsi="仿宋_GB2312" w:eastAsia="仿宋_GB2312" w:cs="仿宋_GB2312"/>
          <w:kern w:val="0"/>
          <w:sz w:val="32"/>
          <w:szCs w:val="32"/>
          <w:lang w:val="en-US" w:eastAsia="zh-CN" w:bidi="ar-SA"/>
        </w:rPr>
        <w:t>2024年本单位无政府性基金预算安排的支出。</w:t>
      </w:r>
    </w:p>
    <w:p w14:paraId="3915CA11">
      <w:pPr>
        <w:keepNext w:val="0"/>
        <w:keepLines w:val="0"/>
        <w:pageBreakBefore w:val="0"/>
        <w:widowControl/>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黑体" w:cs="Times New Roman"/>
          <w:kern w:val="0"/>
          <w:sz w:val="32"/>
          <w:szCs w:val="32"/>
          <w:highlight w:val="none"/>
          <w:lang w:val="en-US" w:eastAsia="zh-CN" w:bidi="ar-SA"/>
        </w:rPr>
      </w:pPr>
      <w:r>
        <w:rPr>
          <w:rFonts w:hint="default" w:ascii="Times New Roman" w:hAnsi="Times New Roman" w:eastAsia="黑体" w:cs="Times New Roman"/>
          <w:kern w:val="0"/>
          <w:sz w:val="32"/>
          <w:szCs w:val="32"/>
          <w:highlight w:val="none"/>
          <w:lang w:val="en-US" w:eastAsia="zh-CN" w:bidi="ar-SA"/>
        </w:rPr>
        <w:t>国有资本经营预算支出情</w:t>
      </w:r>
      <w:r>
        <w:rPr>
          <w:rFonts w:hint="eastAsia" w:ascii="Times New Roman" w:hAnsi="Times New Roman" w:eastAsia="黑体" w:cs="Times New Roman"/>
          <w:kern w:val="0"/>
          <w:sz w:val="32"/>
          <w:szCs w:val="32"/>
          <w:highlight w:val="none"/>
          <w:lang w:val="en-US" w:eastAsia="zh-CN" w:bidi="ar-SA"/>
        </w:rPr>
        <w:t>况</w:t>
      </w:r>
    </w:p>
    <w:p w14:paraId="343E120A">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kern w:val="0"/>
          <w:sz w:val="32"/>
          <w:szCs w:val="32"/>
          <w:highlight w:val="none"/>
          <w:lang w:val="en-US" w:eastAsia="zh-CN"/>
        </w:rPr>
      </w:pPr>
      <w:r>
        <w:rPr>
          <w:rFonts w:hint="eastAsia" w:ascii="仿宋_GB2312" w:hAnsi="仿宋_GB2312" w:eastAsia="仿宋_GB2312" w:cs="仿宋_GB2312"/>
          <w:kern w:val="0"/>
          <w:sz w:val="32"/>
          <w:szCs w:val="32"/>
          <w:lang w:val="en-US" w:eastAsia="zh-CN" w:bidi="ar-SA"/>
        </w:rPr>
        <w:t>2024年本单位无国有资本经营预算安排的支出。</w:t>
      </w:r>
    </w:p>
    <w:p w14:paraId="42C8E0AC">
      <w:pPr>
        <w:keepNext w:val="0"/>
        <w:keepLines w:val="0"/>
        <w:pageBreakBefore w:val="0"/>
        <w:widowControl/>
        <w:numPr>
          <w:ilvl w:val="0"/>
          <w:numId w:val="3"/>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kern w:val="0"/>
          <w:sz w:val="32"/>
          <w:szCs w:val="32"/>
          <w:highlight w:val="none"/>
          <w:lang w:val="en-US" w:eastAsia="zh-CN" w:bidi="ar-SA"/>
        </w:rPr>
      </w:pPr>
      <w:r>
        <w:rPr>
          <w:rFonts w:hint="default" w:ascii="Times New Roman" w:hAnsi="Times New Roman" w:eastAsia="黑体" w:cs="Times New Roman"/>
          <w:kern w:val="0"/>
          <w:sz w:val="32"/>
          <w:szCs w:val="32"/>
          <w:highlight w:val="none"/>
          <w:lang w:val="en-US" w:eastAsia="zh-CN" w:bidi="ar-SA"/>
        </w:rPr>
        <w:t>社会保险基金预算支出情况</w:t>
      </w:r>
    </w:p>
    <w:p w14:paraId="09AECBA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2024年本单位无社会保险基金预算安排的支出。</w:t>
      </w:r>
    </w:p>
    <w:p w14:paraId="1527779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六、部门整体支出绩效情况</w:t>
      </w:r>
    </w:p>
    <w:p w14:paraId="7BD0BB42">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 xml:space="preserve">1.履职效能情况分析 </w:t>
      </w:r>
    </w:p>
    <w:p w14:paraId="3778CCD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eastAsia" w:ascii="Times New Roman" w:hAnsi="Times New Roman" w:eastAsia="仿宋_GB2312" w:cs="Times New Roman"/>
          <w:color w:val="000000"/>
          <w:kern w:val="0"/>
          <w:sz w:val="32"/>
          <w:szCs w:val="32"/>
          <w:highlight w:val="none"/>
          <w:lang w:val="en-US" w:eastAsia="zh-CN" w:bidi="ar-SA"/>
        </w:rPr>
        <w:t>今年以来</w:t>
      </w:r>
      <w:r>
        <w:rPr>
          <w:rFonts w:hint="default" w:ascii="Times New Roman" w:hAnsi="Times New Roman" w:eastAsia="仿宋_GB2312" w:cs="Times New Roman"/>
          <w:color w:val="000000"/>
          <w:kern w:val="0"/>
          <w:sz w:val="32"/>
          <w:szCs w:val="32"/>
          <w:highlight w:val="none"/>
          <w:lang w:val="en-US" w:eastAsia="zh-CN" w:bidi="ar-SA"/>
        </w:rPr>
        <w:t>已下达行政处罚决定书8份，罚款19.95万元，其中不予处罚案件2起。同时，加强“行刑衔接”，联合公安、检察机关开展打击危险废物犯罪和重点排污单位在线监控数据造假等专项行动，办理四个配套办法类案件4起，其中查封扣押2起，移送拘留2起。启动办结生态损害赔偿案件4起，3起已办结。</w:t>
      </w:r>
    </w:p>
    <w:p w14:paraId="3570E5E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2.管理效率情况分析</w:t>
      </w:r>
    </w:p>
    <w:p w14:paraId="5958A35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 xml:space="preserve">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 </w:t>
      </w:r>
    </w:p>
    <w:p w14:paraId="6BEAFEC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 xml:space="preserve">3.运行成本控制情况分析 </w:t>
      </w:r>
    </w:p>
    <w:p w14:paraId="32E505C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“三公经费”、公用经费均控制在预算范围内，项目支出有所超出预算，原因在于本年度市财政局拨付的专项资金。</w:t>
      </w:r>
    </w:p>
    <w:p w14:paraId="17F6991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4.服务满意度指标完成情况分析</w:t>
      </w:r>
    </w:p>
    <w:p w14:paraId="4C59A16A">
      <w:pPr>
        <w:widowControl w:val="0"/>
        <w:ind w:left="111" w:firstLine="599"/>
        <w:jc w:val="both"/>
        <w:rPr>
          <w:rFonts w:hint="eastAsia" w:ascii="仿宋_GB2312" w:hAnsi="宋体" w:eastAsia="仿宋_GB2312" w:cs="Times New Roman"/>
          <w:kern w:val="2"/>
          <w:sz w:val="32"/>
          <w:szCs w:val="32"/>
          <w:lang w:val="en-US" w:eastAsia="zh-CN" w:bidi="ar-SA"/>
        </w:rPr>
      </w:pPr>
      <w:r>
        <w:rPr>
          <w:rFonts w:hint="default" w:ascii="Times New Roman" w:hAnsi="Times New Roman" w:eastAsia="仿宋_GB2312" w:cs="Times New Roman"/>
          <w:color w:val="000000"/>
          <w:kern w:val="0"/>
          <w:sz w:val="32"/>
          <w:szCs w:val="32"/>
          <w:highlight w:val="none"/>
          <w:lang w:val="en-US" w:eastAsia="en-US" w:bidi="ar-SA"/>
        </w:rPr>
        <w:t>今年以来，执法大队共接受各类环境信访案件共2</w:t>
      </w:r>
      <w:r>
        <w:rPr>
          <w:rFonts w:hint="eastAsia" w:ascii="仿宋_GB2312" w:hAnsi="宋体" w:eastAsia="仿宋_GB2312" w:cs="Times New Roman"/>
          <w:color w:val="auto"/>
          <w:kern w:val="2"/>
          <w:sz w:val="32"/>
          <w:szCs w:val="32"/>
          <w:lang w:val="en-US" w:eastAsia="zh-CN" w:bidi="ar-SA"/>
        </w:rPr>
        <w:t>受理各类环境信访件96件，目前已全部办结，按时办结率</w:t>
      </w:r>
      <w:r>
        <w:rPr>
          <w:rFonts w:ascii="仿宋_GB2312" w:hAnsi="宋体" w:eastAsia="仿宋_GB2312" w:cs="Times New Roman"/>
          <w:color w:val="auto"/>
          <w:kern w:val="2"/>
          <w:sz w:val="32"/>
          <w:szCs w:val="32"/>
          <w:lang w:val="en-US" w:eastAsia="zh-CN" w:bidi="ar-SA"/>
        </w:rPr>
        <w:t>100%</w:t>
      </w:r>
      <w:r>
        <w:rPr>
          <w:rFonts w:hint="eastAsia" w:ascii="仿宋_GB2312" w:hAnsi="宋体" w:eastAsia="仿宋_GB2312" w:cs="Times New Roman"/>
          <w:kern w:val="2"/>
          <w:sz w:val="32"/>
          <w:szCs w:val="32"/>
          <w:lang w:val="en-US" w:eastAsia="zh-CN" w:bidi="ar-SA"/>
        </w:rPr>
        <w:t>。</w:t>
      </w:r>
    </w:p>
    <w:p w14:paraId="3053559F">
      <w:pPr>
        <w:widowControl w:val="0"/>
        <w:ind w:left="111" w:firstLine="599"/>
        <w:jc w:val="both"/>
        <w:rPr>
          <w:rFonts w:hint="default" w:ascii="Times New Roman" w:hAnsi="Times New Roman" w:eastAsia="仿宋_GB2312" w:cs="Times New Roman"/>
          <w:color w:val="000000"/>
          <w:kern w:val="0"/>
          <w:sz w:val="32"/>
          <w:szCs w:val="32"/>
          <w:highlight w:val="none"/>
          <w:lang w:val="en-US" w:eastAsia="en-US" w:bidi="ar-SA"/>
        </w:rPr>
      </w:pPr>
      <w:r>
        <w:rPr>
          <w:rFonts w:hint="eastAsia" w:ascii="Times New Roman" w:hAnsi="Times New Roman" w:eastAsia="仿宋_GB2312" w:cs="Times New Roman"/>
          <w:color w:val="000000"/>
          <w:kern w:val="0"/>
          <w:sz w:val="32"/>
          <w:szCs w:val="32"/>
          <w:highlight w:val="none"/>
          <w:lang w:val="en-US" w:eastAsia="zh-CN" w:bidi="ar-SA"/>
        </w:rPr>
        <w:t>5</w:t>
      </w:r>
      <w:r>
        <w:rPr>
          <w:rFonts w:hint="default" w:ascii="Times New Roman" w:hAnsi="Times New Roman" w:eastAsia="仿宋_GB2312" w:cs="Times New Roman"/>
          <w:color w:val="000000"/>
          <w:kern w:val="0"/>
          <w:sz w:val="32"/>
          <w:szCs w:val="32"/>
          <w:highlight w:val="none"/>
          <w:lang w:val="en-US" w:eastAsia="en-US" w:bidi="ar-SA"/>
        </w:rPr>
        <w:t>.可持续性影响情况分析</w:t>
      </w:r>
    </w:p>
    <w:p w14:paraId="11CC8D7B">
      <w:pPr>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default" w:ascii="Times New Roman" w:hAnsi="Times New Roman" w:eastAsia="仿宋_GB2312" w:cs="Times New Roman"/>
          <w:color w:val="000000"/>
          <w:kern w:val="0"/>
          <w:sz w:val="32"/>
          <w:szCs w:val="32"/>
          <w:highlight w:val="none"/>
          <w:lang w:val="en-US" w:eastAsia="zh-CN" w:bidi="ar-SA"/>
        </w:rPr>
        <w:t>深入打好污染防治攻坚战，</w:t>
      </w:r>
      <w:r>
        <w:rPr>
          <w:rFonts w:hint="eastAsia" w:ascii="仿宋_GB2312" w:hAnsi="仿宋" w:eastAsia="仿宋_GB2312" w:cs="仿宋"/>
          <w:color w:val="000000"/>
          <w:kern w:val="0"/>
          <w:sz w:val="32"/>
          <w:szCs w:val="32"/>
          <w:lang w:val="en-US" w:eastAsia="zh-CN" w:bidi="ar-SA"/>
        </w:rPr>
        <w:t>严厉打击超标排放等违法行为，累计检查柴油货</w:t>
      </w:r>
      <w:r>
        <w:rPr>
          <w:rFonts w:hint="eastAsia" w:ascii="仿宋_GB2312" w:hAnsi="仿宋" w:eastAsia="仿宋_GB2312" w:cs="仿宋"/>
          <w:kern w:val="0"/>
          <w:sz w:val="32"/>
          <w:szCs w:val="32"/>
          <w:lang w:val="en-US" w:eastAsia="zh-CN" w:bidi="ar-SA"/>
        </w:rPr>
        <w:t>车94台次，其中4台超标车辆接受交警部门处罚</w:t>
      </w:r>
      <w:r>
        <w:rPr>
          <w:rFonts w:hint="default" w:ascii="Times New Roman" w:hAnsi="Times New Roman" w:eastAsia="仿宋_GB2312" w:cs="Times New Roman"/>
          <w:color w:val="000000"/>
          <w:kern w:val="0"/>
          <w:sz w:val="32"/>
          <w:szCs w:val="32"/>
          <w:highlight w:val="none"/>
          <w:lang w:val="en-US" w:eastAsia="zh-CN" w:bidi="ar-SA"/>
        </w:rPr>
        <w:t>。全力推进水环境保护工作，</w:t>
      </w:r>
      <w:r>
        <w:rPr>
          <w:rFonts w:hint="eastAsia" w:ascii="仿宋_GB2312" w:hAnsi="仿宋" w:eastAsia="仿宋_GB2312" w:cs="仿宋_GB2312"/>
          <w:color w:val="000000"/>
          <w:kern w:val="0"/>
          <w:sz w:val="32"/>
          <w:szCs w:val="32"/>
          <w:lang w:val="en-US" w:eastAsia="zh-CN" w:bidi="ar-SA"/>
          <w14:textFill>
            <w14:solidFill>
              <w14:srgbClr w14:val="000000">
                <w14:lumMod w14:val="95000"/>
                <w14:lumOff w14:val="5000"/>
              </w14:srgbClr>
            </w14:solidFill>
          </w14:textFill>
        </w:rPr>
        <w:t>辖区共排查出长江入河排口92个，需要整治的问题排口48个，已完成整治43个，力争在今年底前完成整改并销号。重点入河（湖）排污口28个，其中需要整治的问题排口10个</w:t>
      </w:r>
      <w:r>
        <w:rPr>
          <w:rFonts w:hint="default" w:ascii="Times New Roman" w:hAnsi="Times New Roman" w:eastAsia="仿宋_GB2312" w:cs="Times New Roman"/>
          <w:color w:val="000000"/>
          <w:kern w:val="0"/>
          <w:sz w:val="32"/>
          <w:szCs w:val="32"/>
          <w:highlight w:val="none"/>
          <w:lang w:val="en-US" w:eastAsia="zh-CN" w:bidi="ar-SA"/>
        </w:rPr>
        <w:t>。着力落实净土保卫工作，</w:t>
      </w:r>
      <w:r>
        <w:rPr>
          <w:rFonts w:hint="eastAsia" w:ascii="仿宋_GB2312" w:hAnsi="仿宋" w:eastAsia="仿宋_GB2312" w:cs="仿宋_GB2312"/>
          <w:color w:val="000000"/>
          <w:kern w:val="0"/>
          <w:sz w:val="32"/>
          <w:szCs w:val="32"/>
          <w:lang w:val="en-US" w:eastAsia="zh-CN" w:bidi="ar-SA"/>
          <w14:textFill>
            <w14:solidFill>
              <w14:srgbClr w14:val="000000">
                <w14:lumMod w14:val="95000"/>
                <w14:lumOff w14:val="5000"/>
              </w14:srgbClr>
            </w14:solidFill>
          </w14:textFill>
        </w:rPr>
        <w:t>开展涉重金属企业排查，完成中国航发长江动力有限公司、岳阳景隆机械制造有限公司涉重金属污染现场排查。摸排辖区农村生活污水治理及农村环境整治情况，完成农村生态环境监管信息系统填报工作。</w:t>
      </w:r>
    </w:p>
    <w:p w14:paraId="539C3F9B">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七、存在的问题及原因分析</w:t>
      </w:r>
    </w:p>
    <w:p w14:paraId="7B2BA095">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1、环境质量改善仍任重道远，中心城区综合质量不能稳定达标，空气质量优良率难以达到考核目标要求，国家水质考核断面总磷浓度改善不明显，水质考核PM2.5浓度不能稳定达标，水环境、大气环境质量管控措施还有待进一步细化加强。</w:t>
      </w:r>
    </w:p>
    <w:p w14:paraId="5FC618D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2、环境违法行为仍屡禁不止，我区已连续两年发生非法遗弃处置危险废物案件，部分企业和居民的生态环保意识还不够强，环法宣教工作还需进一步加大力度。</w:t>
      </w:r>
    </w:p>
    <w:p w14:paraId="2396756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3、突出环境问题整改仍需继续努力，中央环保督察交办的25个信访件现已办结16个、阶段办结9个、1个正在办理中，省环保督察交办的信访件22个现已办结20个、阶段办结2个。突出环境问题整改压力大、任务重、时间紧，中央、省环保督察及长江经济带警示片反馈披露问题还有16个未完成整改销号。</w:t>
      </w:r>
    </w:p>
    <w:p w14:paraId="680B966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八、下一步改进措施</w:t>
      </w:r>
    </w:p>
    <w:p w14:paraId="4A2E5A66">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（一）</w:t>
      </w:r>
      <w:r>
        <w:rPr>
          <w:rFonts w:hint="eastAsia" w:ascii="Times New Roman" w:hAnsi="Times New Roman" w:eastAsia="仿宋_GB2312" w:cs="Times New Roman"/>
          <w:color w:val="000000"/>
          <w:sz w:val="32"/>
          <w:szCs w:val="32"/>
          <w:highlight w:val="none"/>
          <w:lang w:val="en-US" w:eastAsia="zh-CN"/>
        </w:rPr>
        <w:t>着力</w:t>
      </w:r>
      <w:r>
        <w:rPr>
          <w:rFonts w:hint="eastAsia" w:ascii="Times New Roman" w:hAnsi="Times New Roman" w:eastAsia="仿宋_GB2312" w:cs="Times New Roman"/>
          <w:color w:val="000000"/>
          <w:sz w:val="32"/>
          <w:szCs w:val="32"/>
          <w:highlight w:val="none"/>
        </w:rPr>
        <w:t>推进</w:t>
      </w:r>
      <w:r>
        <w:rPr>
          <w:rFonts w:hint="eastAsia" w:ascii="Times New Roman" w:hAnsi="Times New Roman" w:eastAsia="仿宋_GB2312" w:cs="Times New Roman"/>
          <w:color w:val="000000"/>
          <w:sz w:val="32"/>
          <w:szCs w:val="32"/>
          <w:highlight w:val="none"/>
          <w:lang w:val="en-US" w:eastAsia="zh-CN"/>
        </w:rPr>
        <w:t>国家级</w:t>
      </w:r>
      <w:r>
        <w:rPr>
          <w:rFonts w:hint="eastAsia" w:ascii="Times New Roman" w:hAnsi="Times New Roman" w:eastAsia="仿宋_GB2312" w:cs="Times New Roman"/>
          <w:color w:val="000000"/>
          <w:sz w:val="32"/>
          <w:szCs w:val="32"/>
          <w:highlight w:val="none"/>
        </w:rPr>
        <w:t>生态示范区创建工作。对标</w:t>
      </w:r>
      <w:r>
        <w:rPr>
          <w:rFonts w:hint="eastAsia" w:ascii="Times New Roman" w:hAnsi="Times New Roman" w:eastAsia="仿宋_GB2312" w:cs="Times New Roman"/>
          <w:color w:val="000000"/>
          <w:sz w:val="32"/>
          <w:szCs w:val="32"/>
          <w:highlight w:val="none"/>
          <w:lang w:val="en-US" w:eastAsia="zh-CN"/>
        </w:rPr>
        <w:t>国家级</w:t>
      </w:r>
      <w:r>
        <w:rPr>
          <w:rFonts w:hint="eastAsia" w:ascii="Times New Roman" w:hAnsi="Times New Roman" w:eastAsia="仿宋_GB2312" w:cs="Times New Roman"/>
          <w:color w:val="000000"/>
          <w:sz w:val="32"/>
          <w:szCs w:val="32"/>
          <w:highlight w:val="none"/>
        </w:rPr>
        <w:t>生态文明建设示范区各项任务指标，协同技术材料组仔细审核各部门单位提供资料的指标完成情况，及时查缺补漏、补齐短板。大力开展污染防治法规、生态环境保护相关知识的宣传教育，引导企业组织和个人共同履行环境保护责任，在全社会牢固树立生态文明理念，形成全社会共同参与生态文明示范建设的良好氛围。</w:t>
      </w:r>
    </w:p>
    <w:p w14:paraId="5D5CF99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（二）着力推进蓝天、净土、碧水攻坚战。</w:t>
      </w:r>
      <w:r>
        <w:rPr>
          <w:rFonts w:hint="default" w:ascii="Times New Roman" w:hAnsi="Times New Roman" w:eastAsia="仿宋_GB2312" w:cs="Times New Roman"/>
          <w:color w:val="000000"/>
          <w:sz w:val="32"/>
          <w:szCs w:val="32"/>
          <w:highlight w:val="none"/>
          <w:lang w:val="en-US" w:eastAsia="zh-CN"/>
        </w:rPr>
        <w:t>一是打好“碧水”攻坚战。深入开展</w:t>
      </w:r>
      <w:r>
        <w:rPr>
          <w:rFonts w:hint="eastAsia" w:ascii="Times New Roman" w:hAnsi="Times New Roman" w:eastAsia="仿宋_GB2312" w:cs="Times New Roman"/>
          <w:color w:val="000000"/>
          <w:sz w:val="32"/>
          <w:szCs w:val="32"/>
          <w:highlight w:val="none"/>
          <w:lang w:val="en-US" w:eastAsia="zh-CN"/>
        </w:rPr>
        <w:t>排污口</w:t>
      </w:r>
      <w:r>
        <w:rPr>
          <w:rFonts w:hint="default" w:ascii="Times New Roman" w:hAnsi="Times New Roman" w:eastAsia="仿宋_GB2312" w:cs="Times New Roman"/>
          <w:color w:val="000000"/>
          <w:sz w:val="32"/>
          <w:szCs w:val="32"/>
          <w:highlight w:val="none"/>
          <w:lang w:val="en-US" w:eastAsia="zh-CN"/>
        </w:rPr>
        <w:t>整治工作，</w:t>
      </w:r>
      <w:r>
        <w:rPr>
          <w:rFonts w:hint="eastAsia" w:ascii="Times New Roman" w:hAnsi="Times New Roman" w:eastAsia="仿宋_GB2312" w:cs="Times New Roman"/>
          <w:color w:val="000000"/>
          <w:sz w:val="32"/>
          <w:szCs w:val="32"/>
          <w:highlight w:val="none"/>
          <w:lang w:val="en-US" w:eastAsia="zh-CN"/>
        </w:rPr>
        <w:t>续推动入河排污口排查整治相关工作。在力争2024年全面完成长江入河排污口和部分重点河湖排污口整治工作的前提下，做好2025年重点河湖入河排污口的整治、验收、销号工作。开展入河排污口全覆盖行动的后续工作</w:t>
      </w:r>
      <w:r>
        <w:rPr>
          <w:rFonts w:hint="default" w:ascii="Times New Roman" w:hAnsi="Times New Roman" w:eastAsia="仿宋_GB2312" w:cs="Times New Roman"/>
          <w:color w:val="000000"/>
          <w:sz w:val="32"/>
          <w:szCs w:val="32"/>
          <w:highlight w:val="none"/>
          <w:lang w:val="en-US" w:eastAsia="zh-CN"/>
        </w:rPr>
        <w:t>。</w:t>
      </w:r>
      <w:r>
        <w:rPr>
          <w:rFonts w:hint="eastAsia" w:ascii="Times New Roman" w:hAnsi="Times New Roman" w:eastAsia="仿宋_GB2312" w:cs="Times New Roman"/>
          <w:color w:val="000000"/>
          <w:sz w:val="32"/>
          <w:szCs w:val="32"/>
          <w:highlight w:val="none"/>
          <w:lang w:val="en-US" w:eastAsia="zh-CN"/>
        </w:rPr>
        <w:t>同时</w:t>
      </w:r>
      <w:r>
        <w:rPr>
          <w:rFonts w:hint="default" w:ascii="Times New Roman" w:hAnsi="Times New Roman" w:eastAsia="仿宋_GB2312" w:cs="Times New Roman"/>
          <w:color w:val="000000"/>
          <w:sz w:val="32"/>
          <w:szCs w:val="32"/>
          <w:highlight w:val="none"/>
          <w:lang w:val="en-US" w:eastAsia="zh-CN"/>
        </w:rPr>
        <w:t>加强涉水企业监管，减少企业偷排废水的风险隐患。二是打好“蓝天”保卫战。全面加强工业企业、移动源和扬尘污染防治。加强企业异味精细化管控，推行“一企一策”模式，确保废气环境信访大幅下降、PM2.5浓度持续下降、空气优良天数比率持续上升。具体做好</w:t>
      </w:r>
      <w:r>
        <w:rPr>
          <w:rFonts w:hint="eastAsia" w:ascii="Times New Roman" w:hAnsi="Times New Roman" w:eastAsia="仿宋_GB2312" w:cs="Times New Roman"/>
          <w:color w:val="000000"/>
          <w:sz w:val="32"/>
          <w:szCs w:val="32"/>
          <w:highlight w:val="none"/>
          <w:lang w:val="en-US" w:eastAsia="zh-CN"/>
        </w:rPr>
        <w:t>三</w:t>
      </w:r>
      <w:r>
        <w:rPr>
          <w:rFonts w:hint="default" w:ascii="Times New Roman" w:hAnsi="Times New Roman" w:eastAsia="仿宋_GB2312" w:cs="Times New Roman"/>
          <w:color w:val="000000"/>
          <w:sz w:val="32"/>
          <w:szCs w:val="32"/>
          <w:highlight w:val="none"/>
          <w:lang w:val="en-US" w:eastAsia="zh-CN"/>
        </w:rPr>
        <w:t>方面工作：加强微环境治理，针对</w:t>
      </w:r>
      <w:r>
        <w:rPr>
          <w:rFonts w:hint="eastAsia" w:ascii="Times New Roman" w:hAnsi="Times New Roman" w:eastAsia="仿宋_GB2312" w:cs="Times New Roman"/>
          <w:color w:val="000000"/>
          <w:sz w:val="32"/>
          <w:szCs w:val="32"/>
          <w:highlight w:val="none"/>
          <w:lang w:val="en-US" w:eastAsia="zh-CN"/>
        </w:rPr>
        <w:t>南湖风景区</w:t>
      </w:r>
      <w:r>
        <w:rPr>
          <w:rFonts w:hint="default" w:ascii="Times New Roman" w:hAnsi="Times New Roman" w:eastAsia="仿宋_GB2312" w:cs="Times New Roman"/>
          <w:color w:val="000000"/>
          <w:sz w:val="32"/>
          <w:szCs w:val="32"/>
          <w:highlight w:val="none"/>
          <w:lang w:val="en-US" w:eastAsia="zh-CN"/>
        </w:rPr>
        <w:t>国控点位周边，在交通、餐饮、路面保洁、居民生活等方面，会同</w:t>
      </w:r>
      <w:r>
        <w:rPr>
          <w:rFonts w:hint="eastAsia" w:ascii="Times New Roman" w:hAnsi="Times New Roman" w:eastAsia="仿宋_GB2312" w:cs="Times New Roman"/>
          <w:color w:val="000000"/>
          <w:sz w:val="32"/>
          <w:szCs w:val="32"/>
          <w:highlight w:val="none"/>
          <w:lang w:val="en-US" w:eastAsia="zh-CN"/>
        </w:rPr>
        <w:t>环卫</w:t>
      </w:r>
      <w:r>
        <w:rPr>
          <w:rFonts w:hint="default" w:ascii="Times New Roman" w:hAnsi="Times New Roman" w:eastAsia="仿宋_GB2312" w:cs="Times New Roman"/>
          <w:color w:val="000000"/>
          <w:sz w:val="32"/>
          <w:szCs w:val="32"/>
          <w:highlight w:val="none"/>
          <w:lang w:val="en-US" w:eastAsia="zh-CN"/>
        </w:rPr>
        <w:t>、城管等部门进行综合防治，</w:t>
      </w:r>
      <w:r>
        <w:rPr>
          <w:rFonts w:hint="eastAsia" w:ascii="Times New Roman" w:hAnsi="Times New Roman" w:eastAsia="仿宋_GB2312" w:cs="Times New Roman"/>
          <w:color w:val="000000"/>
          <w:sz w:val="32"/>
          <w:szCs w:val="32"/>
          <w:highlight w:val="none"/>
          <w:lang w:val="en-US" w:eastAsia="zh-CN"/>
        </w:rPr>
        <w:t>对周边餐饮门店开展常态化巡查，在抑尘方面每天开展洒水降尘，</w:t>
      </w:r>
      <w:r>
        <w:rPr>
          <w:rFonts w:hint="default" w:ascii="Times New Roman" w:hAnsi="Times New Roman" w:eastAsia="仿宋_GB2312" w:cs="Times New Roman"/>
          <w:color w:val="000000"/>
          <w:sz w:val="32"/>
          <w:szCs w:val="32"/>
          <w:highlight w:val="none"/>
          <w:lang w:val="en-US" w:eastAsia="zh-CN"/>
        </w:rPr>
        <w:t>积极探索微环境改善措施。强化涉气企业监管，以包装印刷产业整治为模板，开展全区喷涂行业</w:t>
      </w:r>
      <w:r>
        <w:rPr>
          <w:rFonts w:hint="eastAsia" w:ascii="Times New Roman" w:hAnsi="Times New Roman" w:eastAsia="仿宋_GB2312" w:cs="Times New Roman"/>
          <w:color w:val="000000"/>
          <w:sz w:val="32"/>
          <w:szCs w:val="32"/>
          <w:highlight w:val="none"/>
          <w:lang w:val="en-US" w:eastAsia="zh-CN"/>
        </w:rPr>
        <w:t>集中</w:t>
      </w:r>
      <w:r>
        <w:rPr>
          <w:rFonts w:hint="default" w:ascii="Times New Roman" w:hAnsi="Times New Roman" w:eastAsia="仿宋_GB2312" w:cs="Times New Roman"/>
          <w:color w:val="000000"/>
          <w:sz w:val="32"/>
          <w:szCs w:val="32"/>
          <w:highlight w:val="none"/>
          <w:lang w:val="en-US" w:eastAsia="zh-CN"/>
        </w:rPr>
        <w:t>整治</w:t>
      </w:r>
      <w:r>
        <w:rPr>
          <w:rFonts w:hint="eastAsia" w:ascii="Times New Roman" w:hAnsi="Times New Roman" w:eastAsia="仿宋_GB2312" w:cs="Times New Roman"/>
          <w:color w:val="000000"/>
          <w:sz w:val="32"/>
          <w:szCs w:val="32"/>
          <w:highlight w:val="none"/>
          <w:lang w:val="en-US" w:eastAsia="zh-CN"/>
        </w:rPr>
        <w:t>，</w:t>
      </w:r>
      <w:r>
        <w:rPr>
          <w:rFonts w:hint="default" w:ascii="Times New Roman" w:hAnsi="Times New Roman" w:eastAsia="仿宋_GB2312" w:cs="Times New Roman"/>
          <w:color w:val="000000"/>
          <w:sz w:val="32"/>
          <w:szCs w:val="32"/>
          <w:highlight w:val="none"/>
          <w:lang w:val="en-US" w:eastAsia="zh-CN"/>
        </w:rPr>
        <w:t>在全区范围内减少臭氧前置源。同时针对重点涉气企业实施“一企一策”整治，开展颗粒物排放大户的深度治理。</w:t>
      </w:r>
      <w:r>
        <w:rPr>
          <w:rFonts w:hint="eastAsia" w:ascii="Times New Roman" w:hAnsi="Times New Roman" w:eastAsia="仿宋_GB2312" w:cs="Times New Roman"/>
          <w:color w:val="000000"/>
          <w:sz w:val="32"/>
          <w:szCs w:val="32"/>
          <w:highlight w:val="none"/>
          <w:lang w:val="en-US" w:eastAsia="zh-CN"/>
        </w:rPr>
        <w:t>开展治本工作，针对南湖风景区站点已不能真实反映我市中心城区空气质量状况，更同时影响我市空气质量在全国排名，我局已开展站点搬迁工作前期比对及技术论证工作。</w:t>
      </w:r>
      <w:r>
        <w:rPr>
          <w:rFonts w:hint="default" w:ascii="Times New Roman" w:hAnsi="Times New Roman" w:eastAsia="仿宋_GB2312" w:cs="Times New Roman"/>
          <w:color w:val="000000"/>
          <w:sz w:val="32"/>
          <w:szCs w:val="32"/>
          <w:highlight w:val="none"/>
          <w:lang w:val="en-US" w:eastAsia="zh-CN"/>
        </w:rPr>
        <w:t>三是打好“净土”修复战。全面开展重点行业企业用地污染状况调查，组织开展重点区域和地块土壤污染检测修复，健全土壤污染防控体系。</w:t>
      </w:r>
      <w:r>
        <w:rPr>
          <w:rFonts w:hint="eastAsia" w:ascii="Times New Roman" w:hAnsi="Times New Roman" w:eastAsia="仿宋_GB2312" w:cs="Times New Roman"/>
          <w:color w:val="000000"/>
          <w:sz w:val="32"/>
          <w:szCs w:val="32"/>
          <w:highlight w:val="none"/>
          <w:lang w:val="en-US" w:eastAsia="zh-CN"/>
        </w:rPr>
        <w:t>对接市局加快对际华3517地块治理，争取今年12月15日前完成。</w:t>
      </w:r>
    </w:p>
    <w:p w14:paraId="471A270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三）着力推进上级环保督察反馈问题整改。严格对照中央、省环保督察反馈问题清单，紧盯时间节点，督促相关部门落实整改措施，确保按期保质销号，强化督察督办，积极配合区委、区政府督查室、区洞庭清波办开展督导检查，坚决杜绝敷衍整改、虚假整改等情况发生。强化工作统筹，加大攻坚力度，以常态化的调度机制全力抓好问题整改，确保各项整改任务按时序推进并如期销号。</w:t>
      </w:r>
    </w:p>
    <w:p w14:paraId="041AD56A">
      <w:pPr>
        <w:widowControl w:val="0"/>
        <w:spacing w:after="120"/>
        <w:ind w:firstLine="210" w:firstLineChars="100"/>
        <w:jc w:val="both"/>
        <w:textAlignment w:val="baseline"/>
        <w:rPr>
          <w:rFonts w:ascii="Calibri" w:hAnsi="Calibri" w:eastAsia="宋体" w:cs="Times New Roman"/>
          <w:kern w:val="2"/>
          <w:sz w:val="21"/>
          <w:szCs w:val="24"/>
          <w:lang w:val="en-US" w:eastAsia="zh-CN" w:bidi="ar-SA"/>
        </w:rPr>
      </w:pPr>
    </w:p>
    <w:p w14:paraId="5AC7B408">
      <w:pPr>
        <w:pStyle w:val="2"/>
        <w:rPr>
          <w:rFonts w:hint="default"/>
        </w:rPr>
      </w:pPr>
    </w:p>
    <w:p w14:paraId="027046F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九、部门整体支出绩效自评结果拟应用和公开情况</w:t>
      </w:r>
    </w:p>
    <w:p w14:paraId="118030C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其他需要说明的情况</w:t>
      </w:r>
    </w:p>
    <w:p w14:paraId="2BD67577">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报告需要以下附件：</w:t>
      </w:r>
    </w:p>
    <w:p w14:paraId="109C95BD">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部门整体支出绩效评价基础数据表</w:t>
      </w:r>
    </w:p>
    <w:p w14:paraId="0A9BF9D2">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部门整体支出绩效自评表</w:t>
      </w:r>
    </w:p>
    <w:p w14:paraId="6159B53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项目支出绩效自评表（一个一级项目支出一张表）</w:t>
      </w:r>
    </w:p>
    <w:p w14:paraId="1A13EAB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政府性基金预算支出情况表</w:t>
      </w:r>
    </w:p>
    <w:p w14:paraId="7B7611D8">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国有资本经营预算支出情况表</w:t>
      </w:r>
    </w:p>
    <w:p w14:paraId="2B6582BE">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社会保险基金预算支出情况表</w:t>
      </w:r>
    </w:p>
    <w:p w14:paraId="030041BE">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br w:type="page"/>
      </w: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5</w:t>
      </w:r>
    </w:p>
    <w:p w14:paraId="7825C105">
      <w:pPr>
        <w:spacing w:before="313" w:beforeLines="100" w:after="120" w:afterLines="50"/>
        <w:jc w:val="center"/>
        <w:rPr>
          <w:rFonts w:hint="eastAsia" w:ascii="方正小标宋简体" w:hAnsi="方正小标宋简体" w:eastAsia="方正小标宋简体" w:cs="方正小标宋简体"/>
          <w:spacing w:val="-6"/>
          <w:sz w:val="36"/>
          <w:szCs w:val="36"/>
          <w:highlight w:val="none"/>
        </w:rPr>
      </w:pPr>
      <w:r>
        <w:rPr>
          <w:rFonts w:hint="eastAsia" w:ascii="方正小标宋简体" w:hAnsi="方正小标宋简体" w:eastAsia="方正小标宋简体" w:cs="方正小标宋简体"/>
          <w:sz w:val="36"/>
          <w:szCs w:val="36"/>
          <w:highlight w:val="none"/>
        </w:rPr>
        <w:t>部门整体支出</w:t>
      </w:r>
      <w:r>
        <w:rPr>
          <w:rFonts w:hint="eastAsia" w:ascii="方正小标宋简体" w:hAnsi="方正小标宋简体" w:eastAsia="方正小标宋简体" w:cs="方正小标宋简体"/>
          <w:spacing w:val="-6"/>
          <w:sz w:val="36"/>
          <w:szCs w:val="36"/>
          <w:highlight w:val="none"/>
        </w:rPr>
        <w:t>绩效自评工作考核评分表</w:t>
      </w:r>
    </w:p>
    <w:tbl>
      <w:tblPr>
        <w:tblStyle w:val="4"/>
        <w:tblW w:w="9941" w:type="dxa"/>
        <w:jc w:val="center"/>
        <w:tblLayout w:type="fixed"/>
        <w:tblCellMar>
          <w:top w:w="0" w:type="dxa"/>
          <w:left w:w="108" w:type="dxa"/>
          <w:bottom w:w="0" w:type="dxa"/>
          <w:right w:w="108" w:type="dxa"/>
        </w:tblCellMar>
      </w:tblPr>
      <w:tblGrid>
        <w:gridCol w:w="745"/>
        <w:gridCol w:w="1174"/>
        <w:gridCol w:w="5000"/>
        <w:gridCol w:w="3022"/>
      </w:tblGrid>
      <w:tr w14:paraId="352924C5">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14:paraId="6EB7B689">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一级指标</w:t>
            </w:r>
          </w:p>
        </w:tc>
        <w:tc>
          <w:tcPr>
            <w:tcW w:w="1174" w:type="dxa"/>
            <w:tcBorders>
              <w:top w:val="single" w:color="auto" w:sz="4" w:space="0"/>
              <w:left w:val="nil"/>
              <w:bottom w:val="single" w:color="auto" w:sz="4" w:space="0"/>
              <w:right w:val="single" w:color="auto" w:sz="4" w:space="0"/>
            </w:tcBorders>
            <w:noWrap w:val="0"/>
            <w:vAlign w:val="center"/>
          </w:tcPr>
          <w:p w14:paraId="248FF68D">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二级指标</w:t>
            </w:r>
          </w:p>
        </w:tc>
        <w:tc>
          <w:tcPr>
            <w:tcW w:w="5000" w:type="dxa"/>
            <w:tcBorders>
              <w:top w:val="single" w:color="auto" w:sz="4" w:space="0"/>
              <w:left w:val="nil"/>
              <w:bottom w:val="single" w:color="auto" w:sz="4" w:space="0"/>
              <w:right w:val="single" w:color="auto" w:sz="4" w:space="0"/>
            </w:tcBorders>
            <w:noWrap w:val="0"/>
            <w:vAlign w:val="center"/>
          </w:tcPr>
          <w:p w14:paraId="28997F88">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评分标准</w:t>
            </w:r>
          </w:p>
        </w:tc>
        <w:tc>
          <w:tcPr>
            <w:tcW w:w="3022" w:type="dxa"/>
            <w:tcBorders>
              <w:top w:val="single" w:color="auto" w:sz="4" w:space="0"/>
              <w:left w:val="nil"/>
              <w:bottom w:val="single" w:color="auto" w:sz="4" w:space="0"/>
              <w:right w:val="single" w:color="auto" w:sz="4" w:space="0"/>
            </w:tcBorders>
            <w:noWrap w:val="0"/>
            <w:vAlign w:val="center"/>
          </w:tcPr>
          <w:p w14:paraId="6BB4FF9B">
            <w:pPr>
              <w:spacing w:line="300" w:lineRule="exact"/>
              <w:jc w:val="center"/>
              <w:rPr>
                <w:rFonts w:hint="default" w:ascii="Times New Roman" w:hAnsi="Times New Roman" w:eastAsia="黑体" w:cs="Times New Roman"/>
                <w:bCs/>
                <w:sz w:val="21"/>
                <w:szCs w:val="21"/>
                <w:highlight w:val="none"/>
              </w:rPr>
            </w:pPr>
            <w:r>
              <w:rPr>
                <w:rFonts w:hint="default" w:ascii="Times New Roman" w:hAnsi="Times New Roman" w:eastAsia="黑体" w:cs="Times New Roman"/>
                <w:bCs/>
                <w:sz w:val="21"/>
                <w:szCs w:val="21"/>
                <w:highlight w:val="none"/>
              </w:rPr>
              <w:t>所需佐证材料</w:t>
            </w:r>
          </w:p>
        </w:tc>
      </w:tr>
      <w:tr w14:paraId="580A8B7E">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14:paraId="12617792">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布置工作</w:t>
            </w:r>
          </w:p>
          <w:p w14:paraId="5274941B">
            <w:pPr>
              <w:spacing w:line="300" w:lineRule="exact"/>
              <w:jc w:val="center"/>
              <w:rPr>
                <w:rFonts w:hint="default" w:ascii="Times New Roman" w:hAnsi="Times New Roman" w:eastAsia="仿宋_GB2312" w:cs="Times New Roman"/>
                <w:sz w:val="20"/>
                <w:szCs w:val="20"/>
                <w:highlight w:val="none"/>
              </w:rPr>
            </w:pPr>
          </w:p>
          <w:p w14:paraId="3D32490B">
            <w:pPr>
              <w:spacing w:line="300" w:lineRule="exact"/>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1174" w:type="dxa"/>
            <w:tcBorders>
              <w:top w:val="single" w:color="auto" w:sz="4" w:space="0"/>
              <w:left w:val="nil"/>
              <w:right w:val="single" w:color="auto" w:sz="4" w:space="0"/>
            </w:tcBorders>
            <w:noWrap w:val="0"/>
            <w:vAlign w:val="center"/>
          </w:tcPr>
          <w:p w14:paraId="3246B796">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自评通知</w:t>
            </w:r>
          </w:p>
          <w:p w14:paraId="06D873D5">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（8分）</w:t>
            </w:r>
          </w:p>
        </w:tc>
        <w:tc>
          <w:tcPr>
            <w:tcW w:w="5000" w:type="dxa"/>
            <w:tcBorders>
              <w:top w:val="single" w:color="auto" w:sz="4" w:space="0"/>
              <w:left w:val="nil"/>
              <w:bottom w:val="single" w:color="auto" w:sz="4" w:space="0"/>
              <w:right w:val="single" w:color="auto" w:sz="4" w:space="0"/>
            </w:tcBorders>
            <w:noWrap w:val="0"/>
            <w:vAlign w:val="center"/>
          </w:tcPr>
          <w:p w14:paraId="384AD73C">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印发绩效自评通知的得2分，否则不得分。</w:t>
            </w:r>
          </w:p>
          <w:p w14:paraId="2002D7FD">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14:paraId="6BD67511">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绩效自评通知盖章的电子版</w:t>
            </w:r>
          </w:p>
        </w:tc>
      </w:tr>
      <w:tr w14:paraId="00CA3F8E">
        <w:tblPrEx>
          <w:tblCellMar>
            <w:top w:w="0" w:type="dxa"/>
            <w:left w:w="108" w:type="dxa"/>
            <w:bottom w:w="0" w:type="dxa"/>
            <w:right w:w="108" w:type="dxa"/>
          </w:tblCellMar>
        </w:tblPrEx>
        <w:trPr>
          <w:trHeight w:val="996" w:hRule="atLeast"/>
          <w:jc w:val="center"/>
        </w:trPr>
        <w:tc>
          <w:tcPr>
            <w:tcW w:w="745" w:type="dxa"/>
            <w:vMerge w:val="continue"/>
            <w:tcBorders>
              <w:left w:val="single" w:color="auto" w:sz="4" w:space="0"/>
              <w:bottom w:val="single" w:color="auto" w:sz="4" w:space="0"/>
              <w:right w:val="single" w:color="auto" w:sz="4" w:space="0"/>
            </w:tcBorders>
            <w:noWrap w:val="0"/>
            <w:vAlign w:val="center"/>
          </w:tcPr>
          <w:p w14:paraId="4E5265A8">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03315C1C">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工作小组</w:t>
            </w:r>
          </w:p>
          <w:p w14:paraId="6ED60164">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（2分）</w:t>
            </w:r>
          </w:p>
        </w:tc>
        <w:tc>
          <w:tcPr>
            <w:tcW w:w="5000" w:type="dxa"/>
            <w:tcBorders>
              <w:top w:val="single" w:color="auto" w:sz="4" w:space="0"/>
              <w:left w:val="nil"/>
              <w:bottom w:val="single" w:color="auto" w:sz="4" w:space="0"/>
              <w:right w:val="single" w:color="auto" w:sz="4" w:space="0"/>
            </w:tcBorders>
            <w:noWrap w:val="0"/>
            <w:vAlign w:val="center"/>
          </w:tcPr>
          <w:p w14:paraId="208A6AD6">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14:paraId="00B157DA">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本部门、本单位预算绩效管理领导小组</w:t>
            </w:r>
            <w:r>
              <w:rPr>
                <w:rFonts w:hint="default" w:ascii="Times New Roman" w:hAnsi="Times New Roman" w:eastAsia="仿宋_GB2312" w:cs="Times New Roman"/>
                <w:spacing w:val="0"/>
                <w:sz w:val="20"/>
                <w:szCs w:val="20"/>
                <w:highlight w:val="none"/>
                <w:lang w:val="en-US" w:eastAsia="zh-CN"/>
              </w:rPr>
              <w:t>/</w:t>
            </w:r>
            <w:r>
              <w:rPr>
                <w:rFonts w:hint="default" w:ascii="Times New Roman" w:hAnsi="Times New Roman" w:eastAsia="仿宋_GB2312" w:cs="Times New Roman"/>
                <w:sz w:val="20"/>
                <w:szCs w:val="20"/>
                <w:highlight w:val="none"/>
              </w:rPr>
              <w:t>绩效评价工作小组</w:t>
            </w:r>
            <w:r>
              <w:rPr>
                <w:rFonts w:hint="default" w:ascii="Times New Roman" w:hAnsi="Times New Roman" w:eastAsia="仿宋_GB2312" w:cs="Times New Roman"/>
                <w:sz w:val="20"/>
                <w:szCs w:val="20"/>
                <w:highlight w:val="none"/>
                <w:lang w:eastAsia="zh-CN"/>
              </w:rPr>
              <w:t>有关</w:t>
            </w:r>
            <w:r>
              <w:rPr>
                <w:rFonts w:hint="default" w:ascii="Times New Roman" w:hAnsi="Times New Roman" w:eastAsia="仿宋_GB2312" w:cs="Times New Roman"/>
                <w:spacing w:val="0"/>
                <w:sz w:val="20"/>
                <w:szCs w:val="20"/>
                <w:highlight w:val="none"/>
              </w:rPr>
              <w:t>文件</w:t>
            </w:r>
            <w:r>
              <w:rPr>
                <w:rFonts w:hint="default" w:ascii="Times New Roman" w:hAnsi="Times New Roman" w:eastAsia="仿宋_GB2312" w:cs="Times New Roman"/>
                <w:sz w:val="20"/>
                <w:szCs w:val="20"/>
                <w:highlight w:val="none"/>
              </w:rPr>
              <w:t>盖章的电子版</w:t>
            </w:r>
          </w:p>
        </w:tc>
      </w:tr>
      <w:tr w14:paraId="7B2455A1">
        <w:tblPrEx>
          <w:tblCellMar>
            <w:top w:w="0" w:type="dxa"/>
            <w:left w:w="108" w:type="dxa"/>
            <w:bottom w:w="0" w:type="dxa"/>
            <w:right w:w="108" w:type="dxa"/>
          </w:tblCellMar>
        </w:tblPrEx>
        <w:trPr>
          <w:trHeight w:val="1320" w:hRule="atLeast"/>
          <w:jc w:val="center"/>
        </w:trPr>
        <w:tc>
          <w:tcPr>
            <w:tcW w:w="745" w:type="dxa"/>
            <w:vMerge w:val="restart"/>
            <w:tcBorders>
              <w:top w:val="single" w:color="auto" w:sz="4" w:space="0"/>
              <w:left w:val="single" w:color="auto" w:sz="4" w:space="0"/>
              <w:right w:val="single" w:color="auto" w:sz="4" w:space="0"/>
            </w:tcBorders>
            <w:noWrap w:val="0"/>
            <w:vAlign w:val="center"/>
          </w:tcPr>
          <w:p w14:paraId="06191BB5">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实施评价</w:t>
            </w:r>
          </w:p>
          <w:p w14:paraId="558BED1B">
            <w:pPr>
              <w:spacing w:line="300" w:lineRule="exact"/>
              <w:jc w:val="center"/>
              <w:rPr>
                <w:rFonts w:hint="default" w:ascii="Times New Roman" w:hAnsi="Times New Roman" w:eastAsia="仿宋_GB2312" w:cs="Times New Roman"/>
                <w:sz w:val="20"/>
                <w:szCs w:val="20"/>
                <w:highlight w:val="none"/>
              </w:rPr>
            </w:pPr>
          </w:p>
          <w:p w14:paraId="5C52351D">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1174" w:type="dxa"/>
            <w:tcBorders>
              <w:top w:val="single" w:color="auto" w:sz="4" w:space="0"/>
              <w:left w:val="nil"/>
              <w:bottom w:val="single" w:color="auto" w:sz="4" w:space="0"/>
              <w:right w:val="single" w:color="auto" w:sz="4" w:space="0"/>
            </w:tcBorders>
            <w:noWrap w:val="0"/>
            <w:vAlign w:val="center"/>
          </w:tcPr>
          <w:p w14:paraId="5FF24BCB">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单位自查</w:t>
            </w:r>
          </w:p>
          <w:p w14:paraId="5F134583">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5000" w:type="dxa"/>
            <w:tcBorders>
              <w:top w:val="single" w:color="auto" w:sz="4" w:space="0"/>
              <w:left w:val="nil"/>
              <w:bottom w:val="single" w:color="auto" w:sz="4" w:space="0"/>
              <w:right w:val="single" w:color="auto" w:sz="4" w:space="0"/>
            </w:tcBorders>
            <w:noWrap w:val="0"/>
            <w:vAlign w:val="center"/>
          </w:tcPr>
          <w:p w14:paraId="60CA2835">
            <w:pPr>
              <w:spacing w:line="300" w:lineRule="exact"/>
              <w:rPr>
                <w:rFonts w:hint="default" w:ascii="Times New Roman" w:hAnsi="Times New Roman" w:eastAsia="仿宋_GB2312" w:cs="Times New Roman"/>
                <w:sz w:val="20"/>
                <w:szCs w:val="20"/>
                <w:highlight w:val="none"/>
              </w:rPr>
            </w:pPr>
            <w:r>
              <w:rPr>
                <w:rFonts w:hint="eastAsia" w:ascii="Times New Roman" w:hAnsi="Times New Roman" w:eastAsia="仿宋_GB2312" w:cs="Times New Roman"/>
                <w:sz w:val="20"/>
                <w:szCs w:val="20"/>
                <w:highlight w:val="none"/>
                <w:lang w:eastAsia="zh-CN"/>
              </w:rPr>
              <w:t>市级</w:t>
            </w:r>
            <w:r>
              <w:rPr>
                <w:rFonts w:hint="default" w:ascii="Times New Roman" w:hAnsi="Times New Roman" w:eastAsia="仿宋_GB2312" w:cs="Times New Roman"/>
                <w:sz w:val="20"/>
                <w:szCs w:val="20"/>
                <w:highlight w:val="none"/>
              </w:rPr>
              <w:t>预算部门本级和所属单位都要开展绩效自查，转移支付项目单位都要开展绩效自查，</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14:paraId="0782047C">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转移支付项目单位名称和资</w:t>
            </w:r>
            <w:r>
              <w:rPr>
                <w:rFonts w:hint="eastAsia" w:ascii="Times New Roman" w:hAnsi="Times New Roman" w:eastAsia="仿宋_GB2312" w:cs="Times New Roman"/>
                <w:sz w:val="20"/>
                <w:szCs w:val="20"/>
                <w:highlight w:val="none"/>
                <w:lang w:val="en-US" w:eastAsia="zh-CN"/>
              </w:rPr>
              <w:t xml:space="preserve"> </w:t>
            </w:r>
            <w:r>
              <w:rPr>
                <w:rFonts w:hint="default" w:ascii="Times New Roman" w:hAnsi="Times New Roman" w:eastAsia="仿宋_GB2312" w:cs="Times New Roman"/>
                <w:sz w:val="20"/>
                <w:szCs w:val="20"/>
                <w:highlight w:val="none"/>
              </w:rPr>
              <w:t>金情况清单</w:t>
            </w:r>
          </w:p>
          <w:p w14:paraId="23EEC642">
            <w:pPr>
              <w:numPr>
                <w:ilvl w:val="0"/>
                <w:numId w:val="4"/>
              </w:num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有转移支付资金的各</w:t>
            </w:r>
            <w:r>
              <w:rPr>
                <w:rFonts w:hint="eastAsia" w:ascii="Times New Roman" w:hAnsi="Times New Roman" w:eastAsia="仿宋_GB2312" w:cs="Times New Roman"/>
                <w:sz w:val="20"/>
                <w:szCs w:val="20"/>
                <w:highlight w:val="none"/>
                <w:lang w:eastAsia="zh-CN"/>
              </w:rPr>
              <w:t>县区</w:t>
            </w:r>
            <w:r>
              <w:rPr>
                <w:rFonts w:hint="default" w:ascii="Times New Roman" w:hAnsi="Times New Roman" w:eastAsia="仿宋_GB2312" w:cs="Times New Roman"/>
                <w:sz w:val="20"/>
                <w:szCs w:val="20"/>
                <w:highlight w:val="none"/>
              </w:rPr>
              <w:t>主管部门汇总情况的盖章PDF版　</w:t>
            </w:r>
          </w:p>
        </w:tc>
      </w:tr>
      <w:tr w14:paraId="082AC61E">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14:paraId="1F6A3F9F">
            <w:pPr>
              <w:spacing w:line="300" w:lineRule="exact"/>
              <w:rPr>
                <w:rFonts w:hint="default" w:ascii="Times New Roman" w:hAnsi="Times New Roman" w:eastAsia="仿宋_GB2312" w:cs="Times New Roman"/>
                <w:sz w:val="20"/>
                <w:szCs w:val="20"/>
                <w:highlight w:val="none"/>
              </w:rPr>
            </w:pPr>
          </w:p>
        </w:tc>
        <w:tc>
          <w:tcPr>
            <w:tcW w:w="1174" w:type="dxa"/>
            <w:tcBorders>
              <w:top w:val="nil"/>
              <w:left w:val="nil"/>
              <w:bottom w:val="single" w:color="auto" w:sz="4" w:space="0"/>
              <w:right w:val="single" w:color="auto" w:sz="4" w:space="0"/>
            </w:tcBorders>
            <w:noWrap w:val="0"/>
            <w:vAlign w:val="center"/>
          </w:tcPr>
          <w:p w14:paraId="26C5EE21">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提交报告</w:t>
            </w:r>
          </w:p>
          <w:p w14:paraId="059C639D">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（10分）</w:t>
            </w:r>
          </w:p>
        </w:tc>
        <w:tc>
          <w:tcPr>
            <w:tcW w:w="8022" w:type="dxa"/>
            <w:gridSpan w:val="2"/>
            <w:tcBorders>
              <w:top w:val="nil"/>
              <w:left w:val="nil"/>
              <w:bottom w:val="single" w:color="auto" w:sz="4" w:space="0"/>
              <w:right w:val="single" w:color="auto" w:sz="4" w:space="0"/>
            </w:tcBorders>
            <w:noWrap w:val="0"/>
            <w:vAlign w:val="center"/>
          </w:tcPr>
          <w:p w14:paraId="03CA837C">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按时向</w:t>
            </w:r>
            <w:r>
              <w:rPr>
                <w:rFonts w:hint="eastAsia" w:ascii="Times New Roman" w:hAnsi="Times New Roman" w:eastAsia="仿宋_GB2312" w:cs="Times New Roman"/>
                <w:sz w:val="20"/>
                <w:szCs w:val="20"/>
                <w:highlight w:val="none"/>
                <w:lang w:eastAsia="zh-CN"/>
              </w:rPr>
              <w:t>市财政局</w:t>
            </w:r>
            <w:r>
              <w:rPr>
                <w:rFonts w:hint="default" w:ascii="Times New Roman" w:hAnsi="Times New Roman" w:eastAsia="仿宋_GB2312" w:cs="Times New Roman"/>
                <w:sz w:val="20"/>
                <w:szCs w:val="20"/>
                <w:highlight w:val="none"/>
              </w:rPr>
              <w:t>报送报告的得10分；每推迟一个工作日报送报告的扣1分，最多扣10分。</w:t>
            </w:r>
          </w:p>
        </w:tc>
      </w:tr>
      <w:tr w14:paraId="11E0F6F1">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14:paraId="725D3917">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自评报告</w:t>
            </w:r>
          </w:p>
          <w:p w14:paraId="4C7E1F4E">
            <w:pPr>
              <w:spacing w:line="300" w:lineRule="exact"/>
              <w:jc w:val="center"/>
              <w:rPr>
                <w:rFonts w:hint="default" w:ascii="Times New Roman" w:hAnsi="Times New Roman" w:eastAsia="仿宋_GB2312" w:cs="Times New Roman"/>
                <w:sz w:val="20"/>
                <w:szCs w:val="20"/>
                <w:highlight w:val="none"/>
              </w:rPr>
            </w:pPr>
          </w:p>
          <w:p w14:paraId="7390FB34">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70分</w:t>
            </w:r>
          </w:p>
        </w:tc>
        <w:tc>
          <w:tcPr>
            <w:tcW w:w="1174" w:type="dxa"/>
            <w:tcBorders>
              <w:top w:val="single" w:color="auto" w:sz="4" w:space="0"/>
              <w:left w:val="nil"/>
              <w:bottom w:val="single" w:color="auto" w:sz="4" w:space="0"/>
              <w:right w:val="single" w:color="auto" w:sz="4" w:space="0"/>
            </w:tcBorders>
            <w:noWrap w:val="0"/>
            <w:vAlign w:val="center"/>
          </w:tcPr>
          <w:p w14:paraId="11622F02">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完整性</w:t>
            </w:r>
          </w:p>
          <w:p w14:paraId="571555FC">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14:paraId="62BAED1A">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绩效自评报告正文部分内容齐全的，得8分；否则每少一个部分扣2分，最多扣8分。</w:t>
            </w:r>
          </w:p>
          <w:p w14:paraId="331085E8">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绩效自评报告附件部分内容齐全的，得7分；否则每少一个部分扣2分，最多扣7分。</w:t>
            </w:r>
          </w:p>
        </w:tc>
      </w:tr>
      <w:tr w14:paraId="2BB7D507">
        <w:tblPrEx>
          <w:tblCellMar>
            <w:top w:w="0" w:type="dxa"/>
            <w:left w:w="108" w:type="dxa"/>
            <w:bottom w:w="0" w:type="dxa"/>
            <w:right w:w="108" w:type="dxa"/>
          </w:tblCellMar>
        </w:tblPrEx>
        <w:trPr>
          <w:trHeight w:val="2592"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05E53D6D">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right w:val="single" w:color="auto" w:sz="4" w:space="0"/>
            </w:tcBorders>
            <w:noWrap w:val="0"/>
            <w:vAlign w:val="center"/>
          </w:tcPr>
          <w:p w14:paraId="741FD180">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绩效</w:t>
            </w:r>
          </w:p>
          <w:p w14:paraId="2E38C26F">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自评表</w:t>
            </w:r>
          </w:p>
          <w:p w14:paraId="0B81CE66">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14:paraId="63DFB049">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highlight w:val="none"/>
                <w:lang w:eastAsia="zh-CN"/>
              </w:rPr>
              <w:t>岳阳市市级</w:t>
            </w:r>
            <w:r>
              <w:rPr>
                <w:rFonts w:hint="default" w:ascii="Times New Roman" w:hAnsi="Times New Roman" w:eastAsia="仿宋_GB2312" w:cs="Times New Roman"/>
                <w:sz w:val="20"/>
                <w:szCs w:val="20"/>
                <w:highlight w:val="none"/>
              </w:rPr>
              <w:t>预算部门绩效自评操作规程》要求的，得5分，否则按比例扣除相应的分数。</w:t>
            </w:r>
          </w:p>
          <w:p w14:paraId="6B42F99F">
            <w:pPr>
              <w:spacing w:line="240" w:lineRule="auto"/>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部门整体支出和项目支出绩效指标全部细化到三级指标的，得5分；部分细化的，酌情扣分；没有细化的，不得分。</w:t>
            </w:r>
          </w:p>
          <w:p w14:paraId="4DB5EA00">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3</w:t>
            </w:r>
            <w:r>
              <w:rPr>
                <w:rFonts w:hint="eastAsia" w:ascii="Times New Roman" w:hAnsi="Times New Roman" w:eastAsia="仿宋_GB2312" w:cs="Times New Roman"/>
                <w:sz w:val="20"/>
                <w:szCs w:val="20"/>
                <w:highlight w:val="none"/>
                <w:lang w:val="en-US" w:eastAsia="zh-CN"/>
              </w:rPr>
              <w:t>.</w:t>
            </w:r>
            <w:r>
              <w:rPr>
                <w:rFonts w:hint="default" w:ascii="Times New Roman" w:hAnsi="Times New Roman" w:eastAsia="仿宋_GB2312" w:cs="Times New Roman"/>
                <w:sz w:val="20"/>
                <w:szCs w:val="20"/>
                <w:highlight w:val="none"/>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14:paraId="0B36374C">
        <w:tblPrEx>
          <w:tblCellMar>
            <w:top w:w="0" w:type="dxa"/>
            <w:left w:w="108" w:type="dxa"/>
            <w:bottom w:w="0" w:type="dxa"/>
            <w:right w:w="108" w:type="dxa"/>
          </w:tblCellMar>
        </w:tblPrEx>
        <w:trPr>
          <w:trHeight w:val="152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3F6D033B">
            <w:pPr>
              <w:spacing w:line="300" w:lineRule="exact"/>
              <w:jc w:val="center"/>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5383D49B">
            <w:pPr>
              <w:jc w:val="center"/>
              <w:rPr>
                <w:rFonts w:hint="default" w:ascii="Times New Roman" w:hAnsi="Times New Roman" w:eastAsia="宋体" w:cs="Times New Roman"/>
                <w:highlight w:val="none"/>
              </w:rPr>
            </w:pPr>
          </w:p>
          <w:p w14:paraId="1113F092">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反映问</w:t>
            </w:r>
          </w:p>
          <w:p w14:paraId="1E2C81B2">
            <w:pPr>
              <w:spacing w:line="240" w:lineRule="auto"/>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题情况</w:t>
            </w:r>
          </w:p>
          <w:p w14:paraId="2CF98382">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（20分）</w:t>
            </w:r>
          </w:p>
        </w:tc>
        <w:tc>
          <w:tcPr>
            <w:tcW w:w="8022" w:type="dxa"/>
            <w:gridSpan w:val="2"/>
            <w:tcBorders>
              <w:top w:val="single" w:color="auto" w:sz="4" w:space="0"/>
              <w:left w:val="nil"/>
              <w:bottom w:val="single" w:color="auto" w:sz="4" w:space="0"/>
              <w:right w:val="single" w:color="auto" w:sz="4" w:space="0"/>
            </w:tcBorders>
            <w:noWrap w:val="0"/>
            <w:vAlign w:val="center"/>
          </w:tcPr>
          <w:p w14:paraId="675849FD">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14:paraId="246A43BF">
        <w:tblPrEx>
          <w:tblCellMar>
            <w:top w:w="0" w:type="dxa"/>
            <w:left w:w="108" w:type="dxa"/>
            <w:bottom w:w="0" w:type="dxa"/>
            <w:right w:w="108" w:type="dxa"/>
          </w:tblCellMar>
        </w:tblPrEx>
        <w:trPr>
          <w:trHeight w:val="781"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14:paraId="5971EC7C">
            <w:pPr>
              <w:spacing w:line="300" w:lineRule="exact"/>
              <w:rPr>
                <w:rFonts w:hint="default" w:ascii="Times New Roman" w:hAnsi="Times New Roman" w:eastAsia="仿宋_GB2312" w:cs="Times New Roman"/>
                <w:sz w:val="20"/>
                <w:szCs w:val="20"/>
                <w:highlight w:val="none"/>
              </w:rPr>
            </w:pPr>
          </w:p>
        </w:tc>
        <w:tc>
          <w:tcPr>
            <w:tcW w:w="1174" w:type="dxa"/>
            <w:tcBorders>
              <w:top w:val="single" w:color="auto" w:sz="4" w:space="0"/>
              <w:left w:val="nil"/>
              <w:bottom w:val="single" w:color="auto" w:sz="4" w:space="0"/>
              <w:right w:val="single" w:color="auto" w:sz="4" w:space="0"/>
            </w:tcBorders>
            <w:noWrap w:val="0"/>
            <w:vAlign w:val="center"/>
          </w:tcPr>
          <w:p w14:paraId="05506EA1">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建议情况</w:t>
            </w:r>
          </w:p>
          <w:p w14:paraId="650F9063">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（15分）</w:t>
            </w:r>
          </w:p>
        </w:tc>
        <w:tc>
          <w:tcPr>
            <w:tcW w:w="8022" w:type="dxa"/>
            <w:gridSpan w:val="2"/>
            <w:tcBorders>
              <w:top w:val="single" w:color="auto" w:sz="4" w:space="0"/>
              <w:left w:val="nil"/>
              <w:bottom w:val="single" w:color="auto" w:sz="4" w:space="0"/>
              <w:right w:val="single" w:color="auto" w:sz="4" w:space="0"/>
            </w:tcBorders>
            <w:noWrap w:val="0"/>
            <w:vAlign w:val="center"/>
          </w:tcPr>
          <w:p w14:paraId="11821BA1">
            <w:pPr>
              <w:spacing w:line="240" w:lineRule="auto"/>
              <w:jc w:val="lef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建议与问题对应且全面的得15分，建议比较全面的得12—14分，建议不全面的得9—11分，建议过于简单的得6—8分，只提出加大资金投入建议的不得分；其他情况酌情扣分。</w:t>
            </w:r>
          </w:p>
        </w:tc>
      </w:tr>
      <w:tr w14:paraId="5E13565F">
        <w:tblPrEx>
          <w:tblCellMar>
            <w:top w:w="0" w:type="dxa"/>
            <w:left w:w="108" w:type="dxa"/>
            <w:bottom w:w="0" w:type="dxa"/>
            <w:right w:w="108" w:type="dxa"/>
          </w:tblCellMar>
        </w:tblPrEx>
        <w:trPr>
          <w:trHeight w:val="631"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14:paraId="7833D791">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14:paraId="071E851A">
            <w:pPr>
              <w:spacing w:line="30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14:paraId="31E9DCDC">
            <w:pPr>
              <w:spacing w:line="300" w:lineRule="exact"/>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　</w:t>
            </w:r>
          </w:p>
        </w:tc>
      </w:tr>
    </w:tbl>
    <w:p w14:paraId="1055BACE">
      <w:pPr>
        <w:spacing w:line="20" w:lineRule="exact"/>
        <w:ind w:firstLine="0"/>
        <w:jc w:val="left"/>
        <w:rPr>
          <w:rFonts w:ascii="仿宋_GB2312" w:eastAsia="仿宋_GB2312" w:cs="Times New Roman"/>
          <w:sz w:val="32"/>
          <w:szCs w:val="32"/>
        </w:rPr>
      </w:pPr>
    </w:p>
    <w:p w14:paraId="42C2FA3A"/>
    <w:sectPr>
      <w:footerReference r:id="rId3" w:type="default"/>
      <w:footerReference r:id="rId4" w:type="even"/>
      <w:pgSz w:w="11906" w:h="16838"/>
      <w:pgMar w:top="1587" w:right="1588" w:bottom="1587" w:left="1588"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95C34">
    <w:pPr>
      <w:pStyle w:val="3"/>
      <w:framePr w:wrap="around" w:vAnchor="text" w:hAnchor="margin" w:xAlign="outside" w:y="1"/>
      <w:rPr>
        <w:rStyle w:val="6"/>
        <w:rFonts w:eastAsia="宋体" w:cs="Times New Roman"/>
        <w:sz w:val="24"/>
        <w:szCs w:val="24"/>
      </w:rPr>
    </w:pPr>
    <w:r>
      <w:rPr>
        <w:rStyle w:val="6"/>
        <w:rFonts w:hint="eastAsia" w:eastAsia="宋体" w:cs="Times New Roman"/>
        <w:kern w:val="2"/>
        <w:sz w:val="24"/>
        <w:szCs w:val="24"/>
      </w:rPr>
      <w:t xml:space="preserve">— </w:t>
    </w:r>
    <w:r>
      <w:rPr>
        <w:rFonts w:eastAsia="宋体" w:cs="Times New Roman"/>
        <w:sz w:val="24"/>
        <w:szCs w:val="24"/>
      </w:rPr>
      <w:fldChar w:fldCharType="begin"/>
    </w:r>
    <w:r>
      <w:rPr>
        <w:rStyle w:val="6"/>
        <w:rFonts w:eastAsia="宋体" w:cs="Times New Roman"/>
        <w:kern w:val="2"/>
        <w:sz w:val="24"/>
        <w:szCs w:val="24"/>
      </w:rPr>
      <w:instrText xml:space="preserve">PAGE  </w:instrText>
    </w:r>
    <w:r>
      <w:rPr>
        <w:rFonts w:eastAsia="宋体" w:cs="Times New Roman"/>
        <w:sz w:val="24"/>
        <w:szCs w:val="24"/>
      </w:rPr>
      <w:fldChar w:fldCharType="separate"/>
    </w:r>
    <w:r>
      <w:rPr>
        <w:rStyle w:val="6"/>
        <w:rFonts w:eastAsia="宋体" w:cs="Times New Roman"/>
        <w:kern w:val="2"/>
        <w:sz w:val="24"/>
        <w:szCs w:val="24"/>
      </w:rPr>
      <w:t>1</w:t>
    </w:r>
    <w:r>
      <w:rPr>
        <w:rFonts w:eastAsia="宋体" w:cs="Times New Roman"/>
        <w:sz w:val="24"/>
        <w:szCs w:val="24"/>
      </w:rPr>
      <w:fldChar w:fldCharType="end"/>
    </w:r>
    <w:r>
      <w:rPr>
        <w:rStyle w:val="6"/>
        <w:rFonts w:hint="eastAsia" w:eastAsia="宋体" w:cs="Times New Roman"/>
        <w:kern w:val="2"/>
        <w:sz w:val="24"/>
        <w:szCs w:val="24"/>
      </w:rPr>
      <w:t xml:space="preserve"> —</w:t>
    </w:r>
  </w:p>
  <w:p w14:paraId="0D216405">
    <w:pPr>
      <w:pStyle w:val="3"/>
      <w:ind w:right="360" w:firstLine="360"/>
      <w:rPr>
        <w:rFonts w:eastAsia="宋体"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45F89">
    <w:pPr>
      <w:pStyle w:val="3"/>
      <w:framePr w:wrap="around" w:vAnchor="text" w:hAnchor="margin" w:xAlign="outside" w:y="1"/>
      <w:rPr>
        <w:rStyle w:val="6"/>
        <w:rFonts w:eastAsia="宋体" w:cs="Times New Roman"/>
      </w:rPr>
    </w:pPr>
    <w:r>
      <w:rPr>
        <w:rFonts w:eastAsia="宋体" w:cs="Times New Roman"/>
      </w:rPr>
      <w:fldChar w:fldCharType="begin"/>
    </w:r>
    <w:r>
      <w:rPr>
        <w:rStyle w:val="6"/>
        <w:rFonts w:eastAsia="宋体" w:cs="Times New Roman"/>
        <w:kern w:val="2"/>
        <w:sz w:val="21"/>
        <w:szCs w:val="24"/>
      </w:rPr>
      <w:instrText xml:space="preserve">PAGE  </w:instrText>
    </w:r>
    <w:r>
      <w:rPr>
        <w:rFonts w:eastAsia="宋体" w:cs="Times New Roman"/>
      </w:rPr>
      <w:fldChar w:fldCharType="end"/>
    </w:r>
  </w:p>
  <w:p w14:paraId="2CE8E564">
    <w:pPr>
      <w:pStyle w:val="3"/>
      <w:ind w:right="360" w:firstLine="360"/>
      <w:rPr>
        <w:rFonts w:eastAsia="宋体"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86EE3A"/>
    <w:multiLevelType w:val="singleLevel"/>
    <w:tmpl w:val="9986EE3A"/>
    <w:lvl w:ilvl="0" w:tentative="0">
      <w:start w:val="1"/>
      <w:numFmt w:val="chineseCounting"/>
      <w:suff w:val="nothing"/>
      <w:lvlText w:val="%1、"/>
      <w:lvlJc w:val="left"/>
      <w:rPr>
        <w:rFonts w:hint="eastAsia"/>
      </w:rPr>
    </w:lvl>
  </w:abstractNum>
  <w:abstractNum w:abstractNumId="1">
    <w:nsid w:val="258855DE"/>
    <w:multiLevelType w:val="singleLevel"/>
    <w:tmpl w:val="258855DE"/>
    <w:lvl w:ilvl="0" w:tentative="0">
      <w:start w:val="2"/>
      <w:numFmt w:val="chineseCounting"/>
      <w:suff w:val="nothing"/>
      <w:lvlText w:val="（%1）"/>
      <w:lvlJc w:val="left"/>
      <w:rPr>
        <w:rFonts w:hint="eastAsia"/>
      </w:rPr>
    </w:lvl>
  </w:abstractNum>
  <w:abstractNum w:abstractNumId="2">
    <w:nsid w:val="472DDDE8"/>
    <w:multiLevelType w:val="singleLevel"/>
    <w:tmpl w:val="472DDDE8"/>
    <w:lvl w:ilvl="0" w:tentative="0">
      <w:start w:val="4"/>
      <w:numFmt w:val="chineseCounting"/>
      <w:suff w:val="nothing"/>
      <w:lvlText w:val="%1、"/>
      <w:lvlJc w:val="left"/>
      <w:rPr>
        <w:rFonts w:hint="eastAsia"/>
      </w:rPr>
    </w:lvl>
  </w:abstractNum>
  <w:abstractNum w:abstractNumId="3">
    <w:nsid w:val="5DDF8822"/>
    <w:multiLevelType w:val="singleLevel"/>
    <w:tmpl w:val="5DDF8822"/>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457B47"/>
    <w:rsid w:val="00481283"/>
    <w:rsid w:val="0E321624"/>
    <w:rsid w:val="14080AAF"/>
    <w:rsid w:val="1C1E7F2D"/>
    <w:rsid w:val="26541E80"/>
    <w:rsid w:val="2D947006"/>
    <w:rsid w:val="2DBC426D"/>
    <w:rsid w:val="2EDA2117"/>
    <w:rsid w:val="33151970"/>
    <w:rsid w:val="345F515F"/>
    <w:rsid w:val="3767417F"/>
    <w:rsid w:val="46457B47"/>
    <w:rsid w:val="48953389"/>
    <w:rsid w:val="4B881A68"/>
    <w:rsid w:val="4BED2AE8"/>
    <w:rsid w:val="4EB104B0"/>
    <w:rsid w:val="6A7E25F5"/>
    <w:rsid w:val="6E274D51"/>
    <w:rsid w:val="6E313E22"/>
    <w:rsid w:val="742A4B7A"/>
    <w:rsid w:val="79FF4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qFormat/>
    <w:uiPriority w:val="0"/>
    <w:pPr>
      <w:widowControl w:val="0"/>
      <w:tabs>
        <w:tab w:val="center" w:pos="4153"/>
        <w:tab w:val="right" w:pos="8306"/>
      </w:tabs>
      <w:snapToGrid w:val="0"/>
      <w:jc w:val="left"/>
    </w:pPr>
    <w:rPr>
      <w:rFonts w:ascii="Times New Roman" w:hAnsi="Times New Roman" w:eastAsia="宋体" w:cs="Times New Roman"/>
      <w:kern w:val="0"/>
      <w:sz w:val="18"/>
      <w:szCs w:val="18"/>
      <w:lang w:val="en-US" w:eastAsia="zh-CN" w:bidi="ar-SA"/>
    </w:rPr>
  </w:style>
  <w:style w:type="character" w:styleId="6">
    <w:name w:val="page number"/>
    <w:qFormat/>
    <w:uiPriority w:val="0"/>
  </w:style>
  <w:style w:type="paragraph" w:styleId="7">
    <w:name w:val="List Paragraph"/>
    <w:qFormat/>
    <w:uiPriority w:val="99"/>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1166</Words>
  <Characters>1422</Characters>
  <Lines>0</Lines>
  <Paragraphs>0</Paragraphs>
  <TotalTime>1</TotalTime>
  <ScaleCrop>false</ScaleCrop>
  <LinksUpToDate>false</LinksUpToDate>
  <CharactersWithSpaces>1594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2025-06-09T10:23:00Z</dcterms:created>
  <dc:creator>严碧琪</dc:creator>
  <cp:lastModifiedBy>Y</cp:lastModifiedBy>
  <dcterms:modified xsi:type="dcterms:W3CDTF">2025-09-22T02:34:38Z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8008C3C34B8046F59A4D47E020869A12_11</vt:lpwstr>
  </property>
  <property fmtid="{D5CDD505-2E9C-101B-9397-08002B2CF9AE}" pid="4" name="KSOTemplateDocerSaveRecord">
    <vt:lpwstr>eyJoZGlkIjoiYTI1ZWRhODIzZjNkMzE5ODI3Y2UwZTM2NjQ3YjE4YjIiLCJ1c2VySWQiOiI1Mzg0MzA5MzAifQ==</vt:lpwstr>
  </property>
</Properties>
</file>