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3"/>
        <w:jc w:val="center"/>
        <w:rPr>
          <w:sz w:val="56"/>
          <w:szCs w:val="56"/>
        </w:rPr>
      </w:pPr>
    </w:p>
    <w:p w14:paraId="3BDF5AB8">
      <w:pPr>
        <w:pStyle w:val="13"/>
        <w:jc w:val="center"/>
        <w:rPr>
          <w:sz w:val="56"/>
          <w:szCs w:val="56"/>
        </w:rPr>
      </w:pPr>
    </w:p>
    <w:p w14:paraId="60CA4575">
      <w:pPr>
        <w:pStyle w:val="13"/>
        <w:jc w:val="center"/>
        <w:rPr>
          <w:sz w:val="84"/>
          <w:szCs w:val="84"/>
        </w:rPr>
      </w:pPr>
    </w:p>
    <w:p w14:paraId="215EB31D">
      <w:pPr>
        <w:pStyle w:val="13"/>
        <w:jc w:val="center"/>
        <w:rPr>
          <w:sz w:val="84"/>
          <w:szCs w:val="84"/>
        </w:rPr>
      </w:pPr>
    </w:p>
    <w:p w14:paraId="376C8602">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岳阳市生态环境局岳阳楼分局部门（单位）部门决算</w:t>
      </w:r>
    </w:p>
    <w:p w14:paraId="25018D25">
      <w:pPr>
        <w:pStyle w:val="13"/>
        <w:jc w:val="center"/>
        <w:rPr>
          <w:sz w:val="56"/>
          <w:szCs w:val="56"/>
        </w:rPr>
      </w:pPr>
    </w:p>
    <w:p w14:paraId="5EE73A38">
      <w:pPr>
        <w:pStyle w:val="13"/>
        <w:jc w:val="center"/>
        <w:rPr>
          <w:sz w:val="56"/>
          <w:szCs w:val="56"/>
        </w:rPr>
      </w:pPr>
    </w:p>
    <w:p w14:paraId="297571C5">
      <w:pPr>
        <w:pStyle w:val="13"/>
        <w:jc w:val="center"/>
        <w:rPr>
          <w:sz w:val="32"/>
          <w:szCs w:val="32"/>
        </w:rPr>
      </w:pPr>
    </w:p>
    <w:p w14:paraId="08493D1E">
      <w:pPr>
        <w:pStyle w:val="13"/>
        <w:jc w:val="center"/>
        <w:rPr>
          <w:sz w:val="32"/>
          <w:szCs w:val="32"/>
        </w:rPr>
      </w:pPr>
    </w:p>
    <w:p w14:paraId="5BD6E8BD">
      <w:pPr>
        <w:pStyle w:val="13"/>
        <w:jc w:val="center"/>
        <w:rPr>
          <w:sz w:val="32"/>
          <w:szCs w:val="32"/>
        </w:rPr>
      </w:pPr>
    </w:p>
    <w:p w14:paraId="1062A3B4">
      <w:pPr>
        <w:pStyle w:val="13"/>
        <w:jc w:val="center"/>
        <w:rPr>
          <w:sz w:val="32"/>
          <w:szCs w:val="32"/>
        </w:rPr>
      </w:pPr>
    </w:p>
    <w:p w14:paraId="6311DFC7">
      <w:pPr>
        <w:pStyle w:val="13"/>
        <w:jc w:val="center"/>
        <w:rPr>
          <w:sz w:val="32"/>
          <w:szCs w:val="32"/>
        </w:rPr>
      </w:pPr>
    </w:p>
    <w:p w14:paraId="50228290">
      <w:pPr>
        <w:pStyle w:val="13"/>
        <w:spacing w:line="540" w:lineRule="exact"/>
        <w:jc w:val="center"/>
        <w:rPr>
          <w:sz w:val="56"/>
          <w:szCs w:val="56"/>
        </w:rPr>
      </w:pPr>
    </w:p>
    <w:p w14:paraId="459C483D">
      <w:pPr>
        <w:pStyle w:val="13"/>
        <w:spacing w:line="500" w:lineRule="exact"/>
        <w:jc w:val="both"/>
        <w:rPr>
          <w:b/>
          <w:sz w:val="36"/>
          <w:szCs w:val="28"/>
        </w:rPr>
      </w:pPr>
    </w:p>
    <w:p w14:paraId="24F3309B">
      <w:pPr>
        <w:pStyle w:val="13"/>
        <w:spacing w:line="500" w:lineRule="exact"/>
        <w:jc w:val="center"/>
        <w:rPr>
          <w:b/>
          <w:sz w:val="36"/>
          <w:szCs w:val="28"/>
        </w:rPr>
      </w:pPr>
      <w:r>
        <w:rPr>
          <w:rFonts w:hint="eastAsia"/>
          <w:b/>
          <w:sz w:val="36"/>
          <w:szCs w:val="28"/>
        </w:rPr>
        <w:t>目录</w:t>
      </w:r>
    </w:p>
    <w:p w14:paraId="6CBD0C2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岳阳市生态环境局岳阳楼分局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3"/>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3"/>
        <w:jc w:val="center"/>
        <w:rPr>
          <w:rFonts w:hint="eastAsia" w:ascii="方正小标宋_GBK" w:hAnsi="方正小标宋_GBK" w:eastAsia="方正小标宋_GBK" w:cs="方正小标宋_GBK"/>
          <w:sz w:val="84"/>
          <w:szCs w:val="84"/>
        </w:rPr>
      </w:pPr>
    </w:p>
    <w:p w14:paraId="1095DEAB">
      <w:pPr>
        <w:pStyle w:val="13"/>
        <w:jc w:val="center"/>
        <w:rPr>
          <w:rFonts w:hint="eastAsia" w:ascii="方正小标宋_GBK" w:hAnsi="方正小标宋_GBK" w:eastAsia="方正小标宋_GBK" w:cs="方正小标宋_GBK"/>
          <w:sz w:val="84"/>
          <w:szCs w:val="84"/>
        </w:rPr>
      </w:pPr>
    </w:p>
    <w:p w14:paraId="0DEEC24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3"/>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岳阳市生态环境局岳阳楼分局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5C4FA20">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53214A9F">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（二）负责岳阳楼区生态环境问题的统筹协调和监督管理。</w:t>
      </w:r>
    </w:p>
    <w:p w14:paraId="31D42B07">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2E859548">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29520FFD">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16588685">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360B551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0C0D771D">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1A99F88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18219462">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6E1C75C3">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2FF0F655">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4A52D0CE">
      <w:pPr>
        <w:widowControl/>
        <w:spacing w:line="600" w:lineRule="exac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（十三）完成市生态环境局、岳阳楼区党委、政府交办的其他事项。</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AE043A">
      <w:pPr>
        <w:widowControl/>
        <w:spacing w:line="600" w:lineRule="exact"/>
        <w:ind w:firstLine="960" w:firstLineChars="300"/>
        <w:rPr>
          <w:rFonts w:hint="eastAsia"/>
        </w:rPr>
      </w:pPr>
      <w:r>
        <w:rPr>
          <w:rFonts w:hint="eastAsia" w:ascii="Times New Roman" w:hAnsi="Times New Roman" w:eastAsia="仿宋_GB2312" w:cs="仿宋_GB2312"/>
          <w:bCs/>
          <w:kern w:val="0"/>
          <w:sz w:val="32"/>
          <w:szCs w:val="32"/>
        </w:rPr>
        <w:t>（一）内设机构设置。岳阳市生态环境局岳阳楼分局单位内设机构包括：办公室、水污染防治股、大气土壤污染防治股、法治股、行政审批股、人事财务股、生态股、执法大队8个股室。属岳阳市生态环境局二级机构，独立编制、核算机构数1个，核定编制数为33人，现在实有编制人员31人，其中全额事业编制31人。离退休人员13人。</w:t>
      </w:r>
    </w:p>
    <w:p w14:paraId="38F8B787">
      <w:pPr>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rPr>
        <w:t>岳阳市生态环境局岳阳楼分局</w:t>
      </w:r>
      <w:r>
        <w:rPr>
          <w:rFonts w:hint="eastAsia" w:ascii="Times New Roman" w:hAnsi="Times New Roman" w:eastAsia="仿宋_GB2312" w:cs="仿宋_GB2312"/>
          <w:bCs/>
          <w:kern w:val="0"/>
          <w:sz w:val="32"/>
          <w:szCs w:val="32"/>
          <w:lang w:val="en-US" w:eastAsia="zh-CN"/>
        </w:rPr>
        <w:t>单位本级</w:t>
      </w:r>
      <w:r>
        <w:rPr>
          <w:rFonts w:hint="eastAsia" w:ascii="Times New Roman" w:hAnsi="Times New Roman" w:eastAsia="仿宋_GB2312" w:cs="仿宋_GB2312"/>
          <w:bCs/>
          <w:kern w:val="0"/>
          <w:sz w:val="32"/>
          <w:szCs w:val="32"/>
        </w:rPr>
        <w:t>。</w:t>
      </w:r>
    </w:p>
    <w:p w14:paraId="38152785"/>
    <w:p w14:paraId="3CE56614">
      <w:pPr>
        <w:pStyle w:val="2"/>
      </w:pPr>
    </w:p>
    <w:p w14:paraId="70B4D569">
      <w:pPr>
        <w:pStyle w:val="3"/>
      </w:pPr>
    </w:p>
    <w:p w14:paraId="5B1D6CBC"/>
    <w:p w14:paraId="01206267">
      <w:pPr>
        <w:pStyle w:val="2"/>
      </w:pPr>
    </w:p>
    <w:p w14:paraId="0464CF32">
      <w:pPr>
        <w:pStyle w:val="3"/>
      </w:pPr>
    </w:p>
    <w:p w14:paraId="78F2E1F2"/>
    <w:p w14:paraId="7A6722B9">
      <w:pPr>
        <w:pStyle w:val="2"/>
      </w:pPr>
    </w:p>
    <w:p w14:paraId="7D6C31E4">
      <w:pPr>
        <w:pStyle w:val="2"/>
      </w:pPr>
    </w:p>
    <w:p w14:paraId="056E4ECA">
      <w:pPr>
        <w:pStyle w:val="3"/>
      </w:pPr>
    </w:p>
    <w:p w14:paraId="661BBFC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3"/>
        <w:jc w:val="center"/>
        <w:rPr>
          <w:rFonts w:hint="eastAsia" w:ascii="方正小标宋_GBK" w:hAnsi="方正小标宋_GBK" w:eastAsia="方正小标宋_GBK" w:cs="方正小标宋_GBK"/>
          <w:sz w:val="84"/>
          <w:szCs w:val="84"/>
        </w:rPr>
      </w:pPr>
    </w:p>
    <w:p w14:paraId="3860F1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3"/>
        <w:jc w:val="center"/>
        <w:rPr>
          <w:rFonts w:hint="eastAsia" w:ascii="仿宋_GB2312" w:hAnsi="仿宋_GB2312" w:eastAsia="仿宋_GB2312" w:cs="仿宋_GB2312"/>
          <w:b w:val="0"/>
          <w:bCs w:val="0"/>
          <w:sz w:val="72"/>
          <w:szCs w:val="72"/>
          <w:lang w:eastAsia="zh-CN"/>
        </w:rPr>
      </w:pPr>
    </w:p>
    <w:p w14:paraId="0568D1B8">
      <w:pPr>
        <w:pStyle w:val="13"/>
        <w:jc w:val="center"/>
        <w:rPr>
          <w:rFonts w:hint="eastAsia" w:ascii="仿宋_GB2312" w:hAnsi="仿宋_GB2312" w:eastAsia="仿宋_GB2312" w:cs="仿宋_GB2312"/>
          <w:b w:val="0"/>
          <w:bCs w:val="0"/>
          <w:sz w:val="72"/>
          <w:szCs w:val="72"/>
          <w:lang w:eastAsia="zh-CN"/>
        </w:rPr>
      </w:pPr>
    </w:p>
    <w:p w14:paraId="5C65B646">
      <w:pPr>
        <w:pStyle w:val="13"/>
        <w:jc w:val="center"/>
        <w:rPr>
          <w:rFonts w:hint="eastAsia" w:ascii="仿宋_GB2312" w:hAnsi="仿宋_GB2312" w:eastAsia="仿宋_GB2312" w:cs="仿宋_GB2312"/>
          <w:b w:val="0"/>
          <w:bCs w:val="0"/>
          <w:sz w:val="72"/>
          <w:szCs w:val="72"/>
          <w:lang w:eastAsia="zh-CN"/>
        </w:rPr>
      </w:pPr>
    </w:p>
    <w:p w14:paraId="62EA5E89">
      <w:pPr>
        <w:pStyle w:val="13"/>
        <w:jc w:val="center"/>
        <w:rPr>
          <w:rFonts w:hint="eastAsia" w:ascii="仿宋_GB2312" w:hAnsi="仿宋_GB2312" w:eastAsia="仿宋_GB2312" w:cs="仿宋_GB2312"/>
          <w:b w:val="0"/>
          <w:bCs w:val="0"/>
          <w:sz w:val="72"/>
          <w:szCs w:val="72"/>
          <w:lang w:eastAsia="zh-CN"/>
        </w:rPr>
      </w:pPr>
    </w:p>
    <w:p w14:paraId="63BFFD84">
      <w:pPr>
        <w:pStyle w:val="13"/>
        <w:jc w:val="center"/>
        <w:rPr>
          <w:rFonts w:hint="eastAsia" w:ascii="仿宋_GB2312" w:hAnsi="仿宋_GB2312" w:eastAsia="仿宋_GB2312" w:cs="仿宋_GB2312"/>
          <w:b w:val="0"/>
          <w:bCs w:val="0"/>
          <w:sz w:val="72"/>
          <w:szCs w:val="72"/>
          <w:lang w:eastAsia="zh-CN"/>
        </w:rPr>
      </w:pPr>
    </w:p>
    <w:p w14:paraId="4565BABE">
      <w:pPr>
        <w:pStyle w:val="13"/>
        <w:jc w:val="center"/>
        <w:rPr>
          <w:rFonts w:hint="eastAsia" w:ascii="仿宋_GB2312" w:hAnsi="仿宋_GB2312" w:eastAsia="仿宋_GB2312" w:cs="仿宋_GB2312"/>
          <w:b w:val="0"/>
          <w:bCs w:val="0"/>
          <w:sz w:val="72"/>
          <w:szCs w:val="72"/>
          <w:lang w:eastAsia="zh-CN"/>
        </w:rPr>
      </w:pPr>
    </w:p>
    <w:p w14:paraId="6EEAB3EF">
      <w:pPr>
        <w:pStyle w:val="13"/>
        <w:jc w:val="center"/>
        <w:rPr>
          <w:rFonts w:hint="eastAsia" w:ascii="仿宋_GB2312" w:hAnsi="仿宋_GB2312" w:eastAsia="仿宋_GB2312" w:cs="仿宋_GB2312"/>
          <w:b w:val="0"/>
          <w:bCs w:val="0"/>
          <w:sz w:val="72"/>
          <w:szCs w:val="72"/>
          <w:lang w:eastAsia="zh-CN"/>
        </w:rPr>
      </w:pPr>
    </w:p>
    <w:p w14:paraId="603C04A7">
      <w:pPr>
        <w:pStyle w:val="13"/>
        <w:jc w:val="center"/>
        <w:rPr>
          <w:rFonts w:hint="eastAsia" w:ascii="方正小标宋_GBK" w:hAnsi="方正小标宋_GBK" w:eastAsia="方正小标宋_GBK" w:cs="方正小标宋_GBK"/>
          <w:sz w:val="72"/>
          <w:szCs w:val="72"/>
        </w:rPr>
      </w:pPr>
    </w:p>
    <w:p w14:paraId="7A44A82E">
      <w:pPr>
        <w:pStyle w:val="13"/>
        <w:jc w:val="center"/>
        <w:rPr>
          <w:rFonts w:hint="eastAsia" w:ascii="方正小标宋_GBK" w:hAnsi="方正小标宋_GBK" w:eastAsia="方正小标宋_GBK" w:cs="方正小标宋_GBK"/>
          <w:sz w:val="72"/>
          <w:szCs w:val="72"/>
        </w:rPr>
      </w:pPr>
    </w:p>
    <w:p w14:paraId="06211665">
      <w:pPr>
        <w:pStyle w:val="13"/>
        <w:jc w:val="both"/>
        <w:rPr>
          <w:rFonts w:hint="eastAsia" w:ascii="方正小标宋_GBK" w:hAnsi="方正小标宋_GBK" w:eastAsia="方正小标宋_GBK" w:cs="方正小标宋_GBK"/>
          <w:sz w:val="72"/>
          <w:szCs w:val="72"/>
        </w:rPr>
      </w:pPr>
    </w:p>
    <w:p w14:paraId="7804FBAA">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3"/>
        <w:jc w:val="center"/>
        <w:rPr>
          <w:rFonts w:hint="eastAsia" w:ascii="方正小标宋_GBK" w:hAnsi="方正小标宋_GBK" w:eastAsia="方正小标宋_GBK" w:cs="方正小标宋_GBK"/>
          <w:sz w:val="70"/>
          <w:szCs w:val="70"/>
        </w:rPr>
      </w:pPr>
    </w:p>
    <w:p w14:paraId="4F77A5A6">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3"/>
        <w:jc w:val="center"/>
        <w:rPr>
          <w:rFonts w:hint="eastAsia" w:ascii="方正小标宋_GBK" w:hAnsi="方正小标宋_GBK" w:eastAsia="方正小标宋_GBK" w:cs="方正小标宋_GBK"/>
          <w:sz w:val="70"/>
          <w:szCs w:val="70"/>
        </w:rPr>
      </w:pPr>
    </w:p>
    <w:p w14:paraId="6EEC30AB">
      <w:pPr>
        <w:pStyle w:val="13"/>
        <w:jc w:val="center"/>
        <w:rPr>
          <w:rFonts w:hint="eastAsia" w:ascii="方正小标宋_GBK" w:hAnsi="方正小标宋_GBK" w:eastAsia="方正小标宋_GBK" w:cs="方正小标宋_GBK"/>
          <w:sz w:val="70"/>
          <w:szCs w:val="70"/>
        </w:rPr>
      </w:pPr>
    </w:p>
    <w:p w14:paraId="417367C1">
      <w:pPr>
        <w:pStyle w:val="13"/>
        <w:jc w:val="center"/>
        <w:rPr>
          <w:rFonts w:hint="eastAsia" w:ascii="方正小标宋_GBK" w:hAnsi="方正小标宋_GBK" w:eastAsia="方正小标宋_GBK" w:cs="方正小标宋_GBK"/>
          <w:sz w:val="70"/>
          <w:szCs w:val="70"/>
        </w:rPr>
      </w:pPr>
    </w:p>
    <w:p w14:paraId="5EF1049C">
      <w:pPr>
        <w:pStyle w:val="13"/>
        <w:jc w:val="center"/>
        <w:rPr>
          <w:rFonts w:hint="eastAsia" w:ascii="方正小标宋_GBK" w:hAnsi="方正小标宋_GBK" w:eastAsia="方正小标宋_GBK" w:cs="方正小标宋_GBK"/>
          <w:sz w:val="70"/>
          <w:szCs w:val="70"/>
        </w:rPr>
      </w:pPr>
    </w:p>
    <w:p w14:paraId="7E4B3CF9">
      <w:pPr>
        <w:pStyle w:val="13"/>
        <w:jc w:val="center"/>
        <w:rPr>
          <w:rFonts w:hint="eastAsia" w:ascii="方正小标宋_GBK" w:hAnsi="方正小标宋_GBK" w:eastAsia="方正小标宋_GBK" w:cs="方正小标宋_GBK"/>
          <w:sz w:val="70"/>
          <w:szCs w:val="70"/>
        </w:rPr>
      </w:pPr>
    </w:p>
    <w:p w14:paraId="514C0722">
      <w:pPr>
        <w:pStyle w:val="13"/>
        <w:jc w:val="center"/>
        <w:rPr>
          <w:rFonts w:hint="eastAsia" w:ascii="方正小标宋_GBK" w:hAnsi="方正小标宋_GBK" w:eastAsia="方正小标宋_GBK" w:cs="方正小标宋_GBK"/>
          <w:sz w:val="70"/>
          <w:szCs w:val="70"/>
        </w:rPr>
      </w:pPr>
    </w:p>
    <w:p w14:paraId="2411C08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年度收、支总计1003.98万元。与上年相比，增加</w:t>
      </w:r>
      <w:r>
        <w:rPr>
          <w:rFonts w:hint="eastAsia" w:ascii="仿宋_GB2312" w:hAnsi="仿宋_GB2312" w:eastAsia="仿宋_GB2312" w:cs="仿宋_GB2312"/>
          <w:sz w:val="32"/>
          <w:szCs w:val="32"/>
          <w:lang w:val="en-US" w:eastAsia="zh-CN"/>
        </w:rPr>
        <w:t>46.95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4.91</w:t>
      </w:r>
      <w:r>
        <w:rPr>
          <w:rFonts w:hint="eastAsia" w:ascii="仿宋_GB2312" w:hAnsi="仿宋_GB2312" w:eastAsia="仿宋_GB2312" w:cs="仿宋_GB2312"/>
          <w:sz w:val="32"/>
          <w:szCs w:val="32"/>
        </w:rPr>
        <w:t>%，主要是因为财政拨入相关经费增加。</w:t>
      </w:r>
    </w:p>
    <w:p w14:paraId="07DA9E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年度收入合计969.93万元，其中：财政拨款收入675.32万元，占</w:t>
      </w:r>
      <w:r>
        <w:rPr>
          <w:rFonts w:hint="eastAsia" w:ascii="仿宋_GB2312" w:hAnsi="仿宋_GB2312" w:eastAsia="仿宋_GB2312" w:cs="仿宋_GB2312"/>
          <w:sz w:val="32"/>
          <w:szCs w:val="32"/>
          <w:lang w:val="en-US" w:eastAsia="zh-CN"/>
        </w:rPr>
        <w:t>69.63</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%；其他收入294.61万元，占</w:t>
      </w:r>
      <w:r>
        <w:rPr>
          <w:rFonts w:hint="eastAsia" w:ascii="仿宋_GB2312" w:hAnsi="仿宋_GB2312" w:eastAsia="仿宋_GB2312" w:cs="仿宋_GB2312"/>
          <w:sz w:val="32"/>
          <w:szCs w:val="32"/>
          <w:lang w:val="en-US" w:eastAsia="zh-CN"/>
        </w:rPr>
        <w:t>30.37</w:t>
      </w:r>
      <w:r>
        <w:rPr>
          <w:rFonts w:hint="eastAsia" w:ascii="仿宋_GB2312" w:hAnsi="仿宋_GB2312" w:eastAsia="仿宋_GB2312" w:cs="仿宋_GB2312"/>
          <w:sz w:val="32"/>
          <w:szCs w:val="32"/>
        </w:rPr>
        <w:t>%。</w:t>
      </w:r>
    </w:p>
    <w:p w14:paraId="2D1A2B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年度支出合计924.23万元，其中：基本支出525.57万元，占</w:t>
      </w:r>
      <w:r>
        <w:rPr>
          <w:rFonts w:hint="eastAsia" w:ascii="仿宋_GB2312" w:hAnsi="仿宋_GB2312" w:eastAsia="仿宋_GB2312" w:cs="仿宋_GB2312"/>
          <w:sz w:val="32"/>
          <w:szCs w:val="32"/>
          <w:lang w:val="en-US" w:eastAsia="zh-CN"/>
        </w:rPr>
        <w:t>56.87</w:t>
      </w:r>
      <w:r>
        <w:rPr>
          <w:rFonts w:hint="eastAsia" w:ascii="仿宋_GB2312" w:hAnsi="仿宋_GB2312" w:eastAsia="仿宋_GB2312" w:cs="仿宋_GB2312"/>
          <w:sz w:val="32"/>
          <w:szCs w:val="32"/>
        </w:rPr>
        <w:t>%；项目支出398.66万元，占</w:t>
      </w:r>
      <w:r>
        <w:rPr>
          <w:rFonts w:hint="eastAsia" w:ascii="仿宋_GB2312" w:hAnsi="仿宋_GB2312" w:eastAsia="仿宋_GB2312" w:cs="仿宋_GB2312"/>
          <w:sz w:val="32"/>
          <w:szCs w:val="32"/>
          <w:lang w:val="en-US" w:eastAsia="zh-CN"/>
        </w:rPr>
        <w:t>43.13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年度财政拨款收、支总计675.32万元，与上年相比，增加</w:t>
      </w:r>
      <w:r>
        <w:rPr>
          <w:rFonts w:hint="eastAsia" w:ascii="仿宋_GB2312" w:hAnsi="仿宋_GB2312" w:eastAsia="仿宋_GB2312" w:cs="仿宋_GB2312"/>
          <w:sz w:val="32"/>
          <w:szCs w:val="32"/>
          <w:lang w:val="en-US" w:eastAsia="zh-CN"/>
        </w:rPr>
        <w:t>120.46</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21.71</w:t>
      </w:r>
      <w:r>
        <w:rPr>
          <w:rFonts w:hint="eastAsia" w:ascii="仿宋_GB2312" w:hAnsi="仿宋_GB2312" w:eastAsia="仿宋_GB2312" w:cs="仿宋_GB2312"/>
          <w:sz w:val="32"/>
          <w:szCs w:val="32"/>
        </w:rPr>
        <w:t>%，主要是因为2024年市财政拨入相关经费增加。</w:t>
      </w:r>
    </w:p>
    <w:p w14:paraId="4BB30A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年度财政拨款支出675.32万元，占本年支出合计的</w:t>
      </w:r>
      <w:r>
        <w:rPr>
          <w:rFonts w:hint="eastAsia" w:ascii="仿宋_GB2312" w:hAnsi="仿宋_GB2312" w:eastAsia="仿宋_GB2312" w:cs="仿宋_GB2312"/>
          <w:sz w:val="32"/>
          <w:szCs w:val="32"/>
          <w:lang w:val="en-US" w:eastAsia="zh-CN"/>
        </w:rPr>
        <w:t>73.07</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120.46</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21.71</w:t>
      </w:r>
      <w:r>
        <w:rPr>
          <w:rFonts w:hint="eastAsia" w:ascii="仿宋_GB2312" w:hAnsi="仿宋_GB2312" w:eastAsia="仿宋_GB2312" w:cs="仿宋_GB2312"/>
          <w:sz w:val="32"/>
          <w:szCs w:val="32"/>
        </w:rPr>
        <w:t>%，主要是因为2024年市财政拨入相关经费增加。</w:t>
      </w:r>
    </w:p>
    <w:p w14:paraId="66C54C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年度财政拨款支出675.32万元，主要用于以下方面：社会保障和就业（类）支出38.54万元，占5.71%；卫生健康（类）支出24.19万元，占3.58%;节能环保（类）支出585.98万元，占86.77%;住房保障（类）支出26.61万元，占3.94%</w:t>
      </w:r>
      <w:r>
        <w:rPr>
          <w:rFonts w:hint="eastAsia" w:ascii="仿宋_GB2312" w:hAnsi="仿宋_GB2312" w:eastAsia="仿宋_GB2312" w:cs="仿宋_GB2312"/>
          <w:sz w:val="32"/>
          <w:szCs w:val="32"/>
          <w:lang w:val="en-US" w:eastAsia="zh-CN"/>
        </w:rPr>
        <w:t>。</w:t>
      </w:r>
    </w:p>
    <w:p w14:paraId="5CDBADF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年度财政拨款支出年初预算数为465.75万元，支出决算数为675.32万元，完成年初预算的</w:t>
      </w:r>
      <w:r>
        <w:rPr>
          <w:rFonts w:hint="eastAsia" w:ascii="仿宋_GB2312" w:hAnsi="仿宋_GB2312" w:eastAsia="仿宋_GB2312" w:cs="仿宋_GB2312"/>
          <w:sz w:val="32"/>
          <w:szCs w:val="32"/>
          <w:lang w:val="en-US" w:eastAsia="zh-CN"/>
        </w:rPr>
        <w:t>145.00</w:t>
      </w:r>
      <w:r>
        <w:rPr>
          <w:rFonts w:hint="eastAsia" w:ascii="仿宋_GB2312" w:hAnsi="仿宋_GB2312" w:eastAsia="仿宋_GB2312" w:cs="仿宋_GB2312"/>
          <w:sz w:val="32"/>
          <w:szCs w:val="32"/>
        </w:rPr>
        <w:t>%，其中：</w:t>
      </w:r>
    </w:p>
    <w:p w14:paraId="237A4D6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1、社会保障和就业（类）行政事业单位养老支出（款）机关事业单位基本养老保险缴费支出（项）。</w:t>
      </w:r>
    </w:p>
    <w:p w14:paraId="7523608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年初预算为36.88万元，支出决算为35.45万元，完成年初预算的</w:t>
      </w:r>
      <w:r>
        <w:rPr>
          <w:rFonts w:hint="eastAsia" w:ascii="仿宋_GB2312" w:hAnsi="仿宋_GB2312" w:eastAsia="仿宋_GB2312" w:cs="仿宋_GB2312"/>
          <w:sz w:val="32"/>
          <w:szCs w:val="32"/>
          <w:lang w:val="en-US" w:eastAsia="zh-CN"/>
        </w:rPr>
        <w:t>96.12</w:t>
      </w:r>
      <w:r>
        <w:rPr>
          <w:rFonts w:hint="eastAsia" w:ascii="仿宋_GB2312" w:hAnsi="仿宋_GB2312" w:eastAsia="仿宋_GB2312" w:cs="仿宋_GB2312"/>
          <w:sz w:val="32"/>
          <w:szCs w:val="32"/>
        </w:rPr>
        <w:t>%，决算数小于年初预算数的主要原因是：2024年执法机构改革，执法人员调入支队</w:t>
      </w:r>
      <w:r>
        <w:rPr>
          <w:rFonts w:hint="eastAsia" w:ascii="仿宋_GB2312" w:hAnsi="仿宋_GB2312" w:eastAsia="仿宋_GB2312" w:cs="仿宋_GB2312"/>
          <w:sz w:val="32"/>
          <w:szCs w:val="32"/>
          <w:lang w:eastAsia="zh-CN"/>
        </w:rPr>
        <w:t>。</w:t>
      </w:r>
    </w:p>
    <w:p w14:paraId="3443D2A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2、社会保障和就业（类）残疾人事业（款）其他残疾人事业支出（项）。</w:t>
      </w:r>
    </w:p>
    <w:p w14:paraId="6D40D85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年初预算为3.09万元，支出决算为3.09万元，完成年初预算的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2B0655C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、卫生健康（类）行政事业单位医疗（款）行政单位医疗（项）。</w:t>
      </w:r>
    </w:p>
    <w:p w14:paraId="022206B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年初预算为13.84万元，支出决算为13.84万元，完成年初预算的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4603532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、卫生健康（类）行政事业单位医疗（款）公务员医疗补助（项）。</w:t>
      </w:r>
    </w:p>
    <w:p w14:paraId="758B731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年初预算为16.94万元，支出决算为10.35万元，完成年初预算的</w:t>
      </w:r>
      <w:r>
        <w:rPr>
          <w:rFonts w:hint="eastAsia" w:ascii="仿宋_GB2312" w:hAnsi="仿宋_GB2312" w:eastAsia="仿宋_GB2312" w:cs="仿宋_GB2312"/>
          <w:sz w:val="32"/>
          <w:szCs w:val="32"/>
          <w:lang w:val="en-US" w:eastAsia="zh-CN"/>
        </w:rPr>
        <w:t>61.10</w:t>
      </w:r>
      <w:r>
        <w:rPr>
          <w:rFonts w:hint="eastAsia" w:ascii="仿宋_GB2312" w:hAnsi="仿宋_GB2312" w:eastAsia="仿宋_GB2312" w:cs="仿宋_GB2312"/>
          <w:sz w:val="32"/>
          <w:szCs w:val="32"/>
        </w:rPr>
        <w:t>%，决算数小于年初预算数的主要原因是：2024年执法机构改革，执法人员调入支队</w:t>
      </w:r>
      <w:r>
        <w:rPr>
          <w:rFonts w:hint="eastAsia" w:ascii="仿宋_GB2312" w:hAnsi="仿宋_GB2312" w:eastAsia="仿宋_GB2312" w:cs="仿宋_GB2312"/>
          <w:sz w:val="32"/>
          <w:szCs w:val="32"/>
          <w:lang w:eastAsia="zh-CN"/>
        </w:rPr>
        <w:t>。</w:t>
      </w:r>
    </w:p>
    <w:p w14:paraId="6DC688F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、节能环保（类）环境保护管理事务（款）行政运行（项）。</w:t>
      </w:r>
    </w:p>
    <w:p w14:paraId="5937D97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年初预算为368.39万元，支出决算为347.72万元，完成年初预算的</w:t>
      </w:r>
      <w:r>
        <w:rPr>
          <w:rFonts w:hint="eastAsia" w:ascii="仿宋_GB2312" w:hAnsi="仿宋_GB2312" w:eastAsia="仿宋_GB2312" w:cs="仿宋_GB2312"/>
          <w:sz w:val="32"/>
          <w:szCs w:val="32"/>
          <w:lang w:val="en-US" w:eastAsia="zh-CN"/>
        </w:rPr>
        <w:t>94.39</w:t>
      </w:r>
      <w:r>
        <w:rPr>
          <w:rFonts w:hint="eastAsia" w:ascii="仿宋_GB2312" w:hAnsi="仿宋_GB2312" w:eastAsia="仿宋_GB2312" w:cs="仿宋_GB2312"/>
          <w:sz w:val="32"/>
          <w:szCs w:val="32"/>
        </w:rPr>
        <w:t>%，决算数小于年初预算数的主要原因是：2024年执法机构改革，执法人员调入支队</w:t>
      </w:r>
      <w:r>
        <w:rPr>
          <w:rFonts w:hint="eastAsia" w:ascii="仿宋_GB2312" w:hAnsi="仿宋_GB2312" w:eastAsia="仿宋_GB2312" w:cs="仿宋_GB2312"/>
          <w:sz w:val="32"/>
          <w:szCs w:val="32"/>
          <w:lang w:eastAsia="zh-CN"/>
        </w:rPr>
        <w:t>。</w:t>
      </w:r>
    </w:p>
    <w:p w14:paraId="1CE6ECD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、节能环保（类）环境保护管理事务（款）其他环境保护管理事务支出（项）。</w:t>
      </w:r>
    </w:p>
    <w:p w14:paraId="63D3FE2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万元，支出决算为61.36万元，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8BCF59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、节能环保（类）污染防治（款）大气（项）。</w:t>
      </w:r>
    </w:p>
    <w:p w14:paraId="1F2198F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万元，支出决算为50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0AFA7C4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、节能环保（类）污染减排（款）生态环境执法监察（项）。</w:t>
      </w:r>
    </w:p>
    <w:p w14:paraId="6F68C7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万元，支出决算为73.63万元，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635557D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、节能环保（类）其他节能环保支出（款）其他节能环保支出（项）。</w:t>
      </w:r>
    </w:p>
    <w:p w14:paraId="3B6E297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万元，支出决算为53.27万元，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178BF3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、住房保障（类）住房改革支出（款）住房公积金（项）。</w:t>
      </w:r>
    </w:p>
    <w:p w14:paraId="2F4442F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年初预算为26.61万元，支出决算为26.61万元，完成年初预算的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373E8BA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财政拨款基本支出510.58万元，其中：</w:t>
      </w:r>
    </w:p>
    <w:p w14:paraId="763B784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438.48万元，占基本支出的</w:t>
      </w:r>
      <w:r>
        <w:rPr>
          <w:rFonts w:hint="eastAsia" w:ascii="仿宋_GB2312" w:hAnsi="仿宋_GB2312" w:eastAsia="仿宋_GB2312" w:cs="仿宋_GB2312"/>
          <w:sz w:val="32"/>
          <w:szCs w:val="32"/>
          <w:lang w:val="en-US" w:eastAsia="zh-CN"/>
        </w:rPr>
        <w:t>85.88</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68D7C16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72.1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14.12</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238B27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3.80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1.21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31.84</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0.59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95.16</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厉行节约，严格控制“三公”经费</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2024年中央、省级环保督察、专项巡察增加</w:t>
      </w:r>
      <w:r>
        <w:rPr>
          <w:rFonts w:ascii="Times New Roman" w:hAnsi="Times New Roman" w:eastAsia="仿宋_GB2312" w:cs="Times New Roman"/>
          <w:sz w:val="32"/>
          <w:szCs w:val="32"/>
        </w:rPr>
        <w:t>。</w:t>
      </w:r>
    </w:p>
    <w:p w14:paraId="352D03A7">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0.95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31.67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0.59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163.43</w:t>
      </w:r>
      <w:r>
        <w:rPr>
          <w:rFonts w:ascii="Times New Roman" w:hAnsi="Times New Roman" w:eastAsia="仿宋_GB2312" w:cs="Times New Roman"/>
          <w:sz w:val="32"/>
          <w:szCs w:val="32"/>
        </w:rPr>
        <w:t>%。其中：</w:t>
      </w:r>
    </w:p>
    <w:p w14:paraId="07AF86AC">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0.95</w:t>
      </w:r>
      <w:r>
        <w:rPr>
          <w:rFonts w:ascii="Times New Roman" w:hAnsi="Times New Roman" w:eastAsia="仿宋_GB2312" w:cs="Times New Roman"/>
          <w:sz w:val="32"/>
          <w:szCs w:val="32"/>
        </w:rPr>
        <w:t>万元，</w:t>
      </w:r>
    </w:p>
    <w:p w14:paraId="75A272CE">
      <w:pPr>
        <w:pStyle w:val="13"/>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rPr>
        <w:t>公执法车加油、维修、保险</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31.67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0.59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163.43</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2024年中央、省级环保督察、专项巡察增加。</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4B35674B">
      <w:pPr>
        <w:numPr>
          <w:ilvl w:val="0"/>
          <w:numId w:val="2"/>
        </w:num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0.80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0.26</w:t>
      </w:r>
      <w:r>
        <w:rPr>
          <w:rFonts w:ascii="Times New Roman" w:hAnsi="Times New Roman" w:eastAsia="仿宋_GB2312" w:cs="Times New Roman"/>
          <w:sz w:val="32"/>
          <w:szCs w:val="32"/>
        </w:rPr>
        <w:t>万元，完成预</w:t>
      </w:r>
      <w:r>
        <w:rPr>
          <w:rFonts w:ascii="Times New Roman" w:hAnsi="Times New Roman" w:eastAsia="仿宋_GB2312" w:cs="Times New Roman"/>
          <w:color w:val="000000"/>
          <w:kern w:val="0"/>
          <w:sz w:val="32"/>
          <w:szCs w:val="32"/>
          <w:lang w:val="en-US" w:eastAsia="zh-CN" w:bidi="ar-SA"/>
        </w:rPr>
        <w:t>算的</w:t>
      </w:r>
      <w:r>
        <w:rPr>
          <w:rFonts w:hint="eastAsia" w:ascii="Times New Roman" w:hAnsi="Times New Roman" w:eastAsia="仿宋_GB2312" w:cs="Times New Roman"/>
          <w:color w:val="000000"/>
          <w:kern w:val="0"/>
          <w:sz w:val="32"/>
          <w:szCs w:val="32"/>
          <w:lang w:val="en-US" w:eastAsia="zh-CN" w:bidi="ar-SA"/>
        </w:rPr>
        <w:t>32.50</w:t>
      </w:r>
      <w:r>
        <w:rPr>
          <w:rFonts w:ascii="Times New Roman" w:hAnsi="Times New Roman" w:eastAsia="仿宋_GB2312" w:cs="Times New Roman"/>
          <w:color w:val="000000"/>
          <w:kern w:val="0"/>
          <w:sz w:val="32"/>
          <w:szCs w:val="32"/>
          <w:lang w:val="en-US" w:eastAsia="zh-CN" w:bidi="ar-SA"/>
        </w:rPr>
        <w:t>%；决算数小于预算数的主要原因是</w:t>
      </w:r>
      <w:r>
        <w:rPr>
          <w:rFonts w:hint="eastAsia" w:ascii="Times New Roman" w:hAnsi="Times New Roman" w:eastAsia="仿宋_GB2312" w:cs="Times New Roman"/>
          <w:color w:val="000000"/>
          <w:kern w:val="0"/>
          <w:sz w:val="32"/>
          <w:szCs w:val="32"/>
          <w:lang w:val="en-US" w:eastAsia="zh-CN" w:bidi="ar-SA"/>
        </w:rPr>
        <w:t>厉行节约，严控公务接待支出</w:t>
      </w:r>
      <w:r>
        <w:rPr>
          <w:rFonts w:ascii="Times New Roman" w:hAnsi="Times New Roman" w:eastAsia="仿宋_GB2312" w:cs="Times New Roman"/>
          <w:color w:val="000000"/>
          <w:kern w:val="0"/>
          <w:sz w:val="32"/>
          <w:szCs w:val="32"/>
          <w:lang w:val="en-US" w:eastAsia="zh-CN" w:bidi="ar-SA"/>
        </w:rPr>
        <w:t>。</w:t>
      </w:r>
      <w:r>
        <w:rPr>
          <w:rFonts w:hint="eastAsia" w:ascii="Times New Roman" w:hAnsi="Times New Roman" w:eastAsia="仿宋_GB2312" w:cs="Times New Roman"/>
          <w:color w:val="000000"/>
          <w:kern w:val="0"/>
          <w:sz w:val="32"/>
          <w:szCs w:val="32"/>
          <w:lang w:val="en-US" w:eastAsia="zh-CN" w:bidi="ar-SA"/>
        </w:rPr>
        <w:t>与上年一致，无增减变动，主要原因是按有关政策厉行节约，严控公务接待支出。</w:t>
      </w:r>
      <w:r>
        <w:rPr>
          <w:rFonts w:ascii="Times New Roman" w:hAnsi="Times New Roman" w:eastAsia="仿宋_GB2312" w:cs="Times New Roman"/>
          <w:color w:val="000000"/>
          <w:kern w:val="0"/>
          <w:sz w:val="32"/>
          <w:szCs w:val="32"/>
          <w:lang w:val="en-US" w:eastAsia="zh-CN" w:bidi="ar-SA"/>
        </w:rPr>
        <w:t>2024年度共接待来访团组</w:t>
      </w:r>
      <w:r>
        <w:rPr>
          <w:rFonts w:hint="eastAsia" w:ascii="Times New Roman" w:hAnsi="Times New Roman" w:eastAsia="仿宋_GB2312" w:cs="Times New Roman"/>
          <w:color w:val="000000"/>
          <w:kern w:val="0"/>
          <w:sz w:val="32"/>
          <w:szCs w:val="32"/>
          <w:lang w:val="en-US" w:eastAsia="zh-CN" w:bidi="ar-SA"/>
        </w:rPr>
        <w:t>2</w:t>
      </w:r>
      <w:r>
        <w:rPr>
          <w:rFonts w:ascii="Times New Roman" w:hAnsi="Times New Roman" w:eastAsia="仿宋_GB2312" w:cs="Times New Roman"/>
          <w:color w:val="000000"/>
          <w:kern w:val="0"/>
          <w:sz w:val="32"/>
          <w:szCs w:val="32"/>
          <w:lang w:val="en-US" w:eastAsia="zh-CN" w:bidi="ar-SA"/>
        </w:rPr>
        <w:t>个、来宾</w:t>
      </w:r>
      <w:r>
        <w:rPr>
          <w:rFonts w:hint="eastAsia" w:ascii="Times New Roman" w:hAnsi="Times New Roman" w:eastAsia="仿宋_GB2312" w:cs="Times New Roman"/>
          <w:color w:val="000000"/>
          <w:kern w:val="0"/>
          <w:sz w:val="32"/>
          <w:szCs w:val="32"/>
          <w:lang w:val="en-US" w:eastAsia="zh-CN" w:bidi="ar-SA"/>
        </w:rPr>
        <w:t>12</w:t>
      </w:r>
      <w:r>
        <w:rPr>
          <w:rFonts w:ascii="Times New Roman" w:hAnsi="Times New Roman" w:eastAsia="仿宋_GB2312" w:cs="Times New Roman"/>
          <w:color w:val="000000"/>
          <w:kern w:val="0"/>
          <w:sz w:val="32"/>
          <w:szCs w:val="32"/>
          <w:lang w:val="en-US" w:eastAsia="zh-CN" w:bidi="ar-SA"/>
        </w:rPr>
        <w:t>人次，主要是</w:t>
      </w:r>
      <w:r>
        <w:rPr>
          <w:rFonts w:hint="eastAsia" w:ascii="Times New Roman" w:hAnsi="Times New Roman" w:eastAsia="仿宋_GB2312" w:cs="Times New Roman"/>
          <w:color w:val="000000"/>
          <w:kern w:val="0"/>
          <w:sz w:val="32"/>
          <w:szCs w:val="32"/>
          <w:lang w:val="en-US" w:eastAsia="zh-CN" w:bidi="ar-SA"/>
        </w:rPr>
        <w:t>用于与有关单位工作交流及接受相关部门督察、检查及指导工作</w:t>
      </w:r>
      <w:r>
        <w:rPr>
          <w:rFonts w:ascii="Times New Roman" w:hAnsi="Times New Roman" w:eastAsia="仿宋_GB2312" w:cs="Times New Roman"/>
          <w:color w:val="000000"/>
          <w:kern w:val="0"/>
          <w:sz w:val="32"/>
          <w:szCs w:val="32"/>
          <w:lang w:val="en-US" w:eastAsia="zh-CN" w:bidi="ar-SA"/>
        </w:rPr>
        <w:t>发生的接待支出</w:t>
      </w:r>
      <w:r>
        <w:rPr>
          <w:rFonts w:ascii="Times New Roman" w:hAnsi="Times New Roman" w:eastAsia="仿宋_GB2312" w:cs="Times New Roman"/>
          <w:sz w:val="32"/>
          <w:szCs w:val="32"/>
        </w:rPr>
        <w:t>。</w:t>
      </w:r>
    </w:p>
    <w:p w14:paraId="3D06A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年度机关运行经费支出72.1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比上年决算数增加</w:t>
      </w:r>
      <w:r>
        <w:rPr>
          <w:rFonts w:hint="eastAsia" w:ascii="仿宋_GB2312" w:hAnsi="仿宋_GB2312" w:eastAsia="仿宋_GB2312" w:cs="仿宋_GB2312"/>
          <w:sz w:val="32"/>
          <w:szCs w:val="32"/>
          <w:highlight w:val="none"/>
          <w:lang w:val="en-US" w:eastAsia="zh-CN"/>
        </w:rPr>
        <w:t>5.68</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8.55</w:t>
      </w:r>
      <w:r>
        <w:rPr>
          <w:rFonts w:hint="eastAsia" w:ascii="仿宋_GB2312" w:hAnsi="仿宋_GB2312" w:eastAsia="仿宋_GB2312" w:cs="仿宋_GB2312"/>
          <w:sz w:val="32"/>
          <w:szCs w:val="32"/>
          <w:highlight w:val="none"/>
        </w:rPr>
        <w:t>%。主要原因是：工会经费</w:t>
      </w:r>
      <w:r>
        <w:rPr>
          <w:rFonts w:hint="eastAsia" w:ascii="仿宋_GB2312" w:hAnsi="仿宋_GB2312" w:eastAsia="仿宋_GB2312" w:cs="仿宋_GB2312"/>
          <w:sz w:val="32"/>
          <w:szCs w:val="32"/>
          <w:lang w:val="en-US" w:eastAsia="zh-CN"/>
        </w:rPr>
        <w:t>的增加。</w:t>
      </w:r>
    </w:p>
    <w:p w14:paraId="39684EF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年度，会议费年初预算0.00万元，支出决算为0.00万元，由于预算数为0，无法计算完成年初预算的百分比。本单位无会议费的预算和支出决算数。</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w:t>
      </w:r>
      <w:r>
        <w:rPr>
          <w:rFonts w:hint="eastAsia" w:ascii="仿宋_GB2312" w:hAnsi="仿宋_GB2312" w:eastAsia="仿宋_GB2312" w:cs="仿宋_GB2312"/>
          <w:sz w:val="32"/>
          <w:szCs w:val="32"/>
        </w:rPr>
        <w:t>由于预算数为0，无法计算完成年初预算的百分比。本单位无培训费的预算和支出决算数</w:t>
      </w:r>
      <w:r>
        <w:rPr>
          <w:rFonts w:hint="eastAsia" w:ascii="仿宋_GB2312" w:hAnsi="仿宋_GB2312" w:eastAsia="仿宋_GB2312" w:cs="仿宋_GB2312"/>
          <w:color w:val="000000"/>
          <w:kern w:val="0"/>
          <w:sz w:val="32"/>
          <w:szCs w:val="32"/>
          <w:lang w:val="en-US" w:eastAsia="zh-CN" w:bidi="ar-SA"/>
        </w:rPr>
        <w:t>。</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年度政府采购支出总额270.64万元，其中：政府采购货物支出10.7</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万元、政府采购工程支出21.38万元、政府采购服务支出238.51万元。授予中小企业合同</w:t>
      </w:r>
      <w:bookmarkStart w:id="0" w:name="_GoBack"/>
      <w:bookmarkEnd w:id="0"/>
      <w:r>
        <w:rPr>
          <w:rFonts w:hint="eastAsia" w:ascii="仿宋_GB2312" w:hAnsi="仿宋_GB2312" w:eastAsia="仿宋_GB2312" w:cs="仿宋_GB2312"/>
          <w:sz w:val="32"/>
          <w:szCs w:val="32"/>
        </w:rPr>
        <w:t>金额270.64万元，占政府采购支出总额的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%，其中：授予小微企业合同金额270.64万元，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46A0DF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辆，其他用车主要是执法执勤用车；单位价值100万元以上设备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E6B6DCD">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365.63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121.71</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18.02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由于政府性基金预算项目支出总额为0，故无法计算占政府性基金预算项目支出总额的比重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仿宋_GB2312" w:hAnsi="仿宋_GB2312" w:eastAsia="仿宋_GB2312" w:cs="仿宋_GB2312"/>
          <w:b w:val="0"/>
          <w:bCs w:val="0"/>
          <w:color w:val="000000"/>
          <w:kern w:val="0"/>
          <w:sz w:val="32"/>
          <w:szCs w:val="32"/>
          <w:lang w:val="en-US" w:eastAsia="zh-CN" w:bidi="ar-SA"/>
        </w:rPr>
        <w:t>由于国有资本经营预算项目支出总额为0，故无法计算占国有资本经营预算项目支出总额的比重</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w:t>
      </w:r>
      <w:r>
        <w:rPr>
          <w:rFonts w:hint="eastAsia" w:ascii="仿宋_GB2312" w:hAnsi="仿宋_GB2312" w:eastAsia="仿宋_GB2312" w:cs="仿宋_GB2312"/>
          <w:b w:val="0"/>
          <w:bCs w:val="0"/>
          <w:color w:val="000000"/>
          <w:kern w:val="0"/>
          <w:sz w:val="32"/>
          <w:szCs w:val="32"/>
          <w:lang w:val="en-US" w:eastAsia="zh-CN" w:bidi="ar-SA"/>
        </w:rPr>
        <w:t>由于</w:t>
      </w:r>
      <w:r>
        <w:rPr>
          <w:rFonts w:ascii="Times New Roman" w:hAnsi="Times New Roman" w:eastAsia="仿宋_GB2312" w:cs="Times New Roman"/>
          <w:kern w:val="0"/>
          <w:sz w:val="32"/>
          <w:szCs w:val="32"/>
          <w:highlight w:val="none"/>
        </w:rPr>
        <w:t>社会保险基金预算</w:t>
      </w:r>
      <w:r>
        <w:rPr>
          <w:rFonts w:hint="eastAsia" w:ascii="仿宋_GB2312" w:hAnsi="仿宋_GB2312" w:eastAsia="仿宋_GB2312" w:cs="仿宋_GB2312"/>
          <w:b w:val="0"/>
          <w:bCs w:val="0"/>
          <w:color w:val="000000"/>
          <w:kern w:val="0"/>
          <w:sz w:val="32"/>
          <w:szCs w:val="32"/>
          <w:lang w:val="en-US" w:eastAsia="zh-CN" w:bidi="ar-SA"/>
        </w:rPr>
        <w:t>项目支出总额为0，故无法计算占</w:t>
      </w:r>
      <w:r>
        <w:rPr>
          <w:rFonts w:ascii="Times New Roman" w:hAnsi="Times New Roman" w:eastAsia="仿宋_GB2312" w:cs="Times New Roman"/>
          <w:kern w:val="0"/>
          <w:sz w:val="32"/>
          <w:szCs w:val="32"/>
          <w:highlight w:val="none"/>
        </w:rPr>
        <w:t>社会保险基金</w:t>
      </w:r>
      <w:r>
        <w:rPr>
          <w:rFonts w:hint="eastAsia" w:ascii="仿宋_GB2312" w:hAnsi="仿宋_GB2312" w:eastAsia="仿宋_GB2312" w:cs="仿宋_GB2312"/>
          <w:b w:val="0"/>
          <w:bCs w:val="0"/>
          <w:color w:val="000000"/>
          <w:kern w:val="0"/>
          <w:sz w:val="32"/>
          <w:szCs w:val="32"/>
          <w:lang w:val="en-US" w:eastAsia="zh-CN" w:bidi="ar-SA"/>
        </w:rPr>
        <w:t>预算项目支出总额的比重</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b w:val="0"/>
          <w:bCs w:val="0"/>
          <w:color w:val="000000"/>
          <w:kern w:val="0"/>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b w:val="0"/>
          <w:bCs w:val="0"/>
          <w:color w:val="000000"/>
          <w:kern w:val="0"/>
          <w:sz w:val="32"/>
          <w:szCs w:val="32"/>
          <w:lang w:val="en-US" w:eastAsia="zh-CN" w:bidi="ar-SA"/>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1F941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1003.98</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924.23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92.06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99.21</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紧盯问题重点，持续抓好整销号</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狠抓源头治理，聚力打好水质攻坚战</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w:t>
      </w:r>
      <w:r>
        <w:rPr>
          <w:rFonts w:hint="eastAsia" w:ascii="Times New Roman" w:hAnsi="Times New Roman" w:eastAsia="仿宋_GB2312" w:cs="Times New Roman"/>
          <w:sz w:val="32"/>
          <w:szCs w:val="32"/>
        </w:rPr>
        <w:t>多举措全领域，强力打好蓝天保卫战；</w:t>
      </w:r>
      <w:r>
        <w:rPr>
          <w:rFonts w:hint="eastAsia" w:ascii="Times New Roman" w:hAnsi="Times New Roman" w:eastAsia="仿宋_GB2312" w:cs="Times New Roman"/>
          <w:sz w:val="32"/>
          <w:szCs w:val="32"/>
          <w:lang w:val="en-US" w:eastAsia="zh-CN"/>
        </w:rPr>
        <w:t>四是</w:t>
      </w:r>
      <w:r>
        <w:rPr>
          <w:rFonts w:hint="eastAsia" w:ascii="Times New Roman" w:hAnsi="Times New Roman" w:eastAsia="仿宋_GB2312" w:cs="Times New Roman"/>
          <w:sz w:val="32"/>
          <w:szCs w:val="32"/>
        </w:rPr>
        <w:t>强化执法监管，防范生态污染事故；</w:t>
      </w:r>
      <w:r>
        <w:rPr>
          <w:rFonts w:hint="eastAsia" w:ascii="Times New Roman" w:hAnsi="Times New Roman" w:eastAsia="仿宋_GB2312" w:cs="Times New Roman"/>
          <w:sz w:val="32"/>
          <w:szCs w:val="32"/>
          <w:lang w:val="en-US" w:eastAsia="zh-CN"/>
        </w:rPr>
        <w:t>五是</w:t>
      </w:r>
      <w:r>
        <w:rPr>
          <w:rFonts w:hint="eastAsia" w:ascii="Times New Roman" w:hAnsi="Times New Roman" w:eastAsia="仿宋_GB2312" w:cs="Times New Roman"/>
          <w:sz w:val="32"/>
          <w:szCs w:val="32"/>
        </w:rPr>
        <w:t>落实“双随机、一公开”日常执法规范有序，其他工作稳步开展</w:t>
      </w:r>
      <w:r>
        <w:rPr>
          <w:rFonts w:ascii="Times New Roman" w:hAnsi="Times New Roman" w:eastAsia="仿宋_GB2312" w:cs="Times New Roman"/>
          <w:sz w:val="32"/>
          <w:szCs w:val="32"/>
        </w:rPr>
        <w:t>。</w:t>
      </w:r>
    </w:p>
    <w:p w14:paraId="128377A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发现的主要问题及原因：一是</w:t>
      </w:r>
      <w:r>
        <w:rPr>
          <w:rFonts w:hint="default" w:ascii="Times New Roman" w:hAnsi="Times New Roman" w:eastAsia="仿宋_GB2312" w:cs="Times New Roman"/>
          <w:color w:val="000000"/>
          <w:sz w:val="32"/>
          <w:szCs w:val="32"/>
          <w:highlight w:val="none"/>
        </w:rPr>
        <w:t>环境质量改善仍任重道远，中心城区综合质量不能稳定达标，空气质量优良率难以达到考核目标要求，国家水质考核断面总磷浓度改善不明显，水质考核PM2.5浓度不能稳定达标，水环境、大气环境质量管控措施还有待进一步细化加强</w:t>
      </w:r>
      <w:r>
        <w:rPr>
          <w:rFonts w:ascii="Times New Roman" w:hAnsi="Times New Roman" w:eastAsia="仿宋_GB2312" w:cs="Times New Roman"/>
          <w:sz w:val="32"/>
          <w:szCs w:val="32"/>
        </w:rPr>
        <w:t>；二是</w:t>
      </w:r>
      <w:r>
        <w:rPr>
          <w:rFonts w:hint="default" w:ascii="Times New Roman" w:hAnsi="Times New Roman" w:eastAsia="仿宋_GB2312" w:cs="Times New Roman"/>
          <w:color w:val="000000"/>
          <w:sz w:val="32"/>
          <w:szCs w:val="32"/>
          <w:highlight w:val="none"/>
        </w:rPr>
        <w:t>环境违法行为仍屡禁不止，我区已连续两年发生非法遗弃处置危险废物案件，部分企业和居民的生态环保意识还不够强，环法宣教工作还需进一步加大力度</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三是</w:t>
      </w:r>
      <w:r>
        <w:rPr>
          <w:rFonts w:hint="default" w:ascii="Times New Roman" w:hAnsi="Times New Roman" w:eastAsia="仿宋_GB2312" w:cs="Times New Roman"/>
          <w:color w:val="000000"/>
          <w:sz w:val="32"/>
          <w:szCs w:val="32"/>
          <w:highlight w:val="none"/>
        </w:rPr>
        <w:t>突出环境问题整改仍需继续努力，中央环保督察交办的25个信访件现已办结16个、阶段办结9个、1个正在办理中，省环保督察交办的信访件22个现已办结20个、阶段办结2个。突出环境问题整改压力大、任务重、时间紧，中央、省环保督察及长江经济带警示片反馈披露问题还有16个未完成整改销号</w:t>
      </w:r>
      <w:r>
        <w:rPr>
          <w:rFonts w:ascii="Times New Roman" w:hAnsi="Times New Roman" w:eastAsia="仿宋_GB2312" w:cs="Times New Roman"/>
          <w:sz w:val="32"/>
          <w:szCs w:val="32"/>
        </w:rPr>
        <w:t>。</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color w:val="000000"/>
          <w:sz w:val="32"/>
          <w:szCs w:val="32"/>
          <w:highlight w:val="none"/>
          <w:lang w:val="en-US" w:eastAsia="zh-CN"/>
        </w:rPr>
        <w:t>着力</w:t>
      </w:r>
      <w:r>
        <w:rPr>
          <w:rFonts w:hint="eastAsia" w:ascii="Times New Roman" w:hAnsi="Times New Roman" w:eastAsia="仿宋_GB2312" w:cs="Times New Roman"/>
          <w:color w:val="000000"/>
          <w:sz w:val="32"/>
          <w:szCs w:val="32"/>
          <w:highlight w:val="none"/>
        </w:rPr>
        <w:t>推进</w:t>
      </w:r>
      <w:r>
        <w:rPr>
          <w:rFonts w:hint="eastAsia" w:ascii="Times New Roman" w:hAnsi="Times New Roman" w:eastAsia="仿宋_GB2312" w:cs="Times New Roman"/>
          <w:color w:val="000000"/>
          <w:sz w:val="32"/>
          <w:szCs w:val="32"/>
          <w:highlight w:val="none"/>
          <w:lang w:val="en-US" w:eastAsia="zh-CN"/>
        </w:rPr>
        <w:t>国家级</w:t>
      </w:r>
      <w:r>
        <w:rPr>
          <w:rFonts w:hint="eastAsia" w:ascii="Times New Roman" w:hAnsi="Times New Roman" w:eastAsia="仿宋_GB2312" w:cs="Times New Roman"/>
          <w:color w:val="000000"/>
          <w:sz w:val="32"/>
          <w:szCs w:val="32"/>
          <w:highlight w:val="none"/>
        </w:rPr>
        <w:t>生态示范区创建工作</w:t>
      </w:r>
      <w:r>
        <w:rPr>
          <w:rFonts w:ascii="Times New Roman" w:hAnsi="Times New Roman" w:eastAsia="仿宋_GB2312" w:cs="Times New Roman"/>
          <w:sz w:val="32"/>
          <w:szCs w:val="32"/>
        </w:rPr>
        <w:t>；二是</w:t>
      </w:r>
      <w:r>
        <w:rPr>
          <w:rFonts w:hint="eastAsia" w:ascii="Times New Roman" w:hAnsi="Times New Roman" w:eastAsia="仿宋_GB2312" w:cs="Times New Roman"/>
          <w:color w:val="000000"/>
          <w:sz w:val="32"/>
          <w:szCs w:val="32"/>
          <w:highlight w:val="none"/>
          <w:lang w:val="en-US" w:eastAsia="zh-CN"/>
        </w:rPr>
        <w:t>着力推进蓝天、净土、碧水攻坚战。</w:t>
      </w:r>
      <w:r>
        <w:rPr>
          <w:rFonts w:hint="default" w:ascii="Times New Roman" w:hAnsi="Times New Roman" w:eastAsia="仿宋_GB2312" w:cs="Times New Roman"/>
          <w:color w:val="000000"/>
          <w:sz w:val="32"/>
          <w:szCs w:val="32"/>
          <w:highlight w:val="none"/>
          <w:lang w:val="en-US" w:eastAsia="zh-CN"/>
        </w:rPr>
        <w:t>一是打好“碧水”攻坚战</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三是</w:t>
      </w:r>
      <w:r>
        <w:rPr>
          <w:rFonts w:hint="eastAsia" w:ascii="Times New Roman" w:hAnsi="Times New Roman" w:eastAsia="仿宋_GB2312" w:cs="Times New Roman"/>
          <w:color w:val="000000"/>
          <w:sz w:val="32"/>
          <w:szCs w:val="32"/>
          <w:highlight w:val="none"/>
          <w:lang w:val="en-US" w:eastAsia="zh-CN"/>
        </w:rPr>
        <w:t>着力推进上级环保督察反馈问题整改</w:t>
      </w:r>
      <w:r>
        <w:rPr>
          <w:rFonts w:ascii="Times New Roman" w:hAnsi="Times New Roman" w:eastAsia="仿宋_GB2312" w:cs="Times New Roman"/>
          <w:sz w:val="32"/>
          <w:szCs w:val="32"/>
        </w:rPr>
        <w:t>。</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highlight w:val="none"/>
          <w:lang w:val="en-US" w:eastAsia="zh-CN" w:bidi="ar-SA"/>
        </w:rPr>
        <w:t>本单位为二级预算单位，部门评价结果可详见上级部门决算公开说明</w:t>
      </w:r>
      <w:r>
        <w:rPr>
          <w:rFonts w:ascii="Times New Roman" w:hAnsi="Times New Roman" w:eastAsia="仿宋_GB2312" w:cs="Times New Roman"/>
          <w:sz w:val="32"/>
          <w:szCs w:val="32"/>
        </w:rPr>
        <w:t>。</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bidi="ar-SA"/>
        </w:rPr>
        <w:t>本单位为二级预算单位，事前绩效评估结果可详见上级部门决算公开说明。</w:t>
      </w:r>
    </w:p>
    <w:p w14:paraId="2C89E516">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autoSpaceDE w:val="0"/>
        <w:autoSpaceDN w:val="0"/>
        <w:adjustRightInd w:val="0"/>
        <w:ind w:firstLine="620" w:firstLineChars="200"/>
        <w:jc w:val="left"/>
        <w:rPr>
          <w:rFonts w:hint="eastAsia" w:ascii="仿宋_GB2312" w:hAnsi="仿宋_GB2312" w:eastAsia="仿宋_GB2312" w:cs="仿宋_GB2312"/>
          <w:b w:val="0"/>
          <w:bCs w:val="0"/>
          <w:sz w:val="32"/>
          <w:szCs w:val="32"/>
          <w:lang w:val="en-US" w:eastAsia="zh-CN"/>
        </w:rPr>
      </w:pPr>
      <w:r>
        <w:rPr>
          <w:rFonts w:hint="default" w:ascii="仿宋" w:hAnsi="仿宋" w:eastAsia="仿宋" w:cs="仿宋"/>
          <w:kern w:val="0"/>
          <w:sz w:val="31"/>
          <w:szCs w:val="31"/>
          <w:lang w:eastAsia="en-US"/>
        </w:rPr>
        <w:t>本单位绩效自评结果为</w:t>
      </w:r>
      <w:r>
        <w:rPr>
          <w:rFonts w:hint="eastAsia" w:ascii="仿宋" w:hAnsi="仿宋" w:eastAsia="仿宋" w:cs="仿宋"/>
          <w:kern w:val="0"/>
          <w:sz w:val="31"/>
          <w:szCs w:val="31"/>
          <w:lang w:eastAsia="zh-CN"/>
        </w:rPr>
        <w:t>优秀</w:t>
      </w:r>
      <w:r>
        <w:rPr>
          <w:rFonts w:hint="default" w:ascii="仿宋" w:hAnsi="仿宋" w:eastAsia="仿宋" w:cs="仿宋"/>
          <w:kern w:val="0"/>
          <w:sz w:val="31"/>
          <w:szCs w:val="31"/>
          <w:lang w:eastAsia="en-US"/>
        </w:rPr>
        <w:t>等级。下一步将根据财政检查绩效自评发现的问题等进行改善，并按政务公开的相关规定，</w:t>
      </w:r>
      <w:r>
        <w:rPr>
          <w:rFonts w:hint="eastAsia" w:ascii="仿宋_GB2312" w:hAnsi="仿宋_GB2312" w:eastAsia="仿宋_GB2312" w:cs="仿宋_GB2312"/>
          <w:b w:val="0"/>
          <w:bCs w:val="0"/>
          <w:sz w:val="32"/>
          <w:szCs w:val="32"/>
          <w:lang w:val="en-US" w:eastAsia="zh-CN"/>
        </w:rPr>
        <w:t>已在市政府部门财政预决算公开平台上向社会公开，详见附件。</w:t>
      </w:r>
    </w:p>
    <w:p w14:paraId="62BEA247">
      <w:pPr>
        <w:pStyle w:val="2"/>
        <w:rPr>
          <w:rFonts w:hint="eastAsia"/>
          <w:lang w:val="en-US" w:eastAsia="zh-CN"/>
        </w:rPr>
      </w:pPr>
    </w:p>
    <w:p w14:paraId="3971199E">
      <w:pPr>
        <w:numPr>
          <w:ilvl w:val="0"/>
          <w:numId w:val="0"/>
        </w:numPr>
        <w:autoSpaceDE w:val="0"/>
        <w:autoSpaceDN w:val="0"/>
        <w:adjustRightInd w:val="0"/>
        <w:jc w:val="left"/>
        <w:rPr>
          <w:sz w:val="72"/>
          <w:szCs w:val="72"/>
        </w:rPr>
      </w:pPr>
    </w:p>
    <w:p w14:paraId="147E06D0">
      <w:pPr>
        <w:pStyle w:val="13"/>
        <w:jc w:val="both"/>
        <w:rPr>
          <w:rFonts w:hint="eastAsia" w:ascii="方正小标宋_GBK" w:hAnsi="方正小标宋_GBK" w:eastAsia="方正小标宋_GBK" w:cs="方正小标宋_GBK"/>
          <w:sz w:val="24"/>
          <w:szCs w:val="24"/>
        </w:rPr>
      </w:pPr>
    </w:p>
    <w:p w14:paraId="5515AA26">
      <w:pPr>
        <w:pStyle w:val="13"/>
        <w:jc w:val="both"/>
        <w:rPr>
          <w:rFonts w:hint="eastAsia" w:ascii="方正小标宋_GBK" w:hAnsi="方正小标宋_GBK" w:eastAsia="方正小标宋_GBK" w:cs="方正小标宋_GBK"/>
          <w:sz w:val="24"/>
          <w:szCs w:val="24"/>
        </w:rPr>
      </w:pPr>
    </w:p>
    <w:p w14:paraId="2D4A1991">
      <w:pPr>
        <w:pStyle w:val="13"/>
        <w:jc w:val="both"/>
        <w:rPr>
          <w:rFonts w:hint="eastAsia" w:ascii="方正小标宋_GBK" w:hAnsi="方正小标宋_GBK" w:eastAsia="方正小标宋_GBK" w:cs="方正小标宋_GBK"/>
          <w:sz w:val="24"/>
          <w:szCs w:val="24"/>
        </w:rPr>
      </w:pPr>
    </w:p>
    <w:p w14:paraId="61121CB9">
      <w:pPr>
        <w:pStyle w:val="13"/>
        <w:jc w:val="both"/>
        <w:rPr>
          <w:rFonts w:hint="eastAsia" w:ascii="方正小标宋_GBK" w:hAnsi="方正小标宋_GBK" w:eastAsia="方正小标宋_GBK" w:cs="方正小标宋_GBK"/>
          <w:sz w:val="24"/>
          <w:szCs w:val="24"/>
        </w:rPr>
      </w:pPr>
    </w:p>
    <w:p w14:paraId="42B655A1">
      <w:pPr>
        <w:pStyle w:val="13"/>
        <w:jc w:val="both"/>
        <w:rPr>
          <w:rFonts w:hint="eastAsia" w:ascii="方正小标宋_GBK" w:hAnsi="方正小标宋_GBK" w:eastAsia="方正小标宋_GBK" w:cs="方正小标宋_GBK"/>
          <w:sz w:val="24"/>
          <w:szCs w:val="24"/>
        </w:rPr>
      </w:pPr>
    </w:p>
    <w:p w14:paraId="5C7B53F4">
      <w:pPr>
        <w:pStyle w:val="13"/>
        <w:jc w:val="both"/>
        <w:rPr>
          <w:rFonts w:hint="eastAsia" w:ascii="方正小标宋_GBK" w:hAnsi="方正小标宋_GBK" w:eastAsia="方正小标宋_GBK" w:cs="方正小标宋_GBK"/>
          <w:sz w:val="24"/>
          <w:szCs w:val="24"/>
        </w:rPr>
      </w:pPr>
    </w:p>
    <w:p w14:paraId="155F0A2A">
      <w:pPr>
        <w:pStyle w:val="13"/>
        <w:jc w:val="both"/>
        <w:rPr>
          <w:rFonts w:hint="eastAsia" w:ascii="方正小标宋_GBK" w:hAnsi="方正小标宋_GBK" w:eastAsia="方正小标宋_GBK" w:cs="方正小标宋_GBK"/>
          <w:sz w:val="24"/>
          <w:szCs w:val="24"/>
        </w:rPr>
      </w:pPr>
    </w:p>
    <w:p w14:paraId="7E5E1E77">
      <w:pPr>
        <w:pStyle w:val="13"/>
        <w:jc w:val="both"/>
        <w:rPr>
          <w:rFonts w:hint="eastAsia" w:ascii="方正小标宋_GBK" w:hAnsi="方正小标宋_GBK" w:eastAsia="方正小标宋_GBK" w:cs="方正小标宋_GBK"/>
          <w:sz w:val="24"/>
          <w:szCs w:val="24"/>
        </w:rPr>
      </w:pPr>
    </w:p>
    <w:p w14:paraId="0EAD01F6">
      <w:pPr>
        <w:pStyle w:val="13"/>
        <w:jc w:val="both"/>
        <w:rPr>
          <w:rFonts w:hint="eastAsia" w:ascii="方正小标宋_GBK" w:hAnsi="方正小标宋_GBK" w:eastAsia="方正小标宋_GBK" w:cs="方正小标宋_GBK"/>
          <w:sz w:val="24"/>
          <w:szCs w:val="24"/>
        </w:rPr>
      </w:pPr>
    </w:p>
    <w:p w14:paraId="62AB7D4C">
      <w:pPr>
        <w:pStyle w:val="13"/>
        <w:jc w:val="both"/>
        <w:rPr>
          <w:rFonts w:hint="eastAsia" w:ascii="方正小标宋_GBK" w:hAnsi="方正小标宋_GBK" w:eastAsia="方正小标宋_GBK" w:cs="方正小标宋_GBK"/>
          <w:sz w:val="24"/>
          <w:szCs w:val="24"/>
        </w:rPr>
      </w:pPr>
    </w:p>
    <w:p w14:paraId="34B3CC53">
      <w:pPr>
        <w:pStyle w:val="13"/>
        <w:jc w:val="both"/>
        <w:rPr>
          <w:rFonts w:hint="eastAsia" w:ascii="方正小标宋_GBK" w:hAnsi="方正小标宋_GBK" w:eastAsia="方正小标宋_GBK" w:cs="方正小标宋_GBK"/>
          <w:sz w:val="24"/>
          <w:szCs w:val="24"/>
        </w:rPr>
      </w:pPr>
    </w:p>
    <w:p w14:paraId="257638A7">
      <w:pPr>
        <w:pStyle w:val="13"/>
        <w:jc w:val="both"/>
        <w:rPr>
          <w:rFonts w:hint="eastAsia" w:ascii="方正小标宋_GBK" w:hAnsi="方正小标宋_GBK" w:eastAsia="方正小标宋_GBK" w:cs="方正小标宋_GBK"/>
          <w:sz w:val="24"/>
          <w:szCs w:val="24"/>
        </w:rPr>
      </w:pPr>
    </w:p>
    <w:p w14:paraId="3D83FDA1">
      <w:pPr>
        <w:pStyle w:val="13"/>
        <w:jc w:val="center"/>
        <w:rPr>
          <w:rFonts w:hint="eastAsia" w:ascii="方正小标宋_GBK" w:hAnsi="方正小标宋_GBK" w:eastAsia="方正小标宋_GBK" w:cs="方正小标宋_GBK"/>
          <w:sz w:val="72"/>
          <w:szCs w:val="72"/>
        </w:rPr>
      </w:pPr>
    </w:p>
    <w:p w14:paraId="6FB6F211">
      <w:pPr>
        <w:pStyle w:val="13"/>
        <w:jc w:val="center"/>
        <w:rPr>
          <w:rFonts w:hint="eastAsia" w:ascii="方正小标宋_GBK" w:hAnsi="方正小标宋_GBK" w:eastAsia="方正小标宋_GBK" w:cs="方正小标宋_GBK"/>
          <w:sz w:val="72"/>
          <w:szCs w:val="72"/>
        </w:rPr>
      </w:pPr>
    </w:p>
    <w:p w14:paraId="3A01B6B0">
      <w:pPr>
        <w:pStyle w:val="13"/>
        <w:jc w:val="center"/>
        <w:rPr>
          <w:rFonts w:hint="eastAsia" w:ascii="方正小标宋_GBK" w:hAnsi="方正小标宋_GBK" w:eastAsia="方正小标宋_GBK" w:cs="方正小标宋_GBK"/>
          <w:sz w:val="72"/>
          <w:szCs w:val="72"/>
        </w:rPr>
      </w:pPr>
    </w:p>
    <w:p w14:paraId="475C1000">
      <w:pPr>
        <w:pStyle w:val="13"/>
        <w:jc w:val="center"/>
        <w:rPr>
          <w:rFonts w:hint="eastAsia" w:ascii="方正小标宋_GBK" w:hAnsi="方正小标宋_GBK" w:eastAsia="方正小标宋_GBK" w:cs="方正小标宋_GBK"/>
          <w:sz w:val="72"/>
          <w:szCs w:val="72"/>
        </w:rPr>
      </w:pPr>
    </w:p>
    <w:p w14:paraId="6A5A782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18EAE6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3"/>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3"/>
        <w:jc w:val="both"/>
        <w:rPr>
          <w:rFonts w:hint="eastAsia" w:ascii="方正小标宋_GBK" w:hAnsi="方正小标宋_GBK" w:eastAsia="方正小标宋_GBK" w:cs="方正小标宋_GBK"/>
          <w:sz w:val="72"/>
          <w:szCs w:val="72"/>
        </w:rPr>
      </w:pPr>
    </w:p>
    <w:p w14:paraId="0C1858E3">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3"/>
        <w:jc w:val="both"/>
        <w:rPr>
          <w:rFonts w:hint="eastAsia" w:ascii="方正小标宋_GBK" w:hAnsi="方正小标宋_GBK" w:eastAsia="方正小标宋_GBK" w:cs="方正小标宋_GBK"/>
          <w:sz w:val="70"/>
          <w:szCs w:val="70"/>
          <w:lang w:eastAsia="zh-CN"/>
        </w:rPr>
      </w:pPr>
    </w:p>
    <w:p w14:paraId="490142D3">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E3CBC331"/>
    <w:multiLevelType w:val="singleLevel"/>
    <w:tmpl w:val="E3CBC331"/>
    <w:lvl w:ilvl="0" w:tentative="0">
      <w:start w:val="3"/>
      <w:numFmt w:val="decimal"/>
      <w:lvlText w:val="%1."/>
      <w:lvlJc w:val="left"/>
      <w:pPr>
        <w:tabs>
          <w:tab w:val="left" w:pos="312"/>
        </w:tabs>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4581CB1"/>
    <w:rsid w:val="059958AD"/>
    <w:rsid w:val="06C857E7"/>
    <w:rsid w:val="08C24A73"/>
    <w:rsid w:val="11944E2C"/>
    <w:rsid w:val="12583BA5"/>
    <w:rsid w:val="13BA5B9C"/>
    <w:rsid w:val="1D97DEFF"/>
    <w:rsid w:val="1DFF72E5"/>
    <w:rsid w:val="1EFC6F07"/>
    <w:rsid w:val="1F0527A6"/>
    <w:rsid w:val="22AC03C2"/>
    <w:rsid w:val="23DF164F"/>
    <w:rsid w:val="283B15FE"/>
    <w:rsid w:val="2FDF85B8"/>
    <w:rsid w:val="2FFFEE04"/>
    <w:rsid w:val="31C95635"/>
    <w:rsid w:val="34DF85B0"/>
    <w:rsid w:val="3A99254B"/>
    <w:rsid w:val="3B8F36BC"/>
    <w:rsid w:val="43EB5BA5"/>
    <w:rsid w:val="491FF225"/>
    <w:rsid w:val="4EC310A1"/>
    <w:rsid w:val="4FFD214C"/>
    <w:rsid w:val="5352765A"/>
    <w:rsid w:val="55A848AF"/>
    <w:rsid w:val="5777D4F5"/>
    <w:rsid w:val="57F22B6F"/>
    <w:rsid w:val="59DD8326"/>
    <w:rsid w:val="5AC73C28"/>
    <w:rsid w:val="5D0D28E7"/>
    <w:rsid w:val="5DEF592A"/>
    <w:rsid w:val="5FC6BB1E"/>
    <w:rsid w:val="5FF720F1"/>
    <w:rsid w:val="622964C1"/>
    <w:rsid w:val="637779CB"/>
    <w:rsid w:val="67FF5C0B"/>
    <w:rsid w:val="6A18009C"/>
    <w:rsid w:val="6BAA4A2F"/>
    <w:rsid w:val="6DDEC5C0"/>
    <w:rsid w:val="6EFC0924"/>
    <w:rsid w:val="6FB74722"/>
    <w:rsid w:val="6FEF8B7E"/>
    <w:rsid w:val="717FE77F"/>
    <w:rsid w:val="71A6591B"/>
    <w:rsid w:val="737D59BA"/>
    <w:rsid w:val="737F32B1"/>
    <w:rsid w:val="73BD3FCA"/>
    <w:rsid w:val="755A1EB0"/>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semiHidden/>
    <w:qFormat/>
    <w:uiPriority w:val="0"/>
    <w:pPr>
      <w:widowControl w:val="0"/>
      <w:jc w:val="both"/>
    </w:pPr>
    <w:rPr>
      <w:rFonts w:ascii="仿宋" w:hAnsi="仿宋" w:eastAsia="仿宋" w:cs="仿宋"/>
      <w:kern w:val="2"/>
      <w:sz w:val="31"/>
      <w:szCs w:val="31"/>
      <w:lang w:val="en-US" w:eastAsia="en-US" w:bidi="ar-SA"/>
    </w:rPr>
  </w:style>
  <w:style w:type="paragraph" w:styleId="6">
    <w:name w:val="Balloon Text"/>
    <w:basedOn w:val="1"/>
    <w:link w:val="15"/>
    <w:semiHidden/>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99"/>
    <w:rPr>
      <w:sz w:val="18"/>
      <w:szCs w:val="18"/>
    </w:rPr>
  </w:style>
  <w:style w:type="character" w:customStyle="1" w:styleId="12">
    <w:name w:val="页脚 Char"/>
    <w:basedOn w:val="10"/>
    <w:link w:val="7"/>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8686</Words>
  <Characters>9363</Characters>
  <Lines>63</Lines>
  <Paragraphs>18</Paragraphs>
  <TotalTime>1</TotalTime>
  <ScaleCrop>false</ScaleCrop>
  <LinksUpToDate>false</LinksUpToDate>
  <CharactersWithSpaces>9381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Y</cp:lastModifiedBy>
  <cp:lastPrinted>2024-08-11T02:20:00Z</cp:lastPrinted>
  <dcterms:modified xsi:type="dcterms:W3CDTF">2025-09-24T10:01:00Z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582685D1CAB840E887D41790E6F9D180_13</vt:lpwstr>
  </property>
  <property fmtid="{D5CDD505-2E9C-101B-9397-08002B2CF9AE}" pid="4" name="KSOTemplateDocerSaveRecord">
    <vt:lpwstr>eyJoZGlkIjoiYTI1ZWRhODIzZjNkMzE5ODI3Y2UwZTM2NjQ3YjE4YjIiLCJ1c2VySWQiOiI1Mzg0MzA5MzAifQ==</vt:lpwstr>
  </property>
</Properties>
</file>