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3"/>
        <w:jc w:val="center"/>
        <w:rPr>
          <w:sz w:val="56"/>
          <w:szCs w:val="56"/>
        </w:rPr>
      </w:pPr>
    </w:p>
    <w:p w14:paraId="3BDF5AB8">
      <w:pPr>
        <w:pStyle w:val="13"/>
        <w:jc w:val="center"/>
        <w:rPr>
          <w:sz w:val="56"/>
          <w:szCs w:val="56"/>
        </w:rPr>
      </w:pPr>
    </w:p>
    <w:p w14:paraId="60CA4575">
      <w:pPr>
        <w:pStyle w:val="13"/>
        <w:jc w:val="center"/>
        <w:rPr>
          <w:sz w:val="84"/>
          <w:szCs w:val="84"/>
        </w:rPr>
      </w:pPr>
    </w:p>
    <w:p w14:paraId="215EB31D">
      <w:pPr>
        <w:pStyle w:val="13"/>
        <w:jc w:val="center"/>
        <w:rPr>
          <w:sz w:val="84"/>
          <w:szCs w:val="84"/>
        </w:rPr>
      </w:pPr>
    </w:p>
    <w:p w14:paraId="376C8602">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r>
        <w:rPr>
          <w:rFonts w:hint="eastAsia" w:ascii="方正小标宋_GBK" w:hAnsi="方正小标宋_GBK" w:eastAsia="方正小标宋_GBK" w:cs="方正小标宋_GBK"/>
          <w:sz w:val="84"/>
          <w:szCs w:val="84"/>
          <w:lang w:eastAsia="zh-CN"/>
        </w:rPr>
        <w:t>湘阴分局</w:t>
      </w:r>
      <w:r>
        <w:rPr>
          <w:rFonts w:hint="eastAsia" w:ascii="方正小标宋_GBK" w:hAnsi="方正小标宋_GBK" w:eastAsia="方正小标宋_GBK" w:cs="方正小标宋_GBK"/>
          <w:sz w:val="84"/>
          <w:szCs w:val="84"/>
        </w:rPr>
        <w:t>部门（单位）部门决算</w:t>
      </w:r>
    </w:p>
    <w:p w14:paraId="25018D25">
      <w:pPr>
        <w:pStyle w:val="13"/>
        <w:jc w:val="center"/>
        <w:rPr>
          <w:sz w:val="56"/>
          <w:szCs w:val="56"/>
        </w:rPr>
      </w:pPr>
    </w:p>
    <w:p w14:paraId="5EE73A38">
      <w:pPr>
        <w:pStyle w:val="13"/>
        <w:jc w:val="center"/>
        <w:rPr>
          <w:sz w:val="56"/>
          <w:szCs w:val="56"/>
        </w:rPr>
      </w:pPr>
    </w:p>
    <w:p w14:paraId="297571C5">
      <w:pPr>
        <w:pStyle w:val="13"/>
        <w:jc w:val="center"/>
        <w:rPr>
          <w:sz w:val="32"/>
          <w:szCs w:val="32"/>
        </w:rPr>
      </w:pPr>
    </w:p>
    <w:p w14:paraId="08493D1E">
      <w:pPr>
        <w:pStyle w:val="13"/>
        <w:jc w:val="center"/>
        <w:rPr>
          <w:sz w:val="32"/>
          <w:szCs w:val="32"/>
        </w:rPr>
      </w:pPr>
    </w:p>
    <w:p w14:paraId="5BD6E8BD">
      <w:pPr>
        <w:pStyle w:val="13"/>
        <w:jc w:val="center"/>
        <w:rPr>
          <w:sz w:val="32"/>
          <w:szCs w:val="32"/>
        </w:rPr>
      </w:pPr>
    </w:p>
    <w:p w14:paraId="1062A3B4">
      <w:pPr>
        <w:pStyle w:val="13"/>
        <w:jc w:val="center"/>
        <w:rPr>
          <w:sz w:val="32"/>
          <w:szCs w:val="32"/>
        </w:rPr>
      </w:pPr>
    </w:p>
    <w:p w14:paraId="6311DFC7">
      <w:pPr>
        <w:pStyle w:val="13"/>
        <w:jc w:val="center"/>
        <w:rPr>
          <w:sz w:val="32"/>
          <w:szCs w:val="32"/>
        </w:rPr>
      </w:pPr>
    </w:p>
    <w:p w14:paraId="50228290">
      <w:pPr>
        <w:pStyle w:val="13"/>
        <w:spacing w:line="540" w:lineRule="exact"/>
        <w:jc w:val="center"/>
        <w:rPr>
          <w:sz w:val="56"/>
          <w:szCs w:val="56"/>
        </w:rPr>
      </w:pPr>
    </w:p>
    <w:p w14:paraId="459C483D">
      <w:pPr>
        <w:pStyle w:val="13"/>
        <w:spacing w:line="500" w:lineRule="exact"/>
        <w:jc w:val="both"/>
        <w:rPr>
          <w:b/>
          <w:sz w:val="36"/>
          <w:szCs w:val="28"/>
        </w:rPr>
      </w:pPr>
    </w:p>
    <w:p w14:paraId="24F3309B">
      <w:pPr>
        <w:pStyle w:val="13"/>
        <w:spacing w:line="500" w:lineRule="exact"/>
        <w:jc w:val="center"/>
        <w:rPr>
          <w:b/>
          <w:sz w:val="36"/>
          <w:szCs w:val="28"/>
        </w:rPr>
      </w:pPr>
      <w:r>
        <w:rPr>
          <w:rFonts w:hint="eastAsia"/>
          <w:b/>
          <w:sz w:val="36"/>
          <w:szCs w:val="28"/>
        </w:rPr>
        <w:t>目录</w:t>
      </w:r>
    </w:p>
    <w:p w14:paraId="6CBD0C22">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w:t>
      </w:r>
      <w:r>
        <w:rPr>
          <w:rFonts w:hint="eastAsia" w:hAnsi="黑体" w:cs="黑体"/>
          <w:b w:val="0"/>
          <w:bCs/>
          <w:sz w:val="28"/>
          <w:szCs w:val="28"/>
          <w:lang w:eastAsia="zh-CN"/>
        </w:rPr>
        <w:t>湘阴分局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3"/>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3"/>
        <w:jc w:val="center"/>
        <w:rPr>
          <w:rFonts w:hint="eastAsia" w:ascii="方正小标宋_GBK" w:hAnsi="方正小标宋_GBK" w:eastAsia="方正小标宋_GBK" w:cs="方正小标宋_GBK"/>
          <w:sz w:val="84"/>
          <w:szCs w:val="84"/>
        </w:rPr>
      </w:pPr>
    </w:p>
    <w:p w14:paraId="1095DEAB">
      <w:pPr>
        <w:pStyle w:val="13"/>
        <w:jc w:val="center"/>
        <w:rPr>
          <w:rFonts w:hint="eastAsia" w:ascii="方正小标宋_GBK" w:hAnsi="方正小标宋_GBK" w:eastAsia="方正小标宋_GBK" w:cs="方正小标宋_GBK"/>
          <w:sz w:val="84"/>
          <w:szCs w:val="84"/>
        </w:rPr>
      </w:pPr>
    </w:p>
    <w:p w14:paraId="0DEEC249">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3"/>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r>
        <w:rPr>
          <w:rFonts w:hint="eastAsia" w:ascii="方正小标宋_GBK" w:hAnsi="方正小标宋_GBK" w:eastAsia="方正小标宋_GBK" w:cs="方正小标宋_GBK"/>
          <w:sz w:val="84"/>
          <w:szCs w:val="84"/>
          <w:lang w:eastAsia="zh-CN"/>
        </w:rPr>
        <w:t>湘阴分局部门（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1469560B">
      <w:pPr>
        <w:pStyle w:val="3"/>
        <w:rPr>
          <w:rFonts w:hint="eastAsia" w:ascii="方正小标宋_GBK" w:hAnsi="方正小标宋_GBK" w:eastAsia="方正小标宋_GBK" w:cs="方正小标宋_GBK"/>
          <w:sz w:val="84"/>
          <w:szCs w:val="84"/>
        </w:rPr>
      </w:pPr>
    </w:p>
    <w:p w14:paraId="55E857AF">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1430261F">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依照国家和省市有关法律、法规、政策，对全县环境保护工作实施统一监督管理，保护和改善生活环境与生态环境，防治污染和其他公害，保障公民身体健康，促进经济和社会持续、协调、健康的发展。</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8AE043A">
      <w:pPr>
        <w:widowControl/>
        <w:spacing w:line="600" w:lineRule="exact"/>
        <w:ind w:firstLine="640" w:firstLineChars="200"/>
        <w:rPr>
          <w:rFonts w:hint="eastAsia"/>
        </w:rPr>
      </w:pPr>
      <w:r>
        <w:rPr>
          <w:rFonts w:hint="eastAsia" w:ascii="Times New Roman" w:hAnsi="Times New Roman" w:eastAsia="仿宋_GB2312" w:cs="仿宋_GB2312"/>
          <w:bCs/>
          <w:kern w:val="0"/>
          <w:sz w:val="32"/>
          <w:szCs w:val="32"/>
        </w:rPr>
        <w:t>（一）内设机构设置。岳阳市生态环境局</w:t>
      </w:r>
      <w:r>
        <w:rPr>
          <w:rFonts w:hint="eastAsia" w:ascii="Times New Roman" w:hAnsi="Times New Roman" w:eastAsia="仿宋_GB2312" w:cs="仿宋_GB2312"/>
          <w:bCs/>
          <w:kern w:val="0"/>
          <w:sz w:val="32"/>
          <w:szCs w:val="32"/>
          <w:lang w:eastAsia="zh-CN"/>
        </w:rPr>
        <w:t>湘阴分局</w:t>
      </w:r>
      <w:r>
        <w:rPr>
          <w:rFonts w:hint="eastAsia" w:ascii="Times New Roman" w:hAnsi="Times New Roman" w:eastAsia="仿宋_GB2312" w:cs="仿宋_GB2312"/>
          <w:bCs/>
          <w:kern w:val="0"/>
          <w:sz w:val="32"/>
          <w:szCs w:val="32"/>
        </w:rPr>
        <w:t>单位内设机构包括：</w:t>
      </w:r>
      <w:r>
        <w:rPr>
          <w:rFonts w:hint="eastAsia" w:ascii="Times New Roman" w:hAnsi="Times New Roman" w:eastAsia="仿宋_GB2312" w:cs="仿宋_GB2312"/>
          <w:bCs/>
          <w:kern w:val="0"/>
          <w:sz w:val="32"/>
          <w:szCs w:val="32"/>
        </w:rPr>
        <w:t>办公室、科财股、水生态环境股、人事股、法制股、党建办、工会、大气股、行政审批股、应急中心、土壤股、固废站、生态环境监督股、信息中心14个股室。下辖综合行政执法大队、环境监测站2个二级机构全部纳入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年决算编制范围。</w:t>
      </w:r>
      <w:r>
        <w:rPr>
          <w:rFonts w:hint="eastAsia" w:ascii="Times New Roman" w:hAnsi="Times New Roman" w:eastAsia="仿宋_GB2312" w:cs="仿宋_GB2312"/>
          <w:bCs/>
          <w:kern w:val="0"/>
          <w:sz w:val="32"/>
          <w:szCs w:val="32"/>
        </w:rPr>
        <w:t>现有在职职工97人，其中：行政人员32人、事业人员65人（全额事业人员65人）；离退休人员31人（全额退休人员31人）</w:t>
      </w:r>
      <w:r>
        <w:rPr>
          <w:rFonts w:hint="eastAsia" w:ascii="Times New Roman" w:hAnsi="Times New Roman" w:eastAsia="仿宋_GB2312" w:cs="仿宋_GB2312"/>
          <w:bCs/>
          <w:kern w:val="0"/>
          <w:sz w:val="32"/>
          <w:szCs w:val="32"/>
        </w:rPr>
        <w:t>。</w:t>
      </w:r>
    </w:p>
    <w:p w14:paraId="4B709876">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w:t>
      </w:r>
      <w:r>
        <w:rPr>
          <w:rFonts w:hint="eastAsia" w:ascii="Times New Roman" w:hAnsi="Times New Roman" w:eastAsia="仿宋_GB2312" w:cs="仿宋_GB2312"/>
          <w:bCs/>
          <w:kern w:val="0"/>
          <w:sz w:val="32"/>
          <w:szCs w:val="32"/>
        </w:rPr>
        <w:t>岳阳市生态环境局</w:t>
      </w:r>
      <w:r>
        <w:rPr>
          <w:rFonts w:hint="eastAsia" w:ascii="Times New Roman" w:hAnsi="Times New Roman" w:eastAsia="仿宋_GB2312" w:cs="仿宋_GB2312"/>
          <w:bCs/>
          <w:kern w:val="0"/>
          <w:sz w:val="32"/>
          <w:szCs w:val="32"/>
          <w:lang w:eastAsia="zh-CN"/>
        </w:rPr>
        <w:t>湘阴分局</w:t>
      </w:r>
      <w:r>
        <w:rPr>
          <w:rFonts w:hint="eastAsia" w:ascii="Times New Roman" w:hAnsi="Times New Roman" w:eastAsia="仿宋_GB2312" w:cs="仿宋_GB2312"/>
          <w:bCs/>
          <w:kern w:val="0"/>
          <w:sz w:val="32"/>
          <w:szCs w:val="32"/>
          <w:lang w:val="en-US" w:eastAsia="zh-CN"/>
        </w:rPr>
        <w:t>单位本级</w:t>
      </w:r>
      <w:r>
        <w:rPr>
          <w:rFonts w:hint="eastAsia" w:ascii="Times New Roman" w:hAnsi="Times New Roman" w:eastAsia="仿宋_GB2312" w:cs="仿宋_GB2312"/>
          <w:bCs/>
          <w:kern w:val="0"/>
          <w:sz w:val="32"/>
          <w:szCs w:val="32"/>
        </w:rPr>
        <w:t>。</w:t>
      </w:r>
    </w:p>
    <w:p w14:paraId="0DD3E46C">
      <w:pPr>
        <w:jc w:val="left"/>
        <w:rPr>
          <w:rFonts w:hint="eastAsia" w:ascii="Times New Roman" w:hAnsi="Times New Roman" w:eastAsia="仿宋_GB2312" w:cs="仿宋_GB2312"/>
          <w:bCs/>
          <w:kern w:val="0"/>
          <w:sz w:val="32"/>
          <w:szCs w:val="32"/>
        </w:rPr>
      </w:pPr>
    </w:p>
    <w:p w14:paraId="38152785"/>
    <w:p w14:paraId="3CE56614">
      <w:pPr>
        <w:pStyle w:val="2"/>
      </w:pPr>
    </w:p>
    <w:p w14:paraId="70B4D569">
      <w:pPr>
        <w:pStyle w:val="3"/>
      </w:pPr>
    </w:p>
    <w:p w14:paraId="077960DB"/>
    <w:p w14:paraId="433B66EF">
      <w:pPr>
        <w:pStyle w:val="2"/>
      </w:pPr>
    </w:p>
    <w:p w14:paraId="7C3448CB">
      <w:pPr>
        <w:pStyle w:val="3"/>
      </w:pPr>
    </w:p>
    <w:p w14:paraId="565773AA"/>
    <w:p w14:paraId="337D38DD">
      <w:pPr>
        <w:pStyle w:val="2"/>
      </w:pPr>
    </w:p>
    <w:p w14:paraId="048AE626">
      <w:pPr>
        <w:pStyle w:val="3"/>
      </w:pPr>
    </w:p>
    <w:p w14:paraId="358AD85B"/>
    <w:p w14:paraId="09F68A1C">
      <w:pPr>
        <w:pStyle w:val="2"/>
      </w:pPr>
    </w:p>
    <w:p w14:paraId="4F43F9C3">
      <w:pPr>
        <w:pStyle w:val="3"/>
      </w:pPr>
    </w:p>
    <w:p w14:paraId="12340C5F"/>
    <w:p w14:paraId="143E46A5">
      <w:pPr>
        <w:pStyle w:val="2"/>
      </w:pPr>
    </w:p>
    <w:p w14:paraId="2946FB65">
      <w:pPr>
        <w:pStyle w:val="3"/>
      </w:pPr>
    </w:p>
    <w:p w14:paraId="28A1593D"/>
    <w:p w14:paraId="26B0AA77">
      <w:pPr>
        <w:pStyle w:val="2"/>
      </w:pPr>
    </w:p>
    <w:p w14:paraId="7991FFBA">
      <w:pPr>
        <w:pStyle w:val="3"/>
      </w:pPr>
    </w:p>
    <w:p w14:paraId="7FFB1518"/>
    <w:p w14:paraId="5B1D6CBC"/>
    <w:p w14:paraId="01206267">
      <w:pPr>
        <w:pStyle w:val="2"/>
      </w:pPr>
    </w:p>
    <w:p w14:paraId="0464CF32">
      <w:pPr>
        <w:pStyle w:val="3"/>
      </w:pPr>
    </w:p>
    <w:p w14:paraId="78F2E1F2"/>
    <w:p w14:paraId="7A6722B9">
      <w:pPr>
        <w:pStyle w:val="2"/>
      </w:pPr>
    </w:p>
    <w:p w14:paraId="7D6C31E4">
      <w:pPr>
        <w:pStyle w:val="2"/>
      </w:pPr>
    </w:p>
    <w:p w14:paraId="056E4ECA">
      <w:pPr>
        <w:pStyle w:val="3"/>
      </w:pPr>
    </w:p>
    <w:p w14:paraId="661BBFC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3"/>
        <w:jc w:val="center"/>
        <w:rPr>
          <w:rFonts w:hint="eastAsia" w:ascii="方正小标宋_GBK" w:hAnsi="方正小标宋_GBK" w:eastAsia="方正小标宋_GBK" w:cs="方正小标宋_GBK"/>
          <w:sz w:val="84"/>
          <w:szCs w:val="84"/>
        </w:rPr>
      </w:pPr>
    </w:p>
    <w:p w14:paraId="3860F185">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3"/>
        <w:jc w:val="center"/>
        <w:rPr>
          <w:rFonts w:hint="eastAsia" w:ascii="仿宋_GB2312" w:hAnsi="仿宋_GB2312" w:eastAsia="仿宋_GB2312" w:cs="仿宋_GB2312"/>
          <w:b w:val="0"/>
          <w:bCs w:val="0"/>
          <w:sz w:val="72"/>
          <w:szCs w:val="72"/>
          <w:lang w:eastAsia="zh-CN"/>
        </w:rPr>
      </w:pPr>
    </w:p>
    <w:p w14:paraId="0568D1B8">
      <w:pPr>
        <w:pStyle w:val="13"/>
        <w:jc w:val="center"/>
        <w:rPr>
          <w:rFonts w:hint="eastAsia" w:ascii="仿宋_GB2312" w:hAnsi="仿宋_GB2312" w:eastAsia="仿宋_GB2312" w:cs="仿宋_GB2312"/>
          <w:b w:val="0"/>
          <w:bCs w:val="0"/>
          <w:sz w:val="72"/>
          <w:szCs w:val="72"/>
          <w:lang w:eastAsia="zh-CN"/>
        </w:rPr>
      </w:pPr>
    </w:p>
    <w:p w14:paraId="5C65B646">
      <w:pPr>
        <w:pStyle w:val="13"/>
        <w:jc w:val="center"/>
        <w:rPr>
          <w:rFonts w:hint="eastAsia" w:ascii="仿宋_GB2312" w:hAnsi="仿宋_GB2312" w:eastAsia="仿宋_GB2312" w:cs="仿宋_GB2312"/>
          <w:b w:val="0"/>
          <w:bCs w:val="0"/>
          <w:sz w:val="72"/>
          <w:szCs w:val="72"/>
          <w:lang w:eastAsia="zh-CN"/>
        </w:rPr>
      </w:pPr>
    </w:p>
    <w:p w14:paraId="62EA5E89">
      <w:pPr>
        <w:pStyle w:val="13"/>
        <w:jc w:val="center"/>
        <w:rPr>
          <w:rFonts w:hint="eastAsia" w:ascii="仿宋_GB2312" w:hAnsi="仿宋_GB2312" w:eastAsia="仿宋_GB2312" w:cs="仿宋_GB2312"/>
          <w:b w:val="0"/>
          <w:bCs w:val="0"/>
          <w:sz w:val="72"/>
          <w:szCs w:val="72"/>
          <w:lang w:eastAsia="zh-CN"/>
        </w:rPr>
      </w:pPr>
    </w:p>
    <w:p w14:paraId="63BFFD84">
      <w:pPr>
        <w:pStyle w:val="13"/>
        <w:jc w:val="center"/>
        <w:rPr>
          <w:rFonts w:hint="eastAsia" w:ascii="仿宋_GB2312" w:hAnsi="仿宋_GB2312" w:eastAsia="仿宋_GB2312" w:cs="仿宋_GB2312"/>
          <w:b w:val="0"/>
          <w:bCs w:val="0"/>
          <w:sz w:val="72"/>
          <w:szCs w:val="72"/>
          <w:lang w:eastAsia="zh-CN"/>
        </w:rPr>
      </w:pPr>
    </w:p>
    <w:p w14:paraId="4565BABE">
      <w:pPr>
        <w:pStyle w:val="13"/>
        <w:jc w:val="center"/>
        <w:rPr>
          <w:rFonts w:hint="eastAsia" w:ascii="仿宋_GB2312" w:hAnsi="仿宋_GB2312" w:eastAsia="仿宋_GB2312" w:cs="仿宋_GB2312"/>
          <w:b w:val="0"/>
          <w:bCs w:val="0"/>
          <w:sz w:val="72"/>
          <w:szCs w:val="72"/>
          <w:lang w:eastAsia="zh-CN"/>
        </w:rPr>
      </w:pPr>
    </w:p>
    <w:p w14:paraId="6EEAB3EF">
      <w:pPr>
        <w:pStyle w:val="13"/>
        <w:jc w:val="center"/>
        <w:rPr>
          <w:rFonts w:hint="eastAsia" w:ascii="仿宋_GB2312" w:hAnsi="仿宋_GB2312" w:eastAsia="仿宋_GB2312" w:cs="仿宋_GB2312"/>
          <w:b w:val="0"/>
          <w:bCs w:val="0"/>
          <w:sz w:val="72"/>
          <w:szCs w:val="72"/>
          <w:lang w:eastAsia="zh-CN"/>
        </w:rPr>
      </w:pPr>
    </w:p>
    <w:p w14:paraId="603C04A7">
      <w:pPr>
        <w:pStyle w:val="13"/>
        <w:jc w:val="center"/>
        <w:rPr>
          <w:rFonts w:hint="eastAsia" w:ascii="方正小标宋_GBK" w:hAnsi="方正小标宋_GBK" w:eastAsia="方正小标宋_GBK" w:cs="方正小标宋_GBK"/>
          <w:sz w:val="72"/>
          <w:szCs w:val="72"/>
        </w:rPr>
      </w:pPr>
    </w:p>
    <w:p w14:paraId="7A44A82E">
      <w:pPr>
        <w:pStyle w:val="13"/>
        <w:jc w:val="center"/>
        <w:rPr>
          <w:rFonts w:hint="eastAsia" w:ascii="方正小标宋_GBK" w:hAnsi="方正小标宋_GBK" w:eastAsia="方正小标宋_GBK" w:cs="方正小标宋_GBK"/>
          <w:sz w:val="72"/>
          <w:szCs w:val="72"/>
        </w:rPr>
      </w:pPr>
    </w:p>
    <w:p w14:paraId="06211665">
      <w:pPr>
        <w:pStyle w:val="13"/>
        <w:jc w:val="both"/>
        <w:rPr>
          <w:rFonts w:hint="eastAsia" w:ascii="方正小标宋_GBK" w:hAnsi="方正小标宋_GBK" w:eastAsia="方正小标宋_GBK" w:cs="方正小标宋_GBK"/>
          <w:sz w:val="72"/>
          <w:szCs w:val="72"/>
        </w:rPr>
      </w:pPr>
    </w:p>
    <w:p w14:paraId="7804FBAA">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3"/>
        <w:jc w:val="center"/>
        <w:rPr>
          <w:rFonts w:hint="eastAsia" w:ascii="方正小标宋_GBK" w:hAnsi="方正小标宋_GBK" w:eastAsia="方正小标宋_GBK" w:cs="方正小标宋_GBK"/>
          <w:sz w:val="70"/>
          <w:szCs w:val="70"/>
        </w:rPr>
      </w:pPr>
    </w:p>
    <w:p w14:paraId="4F77A5A6">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3"/>
        <w:jc w:val="center"/>
        <w:rPr>
          <w:rFonts w:hint="eastAsia" w:ascii="方正小标宋_GBK" w:hAnsi="方正小标宋_GBK" w:eastAsia="方正小标宋_GBK" w:cs="方正小标宋_GBK"/>
          <w:sz w:val="70"/>
          <w:szCs w:val="70"/>
        </w:rPr>
      </w:pPr>
    </w:p>
    <w:p w14:paraId="6EEC30AB">
      <w:pPr>
        <w:pStyle w:val="13"/>
        <w:jc w:val="center"/>
        <w:rPr>
          <w:rFonts w:hint="eastAsia" w:ascii="方正小标宋_GBK" w:hAnsi="方正小标宋_GBK" w:eastAsia="方正小标宋_GBK" w:cs="方正小标宋_GBK"/>
          <w:sz w:val="70"/>
          <w:szCs w:val="70"/>
        </w:rPr>
      </w:pPr>
    </w:p>
    <w:p w14:paraId="417367C1">
      <w:pPr>
        <w:pStyle w:val="13"/>
        <w:jc w:val="center"/>
        <w:rPr>
          <w:rFonts w:hint="eastAsia" w:ascii="方正小标宋_GBK" w:hAnsi="方正小标宋_GBK" w:eastAsia="方正小标宋_GBK" w:cs="方正小标宋_GBK"/>
          <w:sz w:val="70"/>
          <w:szCs w:val="70"/>
        </w:rPr>
      </w:pPr>
    </w:p>
    <w:p w14:paraId="5EF1049C">
      <w:pPr>
        <w:pStyle w:val="13"/>
        <w:jc w:val="center"/>
        <w:rPr>
          <w:rFonts w:hint="eastAsia" w:ascii="方正小标宋_GBK" w:hAnsi="方正小标宋_GBK" w:eastAsia="方正小标宋_GBK" w:cs="方正小标宋_GBK"/>
          <w:sz w:val="70"/>
          <w:szCs w:val="70"/>
        </w:rPr>
      </w:pPr>
    </w:p>
    <w:p w14:paraId="7E4B3CF9">
      <w:pPr>
        <w:pStyle w:val="13"/>
        <w:jc w:val="center"/>
        <w:rPr>
          <w:rFonts w:hint="eastAsia" w:ascii="方正小标宋_GBK" w:hAnsi="方正小标宋_GBK" w:eastAsia="方正小标宋_GBK" w:cs="方正小标宋_GBK"/>
          <w:sz w:val="70"/>
          <w:szCs w:val="70"/>
        </w:rPr>
      </w:pPr>
    </w:p>
    <w:p w14:paraId="514C0722">
      <w:pPr>
        <w:pStyle w:val="13"/>
        <w:jc w:val="center"/>
        <w:rPr>
          <w:rFonts w:hint="eastAsia" w:ascii="方正小标宋_GBK" w:hAnsi="方正小标宋_GBK" w:eastAsia="方正小标宋_GBK" w:cs="方正小标宋_GBK"/>
          <w:sz w:val="70"/>
          <w:szCs w:val="70"/>
        </w:rPr>
      </w:pPr>
    </w:p>
    <w:p w14:paraId="2411C08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年度收、支总计6723.36万元。与上年相比，减少</w:t>
      </w:r>
      <w:r>
        <w:rPr>
          <w:rFonts w:hint="eastAsia" w:ascii="仿宋_GB2312" w:hAnsi="仿宋_GB2312" w:eastAsia="仿宋_GB2312" w:cs="仿宋_GB2312"/>
          <w:sz w:val="32"/>
          <w:szCs w:val="32"/>
          <w:lang w:val="en-US" w:eastAsia="zh-CN"/>
        </w:rPr>
        <w:t>2303.39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25.52</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项目减少</w:t>
      </w:r>
      <w:r>
        <w:rPr>
          <w:rFonts w:hint="eastAsia" w:ascii="仿宋_GB2312" w:hAnsi="仿宋_GB2312" w:eastAsia="仿宋_GB2312" w:cs="仿宋_GB2312"/>
          <w:sz w:val="32"/>
          <w:szCs w:val="32"/>
        </w:rPr>
        <w:t>。</w:t>
      </w:r>
    </w:p>
    <w:p w14:paraId="07DA9E3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年度收入合计6667.3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万元，其中：财政拨款收入2079.69万元，占</w:t>
      </w:r>
      <w:r>
        <w:rPr>
          <w:rFonts w:hint="eastAsia" w:ascii="仿宋_GB2312" w:hAnsi="仿宋_GB2312" w:eastAsia="仿宋_GB2312" w:cs="仿宋_GB2312"/>
          <w:sz w:val="32"/>
          <w:szCs w:val="32"/>
          <w:lang w:val="en-US" w:eastAsia="zh-CN"/>
        </w:rPr>
        <w:t>31.19</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%；其他收入4587.61万元，占</w:t>
      </w:r>
      <w:r>
        <w:rPr>
          <w:rFonts w:hint="eastAsia" w:ascii="仿宋_GB2312" w:hAnsi="仿宋_GB2312" w:eastAsia="仿宋_GB2312" w:cs="仿宋_GB2312"/>
          <w:sz w:val="32"/>
          <w:szCs w:val="32"/>
          <w:lang w:val="en-US" w:eastAsia="zh-CN"/>
        </w:rPr>
        <w:t>68.81</w:t>
      </w:r>
      <w:r>
        <w:rPr>
          <w:rFonts w:hint="eastAsia" w:ascii="仿宋_GB2312" w:hAnsi="仿宋_GB2312" w:eastAsia="仿宋_GB2312" w:cs="仿宋_GB2312"/>
          <w:sz w:val="32"/>
          <w:szCs w:val="32"/>
        </w:rPr>
        <w:t>%。</w:t>
      </w:r>
    </w:p>
    <w:p w14:paraId="2D1A2B4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年度支出合计6689.54万元，其中：基本支出2003.61万元，占</w:t>
      </w:r>
      <w:r>
        <w:rPr>
          <w:rFonts w:hint="eastAsia" w:ascii="仿宋_GB2312" w:hAnsi="仿宋_GB2312" w:eastAsia="仿宋_GB2312" w:cs="仿宋_GB2312"/>
          <w:sz w:val="32"/>
          <w:szCs w:val="32"/>
          <w:lang w:val="en-US" w:eastAsia="zh-CN"/>
        </w:rPr>
        <w:t>29.95</w:t>
      </w:r>
      <w:r>
        <w:rPr>
          <w:rFonts w:hint="eastAsia" w:ascii="仿宋_GB2312" w:hAnsi="仿宋_GB2312" w:eastAsia="仿宋_GB2312" w:cs="仿宋_GB2312"/>
          <w:sz w:val="32"/>
          <w:szCs w:val="32"/>
        </w:rPr>
        <w:t>%；项目支出4685.93万元，占</w:t>
      </w:r>
      <w:r>
        <w:rPr>
          <w:rFonts w:hint="eastAsia" w:ascii="仿宋_GB2312" w:hAnsi="仿宋_GB2312" w:eastAsia="仿宋_GB2312" w:cs="仿宋_GB2312"/>
          <w:sz w:val="32"/>
          <w:szCs w:val="32"/>
          <w:lang w:val="en-US" w:eastAsia="zh-CN"/>
        </w:rPr>
        <w:t>70.05</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985752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widowControl w:val="0"/>
        <w:autoSpaceDE w:val="0"/>
        <w:autoSpaceDN w:val="0"/>
        <w:adjustRightInd w:val="0"/>
        <w:ind w:firstLine="640" w:firstLineChars="200"/>
        <w:rPr>
          <w:rFonts w:hint="eastAsia" w:ascii="楷体" w:hAnsi="楷体" w:eastAsia="楷体" w:cs="楷体"/>
          <w:i/>
          <w:iCs/>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年度财政拨款收、支总计2079.69万元，与上年相比，增加</w:t>
      </w:r>
      <w:r>
        <w:rPr>
          <w:rFonts w:hint="eastAsia" w:ascii="仿宋_GB2312" w:hAnsi="仿宋_GB2312" w:eastAsia="仿宋_GB2312" w:cs="仿宋_GB2312"/>
          <w:sz w:val="32"/>
          <w:szCs w:val="32"/>
          <w:lang w:val="en-US" w:eastAsia="zh-CN"/>
        </w:rPr>
        <w:t>188.75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9.98</w:t>
      </w:r>
      <w:r>
        <w:rPr>
          <w:rFonts w:hint="eastAsia" w:ascii="仿宋_GB2312" w:hAnsi="仿宋_GB2312" w:eastAsia="仿宋_GB2312" w:cs="仿宋_GB2312"/>
          <w:sz w:val="32"/>
          <w:szCs w:val="32"/>
        </w:rPr>
        <w:t>%，主要是因为2024年</w:t>
      </w:r>
      <w:r>
        <w:rPr>
          <w:rFonts w:hint="eastAsia" w:ascii="仿宋_GB2312" w:hAnsi="仿宋_GB2312" w:eastAsia="仿宋_GB2312" w:cs="仿宋_GB2312"/>
          <w:sz w:val="32"/>
          <w:szCs w:val="32"/>
          <w:lang w:val="en-US" w:eastAsia="zh-CN"/>
        </w:rPr>
        <w:t>事业人员新增1人，</w:t>
      </w:r>
      <w:r>
        <w:rPr>
          <w:rFonts w:hint="eastAsia" w:ascii="仿宋_GB2312" w:hAnsi="仿宋_GB2312" w:eastAsia="仿宋_GB2312" w:cs="仿宋_GB2312"/>
          <w:sz w:val="32"/>
          <w:szCs w:val="32"/>
        </w:rPr>
        <w:t>相关经费增加。</w:t>
      </w:r>
    </w:p>
    <w:p w14:paraId="4BB30A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年度财政拨款支出2079.69万元，占本年支出合计的</w:t>
      </w:r>
      <w:r>
        <w:rPr>
          <w:rFonts w:hint="eastAsia" w:ascii="仿宋_GB2312" w:hAnsi="仿宋_GB2312" w:eastAsia="仿宋_GB2312" w:cs="仿宋_GB2312"/>
          <w:sz w:val="32"/>
          <w:szCs w:val="32"/>
          <w:lang w:val="en-US" w:eastAsia="zh-CN"/>
        </w:rPr>
        <w:t>31.09</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188.75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9.98</w:t>
      </w:r>
      <w:r>
        <w:rPr>
          <w:rFonts w:hint="eastAsia" w:ascii="仿宋_GB2312" w:hAnsi="仿宋_GB2312" w:eastAsia="仿宋_GB2312" w:cs="仿宋_GB2312"/>
          <w:sz w:val="32"/>
          <w:szCs w:val="32"/>
        </w:rPr>
        <w:t>%，主要是因为2024年</w:t>
      </w:r>
      <w:r>
        <w:rPr>
          <w:rFonts w:hint="eastAsia" w:ascii="仿宋_GB2312" w:hAnsi="仿宋_GB2312" w:eastAsia="仿宋_GB2312" w:cs="仿宋_GB2312"/>
          <w:sz w:val="32"/>
          <w:szCs w:val="32"/>
          <w:lang w:val="en-US" w:eastAsia="zh-CN"/>
        </w:rPr>
        <w:t>事业人员新增1人，</w:t>
      </w:r>
      <w:r>
        <w:rPr>
          <w:rFonts w:hint="eastAsia" w:ascii="仿宋_GB2312" w:hAnsi="仿宋_GB2312" w:eastAsia="仿宋_GB2312" w:cs="仿宋_GB2312"/>
          <w:sz w:val="32"/>
          <w:szCs w:val="32"/>
        </w:rPr>
        <w:t>相关经费增加。</w:t>
      </w:r>
    </w:p>
    <w:p w14:paraId="66C54C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年度财政拨款支出2079.69万元，主要用于以下方面：社会保障和就业（类）支出180.08万元，占</w:t>
      </w:r>
      <w:r>
        <w:rPr>
          <w:rFonts w:hint="eastAsia" w:ascii="仿宋_GB2312" w:hAnsi="仿宋_GB2312" w:eastAsia="仿宋_GB2312" w:cs="仿宋_GB2312"/>
          <w:sz w:val="32"/>
          <w:szCs w:val="32"/>
          <w:lang w:val="en-US" w:eastAsia="zh-CN"/>
        </w:rPr>
        <w:t>8.66</w:t>
      </w:r>
      <w:r>
        <w:rPr>
          <w:rFonts w:hint="eastAsia" w:ascii="仿宋_GB2312" w:hAnsi="仿宋_GB2312" w:eastAsia="仿宋_GB2312" w:cs="仿宋_GB2312"/>
          <w:sz w:val="32"/>
          <w:szCs w:val="32"/>
        </w:rPr>
        <w:t>%；节能环保（类）支出1801.5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万元，占86.</w:t>
      </w: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sz w:val="32"/>
          <w:szCs w:val="32"/>
        </w:rPr>
        <w:t>%;住房保障（类）支出98.11万元，占</w:t>
      </w:r>
      <w:r>
        <w:rPr>
          <w:rFonts w:hint="eastAsia" w:ascii="仿宋_GB2312" w:hAnsi="仿宋_GB2312" w:eastAsia="仿宋_GB2312" w:cs="仿宋_GB2312"/>
          <w:sz w:val="32"/>
          <w:szCs w:val="32"/>
          <w:lang w:val="en-US" w:eastAsia="zh-CN"/>
        </w:rPr>
        <w:t>4.72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p>
    <w:p w14:paraId="5CDBADF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年度财政拨款支出年初预算数为1775.98万元，支出决算数为2079.69万元，完成年初预算的</w:t>
      </w:r>
      <w:r>
        <w:rPr>
          <w:rFonts w:hint="eastAsia" w:ascii="仿宋_GB2312" w:hAnsi="仿宋_GB2312" w:eastAsia="仿宋_GB2312" w:cs="仿宋_GB2312"/>
          <w:sz w:val="32"/>
          <w:szCs w:val="32"/>
          <w:lang w:val="en-US" w:eastAsia="zh-CN"/>
        </w:rPr>
        <w:t>117.10</w:t>
      </w:r>
      <w:r>
        <w:rPr>
          <w:rFonts w:hint="eastAsia" w:ascii="仿宋_GB2312" w:hAnsi="仿宋_GB2312" w:eastAsia="仿宋_GB2312" w:cs="仿宋_GB2312"/>
          <w:sz w:val="32"/>
          <w:szCs w:val="32"/>
        </w:rPr>
        <w:t>%，其中：</w:t>
      </w:r>
    </w:p>
    <w:p w14:paraId="237A4D6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1、社会保障和就业（类）行政事业单位养老支出（款）机关事业单位基本养老保险缴费支出（项）。</w:t>
      </w:r>
    </w:p>
    <w:p w14:paraId="7523608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年初预算为146.18万元，支出决算为146.18万元，完成年初预算的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年初预算数的主要原因是：严格按照年初预算执行</w:t>
      </w:r>
      <w:r>
        <w:rPr>
          <w:rFonts w:hint="eastAsia" w:ascii="仿宋_GB2312" w:hAnsi="仿宋_GB2312" w:eastAsia="仿宋_GB2312" w:cs="仿宋_GB2312"/>
          <w:sz w:val="32"/>
          <w:szCs w:val="32"/>
          <w:lang w:eastAsia="zh-CN"/>
        </w:rPr>
        <w:t>。</w:t>
      </w:r>
    </w:p>
    <w:p w14:paraId="3443D2A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2、社会保障和就业（类）抚恤（款）其他优抚支出（项）。</w:t>
      </w:r>
    </w:p>
    <w:p w14:paraId="6D40D85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万元，支出决算为33.9</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决算数大于年初预算数的主要原因是：年初预算</w:t>
      </w:r>
      <w:r>
        <w:rPr>
          <w:rFonts w:hint="eastAsia" w:ascii="仿宋_GB2312" w:hAnsi="仿宋_GB2312" w:eastAsia="仿宋_GB2312" w:cs="仿宋_GB2312"/>
          <w:sz w:val="32"/>
          <w:szCs w:val="32"/>
          <w:lang w:val="en-US" w:eastAsia="zh-CN"/>
        </w:rPr>
        <w:t>金额列支在</w:t>
      </w:r>
      <w:r>
        <w:rPr>
          <w:rFonts w:hint="eastAsia" w:ascii="仿宋_GB2312" w:hAnsi="仿宋_GB2312" w:eastAsia="仿宋_GB2312" w:cs="仿宋_GB2312"/>
          <w:sz w:val="32"/>
          <w:szCs w:val="32"/>
        </w:rPr>
        <w:t>其他残疾人事业支出（项）</w:t>
      </w:r>
      <w:r>
        <w:rPr>
          <w:rFonts w:hint="eastAsia" w:ascii="仿宋_GB2312" w:hAnsi="仿宋_GB2312" w:eastAsia="仿宋_GB2312" w:cs="仿宋_GB2312"/>
          <w:sz w:val="32"/>
          <w:szCs w:val="32"/>
          <w:lang w:val="en-US" w:eastAsia="zh-CN"/>
        </w:rPr>
        <w:t>中。</w:t>
      </w:r>
    </w:p>
    <w:p w14:paraId="37A3CD3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、社会保障和就业（类）残疾人事业（款）其他残疾人事业支出（项）。</w:t>
      </w:r>
    </w:p>
    <w:p w14:paraId="7909D09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11.68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决算金额列支在</w:t>
      </w:r>
      <w:r>
        <w:rPr>
          <w:rFonts w:hint="eastAsia" w:ascii="仿宋_GB2312" w:hAnsi="仿宋_GB2312" w:eastAsia="仿宋_GB2312" w:cs="仿宋_GB2312"/>
          <w:sz w:val="32"/>
          <w:szCs w:val="32"/>
        </w:rPr>
        <w:t>其他优抚支出（项）</w:t>
      </w:r>
      <w:r>
        <w:rPr>
          <w:rFonts w:hint="eastAsia" w:ascii="仿宋_GB2312" w:hAnsi="仿宋_GB2312" w:eastAsia="仿宋_GB2312" w:cs="仿宋_GB2312"/>
          <w:sz w:val="32"/>
          <w:szCs w:val="32"/>
          <w:lang w:val="en-US" w:eastAsia="zh-CN"/>
        </w:rPr>
        <w:t>中。</w:t>
      </w:r>
    </w:p>
    <w:p w14:paraId="5555E44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、卫生健康（类）行政事业单位医疗（款）公务员医疗补助（项）。</w:t>
      </w:r>
    </w:p>
    <w:p w14:paraId="7943542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11.08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决算金额列支在</w:t>
      </w:r>
      <w:r>
        <w:rPr>
          <w:rFonts w:hint="eastAsia" w:ascii="仿宋_GB2312" w:hAnsi="仿宋_GB2312" w:eastAsia="仿宋_GB2312" w:cs="仿宋_GB2312"/>
          <w:sz w:val="32"/>
          <w:szCs w:val="32"/>
        </w:rPr>
        <w:t>其他环境保护管理事务支出（项）</w:t>
      </w:r>
      <w:r>
        <w:rPr>
          <w:rFonts w:hint="eastAsia" w:ascii="仿宋_GB2312" w:hAnsi="仿宋_GB2312" w:eastAsia="仿宋_GB2312" w:cs="仿宋_GB2312"/>
          <w:sz w:val="32"/>
          <w:szCs w:val="32"/>
          <w:lang w:val="en-US" w:eastAsia="zh-CN"/>
        </w:rPr>
        <w:t>中。</w:t>
      </w:r>
    </w:p>
    <w:p w14:paraId="2B0655C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、节能环保（类）环境保护管理事务（款）行政运行（项）。</w:t>
      </w:r>
    </w:p>
    <w:p w14:paraId="022206B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万元，支出决算为14.95万元，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决算数大于年初预算数的主要原因是：年初预算</w:t>
      </w:r>
      <w:r>
        <w:rPr>
          <w:rFonts w:hint="eastAsia" w:ascii="仿宋_GB2312" w:hAnsi="仿宋_GB2312" w:eastAsia="仿宋_GB2312" w:cs="仿宋_GB2312"/>
          <w:sz w:val="32"/>
          <w:szCs w:val="32"/>
          <w:lang w:val="en-US" w:eastAsia="zh-CN"/>
        </w:rPr>
        <w:t>金额列支在</w:t>
      </w:r>
      <w:r>
        <w:rPr>
          <w:rFonts w:hint="eastAsia" w:ascii="仿宋_GB2312" w:hAnsi="仿宋_GB2312" w:eastAsia="仿宋_GB2312" w:cs="仿宋_GB2312"/>
          <w:sz w:val="32"/>
          <w:szCs w:val="32"/>
        </w:rPr>
        <w:t>一般行政管理事务（项）</w:t>
      </w:r>
      <w:r>
        <w:rPr>
          <w:rFonts w:hint="eastAsia" w:ascii="仿宋_GB2312" w:hAnsi="仿宋_GB2312" w:eastAsia="仿宋_GB2312" w:cs="仿宋_GB2312"/>
          <w:sz w:val="32"/>
          <w:szCs w:val="32"/>
          <w:lang w:val="en-US" w:eastAsia="zh-CN"/>
        </w:rPr>
        <w:t>中。</w:t>
      </w:r>
    </w:p>
    <w:p w14:paraId="4603532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、节能环保（类）环境保护管理事务（款）一般行政管理事务（项）。</w:t>
      </w:r>
    </w:p>
    <w:p w14:paraId="758B731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年初预算为93.95万元，支出决算为63.89万元，完成年初预算的</w:t>
      </w:r>
      <w:r>
        <w:rPr>
          <w:rFonts w:hint="eastAsia" w:ascii="仿宋_GB2312" w:hAnsi="仿宋_GB2312" w:eastAsia="仿宋_GB2312" w:cs="仿宋_GB2312"/>
          <w:sz w:val="32"/>
          <w:szCs w:val="32"/>
          <w:lang w:val="en-US" w:eastAsia="zh-CN"/>
        </w:rPr>
        <w:t>68.00</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决算部分金额列支在</w:t>
      </w:r>
      <w:r>
        <w:rPr>
          <w:rFonts w:hint="eastAsia" w:ascii="仿宋_GB2312" w:hAnsi="仿宋_GB2312" w:eastAsia="仿宋_GB2312" w:cs="仿宋_GB2312"/>
          <w:sz w:val="32"/>
          <w:szCs w:val="32"/>
        </w:rPr>
        <w:t>行政运行（项）</w:t>
      </w:r>
      <w:r>
        <w:rPr>
          <w:rFonts w:hint="eastAsia" w:ascii="仿宋_GB2312" w:hAnsi="仿宋_GB2312" w:eastAsia="仿宋_GB2312" w:cs="仿宋_GB2312"/>
          <w:sz w:val="32"/>
          <w:szCs w:val="32"/>
          <w:lang w:val="en-US" w:eastAsia="zh-CN"/>
        </w:rPr>
        <w:t>中。</w:t>
      </w:r>
    </w:p>
    <w:p w14:paraId="6DC688F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、节能环保（类）环境保护管理事务（款）其他环境保护管理事务支出（项）。</w:t>
      </w:r>
    </w:p>
    <w:p w14:paraId="5937D97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年初预算为1407.54万元，支出决算为1490.62万元，完成年初预算的</w:t>
      </w:r>
      <w:r>
        <w:rPr>
          <w:rFonts w:hint="eastAsia" w:ascii="仿宋_GB2312" w:hAnsi="仿宋_GB2312" w:eastAsia="仿宋_GB2312" w:cs="仿宋_GB2312"/>
          <w:sz w:val="32"/>
          <w:szCs w:val="32"/>
          <w:lang w:val="en-US" w:eastAsia="zh-CN"/>
        </w:rPr>
        <w:t>105.90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rPr>
        <w:t>于年初预算数的主要原因是：2024年</w:t>
      </w:r>
      <w:r>
        <w:rPr>
          <w:rFonts w:hint="eastAsia" w:ascii="仿宋_GB2312" w:hAnsi="仿宋_GB2312" w:eastAsia="仿宋_GB2312" w:cs="仿宋_GB2312"/>
          <w:sz w:val="32"/>
          <w:szCs w:val="32"/>
          <w:lang w:val="en-US" w:eastAsia="zh-CN"/>
        </w:rPr>
        <w:t>事业人员新增1人，</w:t>
      </w:r>
      <w:r>
        <w:rPr>
          <w:rFonts w:hint="eastAsia" w:ascii="仿宋_GB2312" w:hAnsi="仿宋_GB2312" w:eastAsia="仿宋_GB2312" w:cs="仿宋_GB2312"/>
          <w:sz w:val="32"/>
          <w:szCs w:val="32"/>
        </w:rPr>
        <w:t>相关</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eastAsia="zh-CN"/>
        </w:rPr>
        <w:t>。</w:t>
      </w:r>
    </w:p>
    <w:p w14:paraId="1CE6ECD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、节能环保（类）环境监测与监察（款）其他环境监测与监察支出（项）。</w:t>
      </w:r>
    </w:p>
    <w:p w14:paraId="63D3FE2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万元，支出决算为19.35万元，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8BCF59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、节能环保（类）污染防治（款）其他污染防治支出（项）。</w:t>
      </w:r>
    </w:p>
    <w:p w14:paraId="1F2198F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万元，支出决算为27.79万元，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0AFA7C4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、节能环保（类）自然生态保护（款）农村环境保护（项）。</w:t>
      </w:r>
    </w:p>
    <w:p w14:paraId="6F68C7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万元，支出决算为40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635557D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、节能环保（类）其他节能环保支出（款）其他节能环保支出（项）。</w:t>
      </w:r>
    </w:p>
    <w:p w14:paraId="3B6E297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万元，支出决算为144.9</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178BF3F">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、住房保障（类）住房改革支出（款）住房公积金（项）。</w:t>
      </w:r>
    </w:p>
    <w:p w14:paraId="2F4442F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年初预算为105.55万元，支出决算为98.11万元，完成年初预算的</w:t>
      </w:r>
      <w:r>
        <w:rPr>
          <w:rFonts w:hint="eastAsia" w:ascii="仿宋_GB2312" w:hAnsi="仿宋_GB2312" w:eastAsia="仿宋_GB2312" w:cs="仿宋_GB2312"/>
          <w:sz w:val="32"/>
          <w:szCs w:val="32"/>
          <w:lang w:val="en-US" w:eastAsia="zh-CN"/>
        </w:rPr>
        <w:t>93.34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highlight w:val="none"/>
          <w:lang w:val="en-US" w:eastAsia="zh-CN"/>
        </w:rPr>
        <w:t>基数调整</w:t>
      </w:r>
      <w:r>
        <w:rPr>
          <w:rFonts w:hint="eastAsia" w:ascii="仿宋_GB2312" w:hAnsi="仿宋_GB2312" w:eastAsia="仿宋_GB2312" w:cs="仿宋_GB2312"/>
          <w:sz w:val="32"/>
          <w:szCs w:val="32"/>
          <w:lang w:val="en-US" w:eastAsia="zh-CN"/>
        </w:rPr>
        <w:t>。</w:t>
      </w:r>
    </w:p>
    <w:p w14:paraId="373E8BA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财政拨款基本支出1981.37万元，其中：</w:t>
      </w:r>
    </w:p>
    <w:p w14:paraId="763B784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1541.04万元，占基本支出的</w:t>
      </w:r>
      <w:r>
        <w:rPr>
          <w:rFonts w:hint="eastAsia" w:ascii="仿宋_GB2312" w:hAnsi="仿宋_GB2312" w:eastAsia="仿宋_GB2312" w:cs="仿宋_GB2312"/>
          <w:sz w:val="32"/>
          <w:szCs w:val="32"/>
          <w:lang w:val="en-US" w:eastAsia="zh-CN"/>
        </w:rPr>
        <w:t>77.78</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440.33万元，占基本支出的</w:t>
      </w:r>
      <w:r>
        <w:rPr>
          <w:rFonts w:hint="eastAsia" w:ascii="仿宋_GB2312" w:hAnsi="仿宋_GB2312" w:eastAsia="仿宋_GB2312" w:cs="仿宋_GB2312"/>
          <w:sz w:val="32"/>
          <w:szCs w:val="32"/>
          <w:lang w:val="en-US" w:eastAsia="zh-CN"/>
        </w:rPr>
        <w:t>22.22</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办公设备购置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专用设备购置。</w:t>
      </w:r>
    </w:p>
    <w:p w14:paraId="238B276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14:paraId="5876C2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3"/>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7.00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1.59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22.71</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减少0.91</w:t>
      </w:r>
      <w:r>
        <w:rPr>
          <w:rFonts w:ascii="Times New Roman" w:hAnsi="Times New Roman" w:eastAsia="仿宋_GB2312" w:cs="Times New Roman"/>
          <w:sz w:val="32"/>
          <w:szCs w:val="32"/>
        </w:rPr>
        <w:t>万元，</w:t>
      </w:r>
      <w:r>
        <w:rPr>
          <w:rFonts w:ascii="Times New Roman" w:hAnsi="Times New Roman" w:eastAsia="仿宋_GB2312" w:cs="Times New Roman"/>
          <w:sz w:val="32"/>
          <w:szCs w:val="32"/>
        </w:rPr>
        <w:t>降低</w:t>
      </w:r>
      <w:r>
        <w:rPr>
          <w:rFonts w:hint="eastAsia" w:ascii="Times New Roman" w:hAnsi="Times New Roman" w:eastAsia="仿宋_GB2312" w:cs="Times New Roman"/>
          <w:sz w:val="32"/>
          <w:szCs w:val="32"/>
          <w:lang w:val="en-US" w:eastAsia="zh-CN"/>
        </w:rPr>
        <w:t>36.44</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rPr>
        <w:t>厉行节约，严格控制“三公”经费</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w:t>
      </w:r>
      <w:r>
        <w:rPr>
          <w:rFonts w:ascii="Times New Roman" w:hAnsi="Times New Roman" w:eastAsia="仿宋_GB2312" w:cs="Times New Roman"/>
          <w:sz w:val="32"/>
          <w:szCs w:val="32"/>
        </w:rPr>
        <w:t>于上年数的主要原因是</w:t>
      </w:r>
      <w:r>
        <w:rPr>
          <w:rFonts w:hint="eastAsia" w:ascii="Times New Roman" w:hAnsi="Times New Roman" w:eastAsia="仿宋_GB2312" w:cs="Times New Roman"/>
          <w:sz w:val="32"/>
          <w:szCs w:val="32"/>
        </w:rPr>
        <w:t>2024年</w:t>
      </w:r>
      <w:r>
        <w:rPr>
          <w:rFonts w:hint="eastAsia" w:ascii="Times New Roman" w:hAnsi="Times New Roman" w:eastAsia="仿宋_GB2312" w:cs="Times New Roman"/>
          <w:sz w:val="32"/>
          <w:szCs w:val="32"/>
          <w:lang w:val="en-US" w:eastAsia="zh-CN"/>
        </w:rPr>
        <w:t>接待活动减少</w:t>
      </w:r>
      <w:r>
        <w:rPr>
          <w:rFonts w:ascii="Times New Roman" w:hAnsi="Times New Roman" w:eastAsia="仿宋_GB2312" w:cs="Times New Roman"/>
          <w:sz w:val="32"/>
          <w:szCs w:val="32"/>
        </w:rPr>
        <w:t>。</w:t>
      </w:r>
    </w:p>
    <w:p w14:paraId="352D03A7">
      <w:pPr>
        <w:pStyle w:val="13"/>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3.00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w:t>
      </w:r>
      <w:r>
        <w:rPr>
          <w:rFonts w:hint="eastAsia" w:ascii="仿宋_GB2312" w:hAnsi="仿宋_GB2312" w:eastAsia="仿宋_GB2312" w:cs="仿宋_GB2312"/>
          <w:color w:val="000000"/>
          <w:kern w:val="0"/>
          <w:sz w:val="32"/>
          <w:szCs w:val="32"/>
          <w:lang w:val="en-US" w:eastAsia="zh-CN" w:bidi="ar-SA"/>
        </w:rPr>
        <w:t>与上年一致，无增减变动</w:t>
      </w:r>
      <w:r>
        <w:rPr>
          <w:rFonts w:ascii="Times New Roman" w:hAnsi="Times New Roman" w:eastAsia="仿宋_GB2312" w:cs="Times New Roman"/>
          <w:sz w:val="32"/>
          <w:szCs w:val="32"/>
        </w:rPr>
        <w:t>。其中：</w:t>
      </w:r>
    </w:p>
    <w:p w14:paraId="07AF86AC">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1D422951">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3.00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p>
    <w:p w14:paraId="75A272CE">
      <w:pPr>
        <w:pStyle w:val="13"/>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rPr>
        <w:t>公执法车加油、维修、保险</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w:t>
      </w:r>
      <w:r>
        <w:rPr>
          <w:rFonts w:ascii="Times New Roman" w:hAnsi="Times New Roman" w:eastAsia="仿宋_GB2312" w:cs="Times New Roman"/>
          <w:sz w:val="32"/>
          <w:szCs w:val="32"/>
        </w:rPr>
        <w:t>。决算数小于预算数的主要原因是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等于</w:t>
      </w:r>
      <w:r>
        <w:rPr>
          <w:rFonts w:ascii="Times New Roman" w:hAnsi="Times New Roman" w:eastAsia="仿宋_GB2312" w:cs="Times New Roman"/>
          <w:sz w:val="32"/>
          <w:szCs w:val="32"/>
        </w:rPr>
        <w:t>上年数的主要原因是</w:t>
      </w:r>
      <w:r>
        <w:rPr>
          <w:rFonts w:hint="eastAsia" w:ascii="Times New Roman" w:hAnsi="Times New Roman" w:eastAsia="仿宋_GB2312" w:cs="Times New Roman"/>
          <w:sz w:val="32"/>
          <w:szCs w:val="32"/>
          <w:lang w:val="en-US" w:eastAsia="zh-CN"/>
        </w:rPr>
        <w:t>近两</w:t>
      </w:r>
      <w:r>
        <w:rPr>
          <w:rFonts w:hint="eastAsia" w:ascii="仿宋_GB2312" w:hAnsi="仿宋_GB2312" w:eastAsia="仿宋_GB2312" w:cs="仿宋_GB2312"/>
          <w:sz w:val="32"/>
          <w:szCs w:val="32"/>
          <w:lang w:val="en-US" w:eastAsia="zh-CN"/>
        </w:rPr>
        <w:t>年均无公务用车需要运行维护</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14:paraId="4B35674B">
      <w:pPr>
        <w:numPr>
          <w:ilvl w:val="0"/>
          <w:numId w:val="2"/>
        </w:num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4.00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1.59</w:t>
      </w:r>
      <w:r>
        <w:rPr>
          <w:rFonts w:ascii="Times New Roman" w:hAnsi="Times New Roman" w:eastAsia="仿宋_GB2312" w:cs="Times New Roman"/>
          <w:sz w:val="32"/>
          <w:szCs w:val="32"/>
        </w:rPr>
        <w:t>万元，完成预</w:t>
      </w:r>
      <w:r>
        <w:rPr>
          <w:rFonts w:ascii="Times New Roman" w:hAnsi="Times New Roman" w:eastAsia="仿宋_GB2312" w:cs="Times New Roman"/>
          <w:color w:val="000000"/>
          <w:kern w:val="0"/>
          <w:sz w:val="32"/>
          <w:szCs w:val="32"/>
          <w:lang w:val="en-US" w:eastAsia="zh-CN" w:bidi="ar-SA"/>
        </w:rPr>
        <w:t>算的</w:t>
      </w:r>
      <w:r>
        <w:rPr>
          <w:rFonts w:hint="eastAsia" w:ascii="Times New Roman" w:hAnsi="Times New Roman" w:eastAsia="仿宋_GB2312" w:cs="Times New Roman"/>
          <w:color w:val="000000"/>
          <w:kern w:val="0"/>
          <w:sz w:val="32"/>
          <w:szCs w:val="32"/>
          <w:lang w:val="en-US" w:eastAsia="zh-CN" w:bidi="ar-SA"/>
        </w:rPr>
        <w:t>39.75</w:t>
      </w:r>
      <w:r>
        <w:rPr>
          <w:rFonts w:ascii="Times New Roman" w:hAnsi="Times New Roman" w:eastAsia="仿宋_GB2312" w:cs="Times New Roman"/>
          <w:color w:val="000000"/>
          <w:kern w:val="0"/>
          <w:sz w:val="32"/>
          <w:szCs w:val="32"/>
          <w:lang w:val="en-US" w:eastAsia="zh-CN" w:bidi="ar-SA"/>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减少0.91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36.44</w:t>
      </w:r>
      <w:r>
        <w:rPr>
          <w:rFonts w:ascii="Times New Roman" w:hAnsi="Times New Roman" w:eastAsia="仿宋_GB2312" w:cs="Times New Roman"/>
          <w:sz w:val="32"/>
          <w:szCs w:val="32"/>
        </w:rPr>
        <w:t>%</w:t>
      </w:r>
      <w:r>
        <w:rPr>
          <w:rFonts w:ascii="Times New Roman" w:hAnsi="Times New Roman" w:eastAsia="仿宋_GB2312" w:cs="Times New Roman"/>
          <w:color w:val="000000"/>
          <w:kern w:val="0"/>
          <w:sz w:val="32"/>
          <w:szCs w:val="32"/>
          <w:lang w:val="en-US" w:eastAsia="zh-CN" w:bidi="ar-SA"/>
        </w:rPr>
        <w:t>。决算数小于预算数的主要原因是</w:t>
      </w:r>
      <w:r>
        <w:rPr>
          <w:rFonts w:hint="eastAsia" w:ascii="Times New Roman" w:hAnsi="Times New Roman" w:eastAsia="仿宋_GB2312" w:cs="Times New Roman"/>
          <w:color w:val="000000"/>
          <w:kern w:val="0"/>
          <w:sz w:val="32"/>
          <w:szCs w:val="32"/>
          <w:lang w:val="en-US" w:eastAsia="zh-CN" w:bidi="ar-SA"/>
        </w:rPr>
        <w:t>厉行节约，严控公务接待支出</w:t>
      </w:r>
      <w:r>
        <w:rPr>
          <w:rFonts w:ascii="Times New Roman" w:hAnsi="Times New Roman" w:eastAsia="仿宋_GB2312" w:cs="Times New Roman"/>
          <w:color w:val="000000"/>
          <w:kern w:val="0"/>
          <w:sz w:val="32"/>
          <w:szCs w:val="32"/>
          <w:lang w:val="en-US" w:eastAsia="zh-CN" w:bidi="ar-SA"/>
        </w:rPr>
        <w:t>。</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color w:val="000000"/>
          <w:kern w:val="0"/>
          <w:sz w:val="32"/>
          <w:szCs w:val="32"/>
          <w:lang w:val="en-US" w:eastAsia="zh-CN" w:bidi="ar-SA"/>
        </w:rPr>
        <w:t>按有关政策厉行节约，严控公务接待支出。</w:t>
      </w:r>
      <w:r>
        <w:rPr>
          <w:rFonts w:ascii="Times New Roman" w:hAnsi="Times New Roman" w:eastAsia="仿宋_GB2312" w:cs="Times New Roman"/>
          <w:color w:val="000000"/>
          <w:kern w:val="0"/>
          <w:sz w:val="32"/>
          <w:szCs w:val="32"/>
          <w:lang w:val="en-US" w:eastAsia="zh-CN" w:bidi="ar-SA"/>
        </w:rPr>
        <w:t>2024年度共接待来访团组</w:t>
      </w:r>
      <w:r>
        <w:rPr>
          <w:rFonts w:hint="eastAsia" w:ascii="Times New Roman" w:hAnsi="Times New Roman" w:eastAsia="仿宋_GB2312" w:cs="Times New Roman"/>
          <w:color w:val="000000"/>
          <w:kern w:val="0"/>
          <w:sz w:val="32"/>
          <w:szCs w:val="32"/>
          <w:lang w:val="en-US" w:eastAsia="zh-CN" w:bidi="ar-SA"/>
        </w:rPr>
        <w:t>17</w:t>
      </w:r>
      <w:r>
        <w:rPr>
          <w:rFonts w:ascii="Times New Roman" w:hAnsi="Times New Roman" w:eastAsia="仿宋_GB2312" w:cs="Times New Roman"/>
          <w:color w:val="000000"/>
          <w:kern w:val="0"/>
          <w:sz w:val="32"/>
          <w:szCs w:val="32"/>
          <w:lang w:val="en-US" w:eastAsia="zh-CN" w:bidi="ar-SA"/>
        </w:rPr>
        <w:t>个、来宾</w:t>
      </w:r>
      <w:r>
        <w:rPr>
          <w:rFonts w:hint="eastAsia" w:ascii="Times New Roman" w:hAnsi="Times New Roman" w:eastAsia="仿宋_GB2312" w:cs="Times New Roman"/>
          <w:color w:val="000000"/>
          <w:kern w:val="0"/>
          <w:sz w:val="32"/>
          <w:szCs w:val="32"/>
          <w:lang w:val="en-US" w:eastAsia="zh-CN" w:bidi="ar-SA"/>
        </w:rPr>
        <w:t>132</w:t>
      </w:r>
      <w:r>
        <w:rPr>
          <w:rFonts w:ascii="Times New Roman" w:hAnsi="Times New Roman" w:eastAsia="仿宋_GB2312" w:cs="Times New Roman"/>
          <w:color w:val="000000"/>
          <w:kern w:val="0"/>
          <w:sz w:val="32"/>
          <w:szCs w:val="32"/>
          <w:lang w:val="en-US" w:eastAsia="zh-CN" w:bidi="ar-SA"/>
        </w:rPr>
        <w:t>人次，主要是</w:t>
      </w:r>
      <w:r>
        <w:rPr>
          <w:rFonts w:hint="eastAsia" w:ascii="Times New Roman" w:hAnsi="Times New Roman" w:eastAsia="仿宋_GB2312" w:cs="Times New Roman"/>
          <w:color w:val="000000"/>
          <w:kern w:val="0"/>
          <w:sz w:val="32"/>
          <w:szCs w:val="32"/>
          <w:lang w:val="en-US" w:eastAsia="zh-CN" w:bidi="ar-SA"/>
        </w:rPr>
        <w:t>用于与有关单位工作交流及接受相关部门督察、检查及指导工作</w:t>
      </w:r>
      <w:r>
        <w:rPr>
          <w:rFonts w:ascii="Times New Roman" w:hAnsi="Times New Roman" w:eastAsia="仿宋_GB2312" w:cs="Times New Roman"/>
          <w:color w:val="000000"/>
          <w:kern w:val="0"/>
          <w:sz w:val="32"/>
          <w:szCs w:val="32"/>
          <w:lang w:val="en-US" w:eastAsia="zh-CN" w:bidi="ar-SA"/>
        </w:rPr>
        <w:t>发生的接待支出</w:t>
      </w:r>
      <w:r>
        <w:rPr>
          <w:rFonts w:ascii="Times New Roman" w:hAnsi="Times New Roman" w:eastAsia="仿宋_GB2312" w:cs="Times New Roman"/>
          <w:sz w:val="32"/>
          <w:szCs w:val="32"/>
        </w:rPr>
        <w:t>。</w:t>
      </w:r>
    </w:p>
    <w:p w14:paraId="3D06A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年度机关运行经费支出440.33万元，</w:t>
      </w:r>
      <w:r>
        <w:rPr>
          <w:rFonts w:hint="eastAsia" w:ascii="仿宋_GB2312" w:hAnsi="仿宋_GB2312" w:eastAsia="仿宋_GB2312" w:cs="仿宋_GB2312"/>
          <w:sz w:val="32"/>
          <w:szCs w:val="32"/>
          <w:highlight w:val="none"/>
        </w:rPr>
        <w:t>比上年决算数增加</w:t>
      </w:r>
      <w:r>
        <w:rPr>
          <w:rFonts w:hint="eastAsia" w:ascii="仿宋_GB2312" w:hAnsi="仿宋_GB2312" w:eastAsia="仿宋_GB2312" w:cs="仿宋_GB2312"/>
          <w:sz w:val="32"/>
          <w:szCs w:val="32"/>
          <w:highlight w:val="none"/>
          <w:lang w:val="en-US" w:eastAsia="zh-CN"/>
        </w:rPr>
        <w:t>94.06</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27.16</w:t>
      </w:r>
      <w:r>
        <w:rPr>
          <w:rFonts w:hint="eastAsia" w:ascii="仿宋_GB2312" w:hAnsi="仿宋_GB2312" w:eastAsia="仿宋_GB2312" w:cs="仿宋_GB2312"/>
          <w:sz w:val="32"/>
          <w:szCs w:val="32"/>
          <w:highlight w:val="none"/>
        </w:rPr>
        <w:t>%。主要原因是：印刷费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物业管理费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差旅费</w:t>
      </w:r>
      <w:r>
        <w:rPr>
          <w:rFonts w:hint="eastAsia" w:ascii="仿宋_GB2312" w:hAnsi="仿宋_GB2312" w:eastAsia="仿宋_GB2312" w:cs="仿宋_GB2312"/>
          <w:sz w:val="32"/>
          <w:szCs w:val="32"/>
          <w:highlight w:val="none"/>
          <w:lang w:val="en-US" w:eastAsia="zh-CN"/>
        </w:rPr>
        <w:t>和</w:t>
      </w:r>
      <w:r>
        <w:rPr>
          <w:rFonts w:hint="eastAsia" w:ascii="仿宋_GB2312" w:hAnsi="仿宋_GB2312" w:eastAsia="仿宋_GB2312" w:cs="仿宋_GB2312"/>
          <w:sz w:val="32"/>
          <w:szCs w:val="32"/>
          <w:highlight w:val="none"/>
        </w:rPr>
        <w:t>工会经费</w:t>
      </w:r>
      <w:r>
        <w:rPr>
          <w:rFonts w:hint="eastAsia" w:ascii="仿宋_GB2312" w:hAnsi="仿宋_GB2312" w:eastAsia="仿宋_GB2312" w:cs="仿宋_GB2312"/>
          <w:sz w:val="32"/>
          <w:szCs w:val="32"/>
          <w:lang w:val="en-US" w:eastAsia="zh-CN"/>
        </w:rPr>
        <w:t>的增加。</w:t>
      </w:r>
    </w:p>
    <w:p w14:paraId="39684EF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3"/>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年度，会议费年初预算1.00万元，支出决算为0.00万元，完成年初预算的0.00%。本单位无会议费的预算和支出决算数。</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培训费年初预算2.00万元，支出决算为0.44万元，</w:t>
      </w:r>
      <w:r>
        <w:rPr>
          <w:rFonts w:hint="eastAsia" w:ascii="仿宋_GB2312" w:hAnsi="仿宋_GB2312" w:eastAsia="仿宋_GB2312" w:cs="仿宋_GB2312"/>
          <w:sz w:val="32"/>
          <w:szCs w:val="32"/>
          <w:lang w:val="en-US" w:eastAsia="zh-CN"/>
        </w:rPr>
        <w:t>完成年初预算的22.00%</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kern w:val="0"/>
          <w:sz w:val="32"/>
          <w:szCs w:val="32"/>
          <w:lang w:val="en-US" w:eastAsia="zh-CN" w:bidi="ar-SA"/>
        </w:rPr>
        <w:t>用于开展3次培训，人数120人，内容为生态环境保护培训。</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由于预算数为0，无法计算完成年初预算的百分比，本单位无举办节庆、晚会、论坛、赛事等活动的预算和支出决算数</w:t>
      </w:r>
      <w:r>
        <w:rPr>
          <w:rFonts w:hint="eastAsia" w:ascii="仿宋_GB2312" w:hAnsi="仿宋_GB2312" w:eastAsia="仿宋_GB2312" w:cs="仿宋_GB2312"/>
          <w:color w:val="000000"/>
          <w:kern w:val="0"/>
          <w:sz w:val="32"/>
          <w:szCs w:val="32"/>
          <w:lang w:val="en-US" w:eastAsia="zh-CN" w:bidi="ar-SA"/>
        </w:rPr>
        <w:t>。</w:t>
      </w:r>
    </w:p>
    <w:p w14:paraId="252D0BE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年度政府采购支出总额488.55万元，其中：政府采购货物支出54.37万元、政府采购工程支出9.45万元、政府采购服务支出424.73万元。授予中小企业合同金额488.55万元，占政府采购支出总额的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%，其中：授予小微企业合同金额488.55万元，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46A0DF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auto"/>
          <w:sz w:val="32"/>
          <w:szCs w:val="32"/>
          <w:lang w:val="en-US" w:eastAsia="zh-CN"/>
        </w:rPr>
        <w:t>无</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台（套）。</w:t>
      </w:r>
    </w:p>
    <w:p w14:paraId="0A8224AC">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3E6B6DCD">
      <w:pPr>
        <w:overflowPunct w:val="0"/>
        <w:spacing w:line="600" w:lineRule="exact"/>
        <w:ind w:firstLine="640" w:firstLineChars="200"/>
        <w:rPr>
          <w:rFonts w:hint="eastAsia" w:ascii="Times New Roman" w:hAnsi="Times New Roman" w:eastAsia="仿宋_GB2312" w:cs="Times New Roman"/>
          <w:kern w:val="0"/>
          <w:sz w:val="32"/>
          <w:szCs w:val="32"/>
          <w:highlight w:val="none"/>
          <w:lang w:eastAsia="zh-CN"/>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246.84</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50.32</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2.42</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rPr>
        <w:t>由于政府性基金预算项目支出总额为0，故无法计算占政府性基金预算项目支出总额的比重</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仿宋_GB2312" w:hAnsi="仿宋_GB2312" w:eastAsia="仿宋_GB2312" w:cs="仿宋_GB2312"/>
          <w:b w:val="0"/>
          <w:bCs w:val="0"/>
          <w:color w:val="000000"/>
          <w:kern w:val="0"/>
          <w:sz w:val="32"/>
          <w:szCs w:val="32"/>
          <w:lang w:val="en-US" w:eastAsia="zh-CN" w:bidi="ar-SA"/>
        </w:rPr>
        <w:t>由于国有资本经营预算项目支出总额为0，故无法计算占国有资本经营预算项目支出总额的比重</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w:t>
      </w:r>
      <w:r>
        <w:rPr>
          <w:rFonts w:hint="eastAsia" w:ascii="仿宋_GB2312" w:hAnsi="仿宋_GB2312" w:eastAsia="仿宋_GB2312" w:cs="仿宋_GB2312"/>
          <w:b w:val="0"/>
          <w:bCs w:val="0"/>
          <w:color w:val="000000"/>
          <w:kern w:val="0"/>
          <w:sz w:val="32"/>
          <w:szCs w:val="32"/>
          <w:lang w:val="en-US" w:eastAsia="zh-CN" w:bidi="ar-SA"/>
        </w:rPr>
        <w:t>由于</w:t>
      </w:r>
      <w:r>
        <w:rPr>
          <w:rFonts w:ascii="Times New Roman" w:hAnsi="Times New Roman" w:eastAsia="仿宋_GB2312" w:cs="Times New Roman"/>
          <w:kern w:val="0"/>
          <w:sz w:val="32"/>
          <w:szCs w:val="32"/>
          <w:highlight w:val="none"/>
        </w:rPr>
        <w:t>社会保险基金预算</w:t>
      </w:r>
      <w:r>
        <w:rPr>
          <w:rFonts w:hint="eastAsia" w:ascii="仿宋_GB2312" w:hAnsi="仿宋_GB2312" w:eastAsia="仿宋_GB2312" w:cs="仿宋_GB2312"/>
          <w:b w:val="0"/>
          <w:bCs w:val="0"/>
          <w:color w:val="000000"/>
          <w:kern w:val="0"/>
          <w:sz w:val="32"/>
          <w:szCs w:val="32"/>
          <w:lang w:val="en-US" w:eastAsia="zh-CN" w:bidi="ar-SA"/>
        </w:rPr>
        <w:t>项目支出总额为0，故无法计算占</w:t>
      </w:r>
      <w:r>
        <w:rPr>
          <w:rFonts w:ascii="Times New Roman" w:hAnsi="Times New Roman" w:eastAsia="仿宋_GB2312" w:cs="Times New Roman"/>
          <w:kern w:val="0"/>
          <w:sz w:val="32"/>
          <w:szCs w:val="32"/>
          <w:highlight w:val="none"/>
        </w:rPr>
        <w:t>社会保险基金</w:t>
      </w:r>
      <w:r>
        <w:rPr>
          <w:rFonts w:hint="eastAsia" w:ascii="仿宋_GB2312" w:hAnsi="仿宋_GB2312" w:eastAsia="仿宋_GB2312" w:cs="仿宋_GB2312"/>
          <w:b w:val="0"/>
          <w:bCs w:val="0"/>
          <w:color w:val="000000"/>
          <w:kern w:val="0"/>
          <w:sz w:val="32"/>
          <w:szCs w:val="32"/>
          <w:lang w:val="en-US" w:eastAsia="zh-CN" w:bidi="ar-SA"/>
        </w:rPr>
        <w:t>预算项目支出总额的比重</w:t>
      </w:r>
      <w:r>
        <w:rPr>
          <w:rFonts w:ascii="Times New Roman" w:hAnsi="Times New Roman" w:eastAsia="仿宋_GB2312" w:cs="Times New Roman"/>
          <w:kern w:val="0"/>
          <w:sz w:val="32"/>
          <w:szCs w:val="32"/>
          <w:highlight w:val="none"/>
        </w:rPr>
        <w:t>。</w:t>
      </w:r>
    </w:p>
    <w:p w14:paraId="7C65853C">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仿宋_GB2312" w:hAnsi="仿宋_GB2312" w:eastAsia="仿宋_GB2312" w:cs="仿宋_GB2312"/>
          <w:b w:val="0"/>
          <w:bCs w:val="0"/>
          <w:color w:val="000000"/>
          <w:kern w:val="0"/>
          <w:sz w:val="32"/>
          <w:szCs w:val="32"/>
          <w:lang w:val="en-US" w:eastAsia="zh-CN" w:bidi="ar-SA"/>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仿宋_GB2312" w:hAnsi="仿宋_GB2312" w:eastAsia="仿宋_GB2312" w:cs="仿宋_GB2312"/>
          <w:b w:val="0"/>
          <w:bCs w:val="0"/>
          <w:color w:val="000000"/>
          <w:kern w:val="0"/>
          <w:sz w:val="32"/>
          <w:szCs w:val="32"/>
          <w:lang w:val="en-US" w:eastAsia="zh-CN" w:bidi="ar-SA"/>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21F941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6880.00</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6689.54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97.23</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加强资金监控，积极、主动向主管部门，财政主管股室及绩效管理股交送监控情况表，及时反馈相关信息，促进各项工作顺利开展</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切实做好饮用水源保护工作</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进一步对违法违规企业的打击力度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继续做好突出环境污染问题的整治工作</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三是</w:t>
      </w:r>
      <w:r>
        <w:rPr>
          <w:rFonts w:hint="eastAsia" w:ascii="Times New Roman" w:hAnsi="Times New Roman" w:eastAsia="仿宋_GB2312" w:cs="Times New Roman"/>
          <w:sz w:val="32"/>
          <w:szCs w:val="32"/>
        </w:rPr>
        <w:t>加强环境保护法律法规的宣传工作、加强环境能力建设，提升环保队伍</w:t>
      </w:r>
      <w:r>
        <w:rPr>
          <w:rFonts w:ascii="Times New Roman" w:hAnsi="Times New Roman" w:eastAsia="仿宋_GB2312" w:cs="Times New Roman"/>
          <w:sz w:val="32"/>
          <w:szCs w:val="32"/>
        </w:rPr>
        <w:t>。</w:t>
      </w:r>
    </w:p>
    <w:p w14:paraId="128377A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发现的主要问题及原因：</w:t>
      </w:r>
      <w:r>
        <w:rPr>
          <w:rFonts w:hint="default" w:ascii="仿宋_GB2312" w:hAnsi="仿宋_GB2312" w:eastAsia="仿宋_GB2312" w:cs="仿宋_GB2312"/>
          <w:color w:val="000000"/>
          <w:kern w:val="2"/>
          <w:sz w:val="32"/>
          <w:szCs w:val="32"/>
          <w:lang w:val="en-US" w:eastAsia="zh-CN"/>
        </w:rPr>
        <w:t>预算编制不够明确和细化，预算编制的合理性需要提高，预算执行力度还要进一步加强。绩效管理水平有待提高，特别是绩效指标设置的科学性、合理性有待进一步改善</w:t>
      </w:r>
      <w:r>
        <w:rPr>
          <w:rFonts w:ascii="Times New Roman" w:hAnsi="Times New Roman" w:eastAsia="仿宋_GB2312" w:cs="Times New Roman"/>
          <w:sz w:val="32"/>
          <w:szCs w:val="32"/>
        </w:rPr>
        <w:t>。</w:t>
      </w:r>
    </w:p>
    <w:p w14:paraId="3F3237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ascii="Times New Roman" w:hAnsi="Times New Roman" w:eastAsia="仿宋_GB2312" w:cs="Times New Roman"/>
          <w:sz w:val="32"/>
          <w:szCs w:val="32"/>
        </w:rPr>
        <w:t>下一步改进措施：一是</w:t>
      </w:r>
      <w:r>
        <w:rPr>
          <w:rFonts w:hint="eastAsia" w:ascii="仿宋_GB2312" w:hAnsi="仿宋_GB2312" w:eastAsia="仿宋_GB2312" w:cs="仿宋_GB2312"/>
          <w:sz w:val="32"/>
          <w:szCs w:val="32"/>
          <w:lang w:val="en-US" w:eastAsia="zh-CN"/>
        </w:rPr>
        <w:t>强化预算管理：建立预算绩效评价体系，推动预算与业务深度融合</w:t>
      </w:r>
      <w:r>
        <w:rPr>
          <w:rFonts w:ascii="Times New Roman" w:hAnsi="Times New Roman" w:eastAsia="仿宋_GB2312" w:cs="Times New Roman"/>
          <w:sz w:val="32"/>
          <w:szCs w:val="32"/>
        </w:rPr>
        <w:t>；二是</w:t>
      </w:r>
      <w:r>
        <w:rPr>
          <w:rFonts w:hint="eastAsia" w:ascii="仿宋_GB2312" w:hAnsi="仿宋_GB2312" w:eastAsia="仿宋_GB2312" w:cs="仿宋_GB2312"/>
          <w:sz w:val="32"/>
          <w:szCs w:val="32"/>
          <w:lang w:val="en-US" w:eastAsia="zh-CN"/>
        </w:rPr>
        <w:t>深化内控建设：推进财务信息化提升管理效率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三是</w:t>
      </w:r>
      <w:r>
        <w:rPr>
          <w:rFonts w:hint="eastAsia" w:ascii="仿宋_GB2312" w:hAnsi="仿宋_GB2312" w:eastAsia="仿宋_GB2312" w:cs="仿宋_GB2312"/>
          <w:sz w:val="32"/>
          <w:szCs w:val="32"/>
          <w:lang w:val="en-US" w:eastAsia="zh-CN"/>
        </w:rPr>
        <w:t>加强能力建设：积极参加上级财政部门培训，提升人员专业能力</w:t>
      </w:r>
      <w:r>
        <w:rPr>
          <w:rFonts w:ascii="Times New Roman" w:hAnsi="Times New Roman" w:eastAsia="仿宋_GB2312" w:cs="Times New Roman"/>
          <w:sz w:val="32"/>
          <w:szCs w:val="32"/>
        </w:rPr>
        <w:t>。</w:t>
      </w:r>
    </w:p>
    <w:p w14:paraId="1F555ED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kern w:val="0"/>
          <w:sz w:val="32"/>
          <w:szCs w:val="32"/>
          <w:highlight w:val="none"/>
          <w:lang w:val="en-US" w:eastAsia="zh-CN" w:bidi="ar-SA"/>
        </w:rPr>
        <w:t>本单位为二级预算单位，部门评价结果可详见上级部门决算公开说明</w:t>
      </w:r>
      <w:r>
        <w:rPr>
          <w:rFonts w:ascii="Times New Roman" w:hAnsi="Times New Roman" w:eastAsia="仿宋_GB2312" w:cs="Times New Roman"/>
          <w:sz w:val="32"/>
          <w:szCs w:val="32"/>
        </w:rPr>
        <w:t>。</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lang w:val="en-US" w:eastAsia="zh-CN" w:bidi="ar-SA"/>
        </w:rPr>
        <w:t>本单位为二级预算单位，事前绩效评估结果可详见上级部门决算公开说明。</w:t>
      </w:r>
    </w:p>
    <w:p w14:paraId="2C89E516">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5E8AD5A5">
      <w:pPr>
        <w:autoSpaceDE w:val="0"/>
        <w:autoSpaceDN w:val="0"/>
        <w:adjustRightInd w:val="0"/>
        <w:ind w:firstLine="620" w:firstLineChars="200"/>
        <w:jc w:val="left"/>
        <w:rPr>
          <w:rFonts w:hint="eastAsia" w:ascii="仿宋_GB2312" w:hAnsi="仿宋_GB2312" w:eastAsia="仿宋_GB2312" w:cs="仿宋_GB2312"/>
          <w:b w:val="0"/>
          <w:bCs w:val="0"/>
          <w:sz w:val="32"/>
          <w:szCs w:val="32"/>
          <w:lang w:val="en-US" w:eastAsia="zh-CN"/>
        </w:rPr>
      </w:pPr>
      <w:r>
        <w:rPr>
          <w:rFonts w:hint="default" w:ascii="仿宋" w:hAnsi="仿宋" w:eastAsia="仿宋" w:cs="仿宋"/>
          <w:kern w:val="0"/>
          <w:sz w:val="31"/>
          <w:szCs w:val="31"/>
          <w:lang w:eastAsia="en-US"/>
        </w:rPr>
        <w:t>本单位绩效自评结果为</w:t>
      </w:r>
      <w:r>
        <w:rPr>
          <w:rFonts w:hint="eastAsia" w:ascii="仿宋" w:hAnsi="仿宋" w:eastAsia="仿宋" w:cs="仿宋"/>
          <w:kern w:val="0"/>
          <w:sz w:val="31"/>
          <w:szCs w:val="31"/>
          <w:lang w:eastAsia="zh-CN"/>
        </w:rPr>
        <w:t>优秀</w:t>
      </w:r>
      <w:r>
        <w:rPr>
          <w:rFonts w:hint="default" w:ascii="仿宋" w:hAnsi="仿宋" w:eastAsia="仿宋" w:cs="仿宋"/>
          <w:kern w:val="0"/>
          <w:sz w:val="31"/>
          <w:szCs w:val="31"/>
          <w:lang w:eastAsia="en-US"/>
        </w:rPr>
        <w:t>等级。下一步将根据财政检查绩效自评发现的问题等进行改善，并按政务</w:t>
      </w:r>
      <w:bookmarkStart w:id="0" w:name="_GoBack"/>
      <w:bookmarkEnd w:id="0"/>
      <w:r>
        <w:rPr>
          <w:rFonts w:hint="default" w:ascii="仿宋" w:hAnsi="仿宋" w:eastAsia="仿宋" w:cs="仿宋"/>
          <w:kern w:val="0"/>
          <w:sz w:val="31"/>
          <w:szCs w:val="31"/>
          <w:lang w:eastAsia="en-US"/>
        </w:rPr>
        <w:t>公开的相关规定，</w:t>
      </w:r>
      <w:r>
        <w:rPr>
          <w:rFonts w:hint="eastAsia" w:ascii="仿宋_GB2312" w:hAnsi="仿宋_GB2312" w:eastAsia="仿宋_GB2312" w:cs="仿宋_GB2312"/>
          <w:b w:val="0"/>
          <w:bCs w:val="0"/>
          <w:sz w:val="32"/>
          <w:szCs w:val="32"/>
          <w:lang w:val="en-US" w:eastAsia="zh-CN"/>
        </w:rPr>
        <w:t>已在市政府部门财政预决算公开平台上向社会公开，详见附件。</w:t>
      </w:r>
    </w:p>
    <w:p w14:paraId="62BEA247">
      <w:pPr>
        <w:pStyle w:val="2"/>
        <w:rPr>
          <w:rFonts w:hint="eastAsia"/>
          <w:lang w:val="en-US" w:eastAsia="zh-CN"/>
        </w:rPr>
      </w:pPr>
    </w:p>
    <w:p w14:paraId="3971199E">
      <w:pPr>
        <w:numPr>
          <w:ilvl w:val="0"/>
          <w:numId w:val="0"/>
        </w:numPr>
        <w:autoSpaceDE w:val="0"/>
        <w:autoSpaceDN w:val="0"/>
        <w:adjustRightInd w:val="0"/>
        <w:jc w:val="left"/>
        <w:rPr>
          <w:sz w:val="72"/>
          <w:szCs w:val="72"/>
        </w:rPr>
      </w:pPr>
    </w:p>
    <w:p w14:paraId="147E06D0">
      <w:pPr>
        <w:pStyle w:val="13"/>
        <w:jc w:val="both"/>
        <w:rPr>
          <w:rFonts w:hint="eastAsia" w:ascii="方正小标宋_GBK" w:hAnsi="方正小标宋_GBK" w:eastAsia="方正小标宋_GBK" w:cs="方正小标宋_GBK"/>
          <w:sz w:val="24"/>
          <w:szCs w:val="24"/>
        </w:rPr>
      </w:pPr>
    </w:p>
    <w:p w14:paraId="5515AA26">
      <w:pPr>
        <w:pStyle w:val="13"/>
        <w:jc w:val="both"/>
        <w:rPr>
          <w:rFonts w:hint="eastAsia" w:ascii="方正小标宋_GBK" w:hAnsi="方正小标宋_GBK" w:eastAsia="方正小标宋_GBK" w:cs="方正小标宋_GBK"/>
          <w:sz w:val="24"/>
          <w:szCs w:val="24"/>
        </w:rPr>
      </w:pPr>
    </w:p>
    <w:p w14:paraId="2D4A1991">
      <w:pPr>
        <w:pStyle w:val="13"/>
        <w:jc w:val="both"/>
        <w:rPr>
          <w:rFonts w:hint="eastAsia" w:ascii="方正小标宋_GBK" w:hAnsi="方正小标宋_GBK" w:eastAsia="方正小标宋_GBK" w:cs="方正小标宋_GBK"/>
          <w:sz w:val="24"/>
          <w:szCs w:val="24"/>
        </w:rPr>
      </w:pPr>
    </w:p>
    <w:p w14:paraId="61121CB9">
      <w:pPr>
        <w:pStyle w:val="13"/>
        <w:jc w:val="both"/>
        <w:rPr>
          <w:rFonts w:hint="eastAsia" w:ascii="方正小标宋_GBK" w:hAnsi="方正小标宋_GBK" w:eastAsia="方正小标宋_GBK" w:cs="方正小标宋_GBK"/>
          <w:sz w:val="24"/>
          <w:szCs w:val="24"/>
        </w:rPr>
      </w:pPr>
    </w:p>
    <w:p w14:paraId="42B655A1">
      <w:pPr>
        <w:pStyle w:val="13"/>
        <w:jc w:val="both"/>
        <w:rPr>
          <w:rFonts w:hint="eastAsia" w:ascii="方正小标宋_GBK" w:hAnsi="方正小标宋_GBK" w:eastAsia="方正小标宋_GBK" w:cs="方正小标宋_GBK"/>
          <w:sz w:val="24"/>
          <w:szCs w:val="24"/>
        </w:rPr>
      </w:pPr>
    </w:p>
    <w:p w14:paraId="5C7B53F4">
      <w:pPr>
        <w:pStyle w:val="13"/>
        <w:jc w:val="both"/>
        <w:rPr>
          <w:rFonts w:hint="eastAsia" w:ascii="方正小标宋_GBK" w:hAnsi="方正小标宋_GBK" w:eastAsia="方正小标宋_GBK" w:cs="方正小标宋_GBK"/>
          <w:sz w:val="24"/>
          <w:szCs w:val="24"/>
        </w:rPr>
      </w:pPr>
    </w:p>
    <w:p w14:paraId="155F0A2A">
      <w:pPr>
        <w:pStyle w:val="13"/>
        <w:jc w:val="both"/>
        <w:rPr>
          <w:rFonts w:hint="eastAsia" w:ascii="方正小标宋_GBK" w:hAnsi="方正小标宋_GBK" w:eastAsia="方正小标宋_GBK" w:cs="方正小标宋_GBK"/>
          <w:sz w:val="24"/>
          <w:szCs w:val="24"/>
        </w:rPr>
      </w:pPr>
    </w:p>
    <w:p w14:paraId="7E5E1E77">
      <w:pPr>
        <w:pStyle w:val="13"/>
        <w:jc w:val="both"/>
        <w:rPr>
          <w:rFonts w:hint="eastAsia" w:ascii="方正小标宋_GBK" w:hAnsi="方正小标宋_GBK" w:eastAsia="方正小标宋_GBK" w:cs="方正小标宋_GBK"/>
          <w:sz w:val="24"/>
          <w:szCs w:val="24"/>
        </w:rPr>
      </w:pPr>
    </w:p>
    <w:p w14:paraId="0EAD01F6">
      <w:pPr>
        <w:pStyle w:val="13"/>
        <w:jc w:val="both"/>
        <w:rPr>
          <w:rFonts w:hint="eastAsia" w:ascii="方正小标宋_GBK" w:hAnsi="方正小标宋_GBK" w:eastAsia="方正小标宋_GBK" w:cs="方正小标宋_GBK"/>
          <w:sz w:val="24"/>
          <w:szCs w:val="24"/>
        </w:rPr>
      </w:pPr>
    </w:p>
    <w:p w14:paraId="62AB7D4C">
      <w:pPr>
        <w:pStyle w:val="13"/>
        <w:jc w:val="both"/>
        <w:rPr>
          <w:rFonts w:hint="eastAsia" w:ascii="方正小标宋_GBK" w:hAnsi="方正小标宋_GBK" w:eastAsia="方正小标宋_GBK" w:cs="方正小标宋_GBK"/>
          <w:sz w:val="24"/>
          <w:szCs w:val="24"/>
        </w:rPr>
      </w:pPr>
    </w:p>
    <w:p w14:paraId="34B3CC53">
      <w:pPr>
        <w:pStyle w:val="13"/>
        <w:jc w:val="both"/>
        <w:rPr>
          <w:rFonts w:hint="eastAsia" w:ascii="方正小标宋_GBK" w:hAnsi="方正小标宋_GBK" w:eastAsia="方正小标宋_GBK" w:cs="方正小标宋_GBK"/>
          <w:sz w:val="24"/>
          <w:szCs w:val="24"/>
        </w:rPr>
      </w:pPr>
    </w:p>
    <w:p w14:paraId="257638A7">
      <w:pPr>
        <w:pStyle w:val="13"/>
        <w:jc w:val="both"/>
        <w:rPr>
          <w:rFonts w:hint="eastAsia" w:ascii="方正小标宋_GBK" w:hAnsi="方正小标宋_GBK" w:eastAsia="方正小标宋_GBK" w:cs="方正小标宋_GBK"/>
          <w:sz w:val="24"/>
          <w:szCs w:val="24"/>
        </w:rPr>
      </w:pPr>
    </w:p>
    <w:p w14:paraId="3D83FDA1">
      <w:pPr>
        <w:pStyle w:val="13"/>
        <w:jc w:val="center"/>
        <w:rPr>
          <w:rFonts w:hint="eastAsia" w:ascii="方正小标宋_GBK" w:hAnsi="方正小标宋_GBK" w:eastAsia="方正小标宋_GBK" w:cs="方正小标宋_GBK"/>
          <w:sz w:val="72"/>
          <w:szCs w:val="72"/>
        </w:rPr>
      </w:pPr>
    </w:p>
    <w:p w14:paraId="6FB6F211">
      <w:pPr>
        <w:pStyle w:val="13"/>
        <w:jc w:val="center"/>
        <w:rPr>
          <w:rFonts w:hint="eastAsia" w:ascii="方正小标宋_GBK" w:hAnsi="方正小标宋_GBK" w:eastAsia="方正小标宋_GBK" w:cs="方正小标宋_GBK"/>
          <w:sz w:val="72"/>
          <w:szCs w:val="72"/>
        </w:rPr>
      </w:pPr>
    </w:p>
    <w:p w14:paraId="3A01B6B0">
      <w:pPr>
        <w:pStyle w:val="13"/>
        <w:jc w:val="center"/>
        <w:rPr>
          <w:rFonts w:hint="eastAsia" w:ascii="方正小标宋_GBK" w:hAnsi="方正小标宋_GBK" w:eastAsia="方正小标宋_GBK" w:cs="方正小标宋_GBK"/>
          <w:sz w:val="72"/>
          <w:szCs w:val="72"/>
        </w:rPr>
      </w:pPr>
    </w:p>
    <w:p w14:paraId="475C1000">
      <w:pPr>
        <w:pStyle w:val="13"/>
        <w:jc w:val="center"/>
        <w:rPr>
          <w:rFonts w:hint="eastAsia" w:ascii="方正小标宋_GBK" w:hAnsi="方正小标宋_GBK" w:eastAsia="方正小标宋_GBK" w:cs="方正小标宋_GBK"/>
          <w:sz w:val="72"/>
          <w:szCs w:val="72"/>
        </w:rPr>
      </w:pPr>
    </w:p>
    <w:p w14:paraId="6A5A782C">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185EC3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D4850A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18EAE6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3"/>
        <w:jc w:val="center"/>
        <w:rPr>
          <w:rFonts w:hint="eastAsia" w:ascii="仿宋_GB2312" w:hAnsi="仿宋_GB2312" w:eastAsia="仿宋_GB2312" w:cs="仿宋_GB2312"/>
          <w:sz w:val="32"/>
          <w:szCs w:val="32"/>
        </w:rPr>
      </w:pPr>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3"/>
        <w:jc w:val="both"/>
        <w:rPr>
          <w:rFonts w:hint="eastAsia" w:ascii="方正小标宋_GBK" w:hAnsi="方正小标宋_GBK" w:eastAsia="方正小标宋_GBK" w:cs="方正小标宋_GBK"/>
          <w:sz w:val="72"/>
          <w:szCs w:val="72"/>
        </w:rPr>
      </w:pPr>
    </w:p>
    <w:p w14:paraId="0C1858E3">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3"/>
        <w:jc w:val="both"/>
        <w:rPr>
          <w:rFonts w:hint="eastAsia" w:ascii="方正小标宋_GBK" w:hAnsi="方正小标宋_GBK" w:eastAsia="方正小标宋_GBK" w:cs="方正小标宋_GBK"/>
          <w:sz w:val="70"/>
          <w:szCs w:val="70"/>
          <w:lang w:eastAsia="zh-CN"/>
        </w:rPr>
      </w:pPr>
    </w:p>
    <w:p w14:paraId="490142D3">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E3CBC331"/>
    <w:multiLevelType w:val="singleLevel"/>
    <w:tmpl w:val="E3CBC331"/>
    <w:lvl w:ilvl="0" w:tentative="0">
      <w:start w:val="3"/>
      <w:numFmt w:val="decimal"/>
      <w:lvlText w:val="%1."/>
      <w:lvlJc w:val="left"/>
      <w:pPr>
        <w:tabs>
          <w:tab w:val="left" w:pos="312"/>
        </w:tabs>
      </w:p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F86D25"/>
    <w:rsid w:val="04581CB1"/>
    <w:rsid w:val="059958AD"/>
    <w:rsid w:val="06C857E7"/>
    <w:rsid w:val="08C24A73"/>
    <w:rsid w:val="11944E2C"/>
    <w:rsid w:val="12583BA5"/>
    <w:rsid w:val="13BA5B9C"/>
    <w:rsid w:val="1D97DEFF"/>
    <w:rsid w:val="1DFF72E5"/>
    <w:rsid w:val="1EFC6F07"/>
    <w:rsid w:val="1F0527A6"/>
    <w:rsid w:val="22AC03C2"/>
    <w:rsid w:val="23DF164F"/>
    <w:rsid w:val="283B15FE"/>
    <w:rsid w:val="2FDF85B8"/>
    <w:rsid w:val="2FFFEE04"/>
    <w:rsid w:val="31C95635"/>
    <w:rsid w:val="34DF85B0"/>
    <w:rsid w:val="3B8F36BC"/>
    <w:rsid w:val="43EB5BA5"/>
    <w:rsid w:val="46350031"/>
    <w:rsid w:val="491FF225"/>
    <w:rsid w:val="4EC310A1"/>
    <w:rsid w:val="4FFD214C"/>
    <w:rsid w:val="5352765A"/>
    <w:rsid w:val="55A848AF"/>
    <w:rsid w:val="5777D4F5"/>
    <w:rsid w:val="57F22B6F"/>
    <w:rsid w:val="59DD8326"/>
    <w:rsid w:val="5AC73C28"/>
    <w:rsid w:val="5D0D28E7"/>
    <w:rsid w:val="5DEF592A"/>
    <w:rsid w:val="5FC6BB1E"/>
    <w:rsid w:val="5FF720F1"/>
    <w:rsid w:val="622964C1"/>
    <w:rsid w:val="637779CB"/>
    <w:rsid w:val="67FF5C0B"/>
    <w:rsid w:val="6A18009C"/>
    <w:rsid w:val="6B9272ED"/>
    <w:rsid w:val="6BAA4A2F"/>
    <w:rsid w:val="6DDEC5C0"/>
    <w:rsid w:val="6EFC0924"/>
    <w:rsid w:val="6FB74722"/>
    <w:rsid w:val="6FEF8B7E"/>
    <w:rsid w:val="717FE77F"/>
    <w:rsid w:val="71A6591B"/>
    <w:rsid w:val="737D59BA"/>
    <w:rsid w:val="737F32B1"/>
    <w:rsid w:val="73BD3FCA"/>
    <w:rsid w:val="755A1EB0"/>
    <w:rsid w:val="776BDA01"/>
    <w:rsid w:val="77C37683"/>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semiHidden/>
    <w:qFormat/>
    <w:uiPriority w:val="0"/>
    <w:pPr>
      <w:widowControl w:val="0"/>
      <w:jc w:val="both"/>
    </w:pPr>
    <w:rPr>
      <w:rFonts w:ascii="仿宋" w:hAnsi="仿宋" w:eastAsia="仿宋" w:cs="仿宋"/>
      <w:kern w:val="2"/>
      <w:sz w:val="31"/>
      <w:szCs w:val="31"/>
      <w:lang w:val="en-US" w:eastAsia="en-US" w:bidi="ar-SA"/>
    </w:rPr>
  </w:style>
  <w:style w:type="paragraph" w:styleId="6">
    <w:name w:val="Balloon Text"/>
    <w:basedOn w:val="1"/>
    <w:link w:val="15"/>
    <w:semiHidden/>
    <w:unhideWhenUsed/>
    <w:qFormat/>
    <w:uiPriority w:val="99"/>
    <w:rPr>
      <w:sz w:val="18"/>
      <w:szCs w:val="18"/>
    </w:rPr>
  </w:style>
  <w:style w:type="paragraph" w:styleId="7">
    <w:name w:val="footer"/>
    <w:basedOn w:val="1"/>
    <w:link w:val="12"/>
    <w:unhideWhenUsed/>
    <w:qFormat/>
    <w:uiPriority w:val="99"/>
    <w:pPr>
      <w:tabs>
        <w:tab w:val="center" w:pos="4153"/>
        <w:tab w:val="right" w:pos="8306"/>
      </w:tabs>
      <w:snapToGrid w:val="0"/>
      <w:jc w:val="left"/>
    </w:pPr>
    <w:rPr>
      <w:sz w:val="18"/>
      <w:szCs w:val="18"/>
    </w:rPr>
  </w:style>
  <w:style w:type="paragraph" w:styleId="8">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qFormat/>
    <w:uiPriority w:val="99"/>
    <w:rPr>
      <w:sz w:val="18"/>
      <w:szCs w:val="18"/>
    </w:rPr>
  </w:style>
  <w:style w:type="character" w:customStyle="1" w:styleId="12">
    <w:name w:val="页脚 Char"/>
    <w:basedOn w:val="10"/>
    <w:link w:val="7"/>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6"/>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8686</Words>
  <Characters>9363</Characters>
  <Lines>63</Lines>
  <Paragraphs>18</Paragraphs>
  <TotalTime>0</TotalTime>
  <ScaleCrop>false</ScaleCrop>
  <LinksUpToDate>false</LinksUpToDate>
  <CharactersWithSpaces>9381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Y</cp:lastModifiedBy>
  <cp:lastPrinted>2024-08-11T02:20:00Z</cp:lastPrinted>
  <dcterms:modified xsi:type="dcterms:W3CDTF">2025-09-23T08:09:03Z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582685D1CAB840E887D41790E6F9D180_13</vt:lpwstr>
  </property>
  <property fmtid="{D5CDD505-2E9C-101B-9397-08002B2CF9AE}" pid="4" name="KSOTemplateDocerSaveRecord">
    <vt:lpwstr>eyJoZGlkIjoiYTI1ZWRhODIzZjNkMzE5ODI3Y2UwZTM2NjQ3YjE4YjIiLCJ1c2VySWQiOiI1Mzg0MzA5MzAifQ==</vt:lpwstr>
  </property>
</Properties>
</file>