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5"/>
        <w:jc w:val="center"/>
        <w:rPr>
          <w:sz w:val="56"/>
          <w:szCs w:val="56"/>
        </w:rPr>
      </w:pPr>
    </w:p>
    <w:p w14:paraId="3BDF5AB8">
      <w:pPr>
        <w:pStyle w:val="15"/>
        <w:jc w:val="center"/>
        <w:rPr>
          <w:sz w:val="56"/>
          <w:szCs w:val="56"/>
          <w:highlight w:val="none"/>
        </w:rPr>
      </w:pPr>
    </w:p>
    <w:p w14:paraId="60CA4575">
      <w:pPr>
        <w:pStyle w:val="15"/>
        <w:jc w:val="center"/>
        <w:rPr>
          <w:sz w:val="84"/>
          <w:szCs w:val="84"/>
          <w:highlight w:val="none"/>
        </w:rPr>
      </w:pPr>
    </w:p>
    <w:p w14:paraId="215EB31D">
      <w:pPr>
        <w:pStyle w:val="15"/>
        <w:jc w:val="center"/>
        <w:rPr>
          <w:sz w:val="84"/>
          <w:szCs w:val="84"/>
          <w:highlight w:val="none"/>
        </w:rPr>
      </w:pPr>
    </w:p>
    <w:p w14:paraId="376C8602">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202</w:t>
      </w:r>
      <w:r>
        <w:rPr>
          <w:rFonts w:hint="eastAsia" w:ascii="方正小标宋_GBK" w:hAnsi="方正小标宋_GBK" w:eastAsia="方正小标宋_GBK" w:cs="方正小标宋_GBK"/>
          <w:sz w:val="84"/>
          <w:szCs w:val="84"/>
          <w:highlight w:val="none"/>
          <w:lang w:val="en-US" w:eastAsia="zh-CN"/>
        </w:rPr>
        <w:t>4</w:t>
      </w:r>
      <w:r>
        <w:rPr>
          <w:rFonts w:hint="eastAsia" w:ascii="方正小标宋_GBK" w:hAnsi="方正小标宋_GBK" w:eastAsia="方正小标宋_GBK" w:cs="方正小标宋_GBK"/>
          <w:sz w:val="84"/>
          <w:szCs w:val="84"/>
          <w:highlight w:val="none"/>
        </w:rPr>
        <w:t>年度</w:t>
      </w:r>
    </w:p>
    <w:p w14:paraId="6934EBE9">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岳阳市生态环境局</w:t>
      </w:r>
      <w:r>
        <w:rPr>
          <w:rFonts w:hint="eastAsia" w:ascii="方正小标宋_GBK" w:hAnsi="方正小标宋_GBK" w:eastAsia="方正小标宋_GBK" w:cs="方正小标宋_GBK"/>
          <w:sz w:val="84"/>
          <w:szCs w:val="84"/>
          <w:highlight w:val="none"/>
          <w:lang w:eastAsia="zh-CN"/>
        </w:rPr>
        <w:t>屈原</w:t>
      </w:r>
      <w:r>
        <w:rPr>
          <w:rFonts w:hint="eastAsia" w:ascii="方正小标宋_GBK" w:hAnsi="方正小标宋_GBK" w:eastAsia="方正小标宋_GBK" w:cs="方正小标宋_GBK"/>
          <w:sz w:val="84"/>
          <w:szCs w:val="84"/>
          <w:highlight w:val="none"/>
        </w:rPr>
        <w:t>分局单位部门决算</w:t>
      </w:r>
    </w:p>
    <w:p w14:paraId="3A699C16">
      <w:pPr>
        <w:pStyle w:val="15"/>
        <w:jc w:val="center"/>
        <w:rPr>
          <w:rFonts w:hint="eastAsia" w:ascii="方正小标宋_GBK" w:hAnsi="方正小标宋_GBK" w:eastAsia="方正小标宋_GBK" w:cs="方正小标宋_GBK"/>
          <w:sz w:val="56"/>
          <w:szCs w:val="56"/>
          <w:highlight w:val="none"/>
        </w:rPr>
      </w:pPr>
    </w:p>
    <w:p w14:paraId="72C8FB58">
      <w:pPr>
        <w:pStyle w:val="15"/>
        <w:jc w:val="center"/>
        <w:rPr>
          <w:sz w:val="56"/>
          <w:szCs w:val="56"/>
          <w:highlight w:val="none"/>
        </w:rPr>
      </w:pPr>
    </w:p>
    <w:p w14:paraId="25018D25">
      <w:pPr>
        <w:pStyle w:val="15"/>
        <w:jc w:val="center"/>
        <w:rPr>
          <w:sz w:val="56"/>
          <w:szCs w:val="56"/>
          <w:highlight w:val="none"/>
        </w:rPr>
      </w:pPr>
    </w:p>
    <w:p w14:paraId="5EE73A38">
      <w:pPr>
        <w:pStyle w:val="15"/>
        <w:jc w:val="center"/>
        <w:rPr>
          <w:sz w:val="56"/>
          <w:szCs w:val="56"/>
          <w:highlight w:val="none"/>
        </w:rPr>
      </w:pPr>
    </w:p>
    <w:p w14:paraId="297571C5">
      <w:pPr>
        <w:pStyle w:val="15"/>
        <w:jc w:val="center"/>
        <w:rPr>
          <w:sz w:val="32"/>
          <w:szCs w:val="32"/>
          <w:highlight w:val="none"/>
        </w:rPr>
      </w:pPr>
    </w:p>
    <w:p w14:paraId="08493D1E">
      <w:pPr>
        <w:pStyle w:val="15"/>
        <w:jc w:val="center"/>
        <w:rPr>
          <w:sz w:val="32"/>
          <w:szCs w:val="32"/>
          <w:highlight w:val="none"/>
        </w:rPr>
      </w:pPr>
    </w:p>
    <w:p w14:paraId="5BD6E8BD">
      <w:pPr>
        <w:pStyle w:val="15"/>
        <w:jc w:val="center"/>
        <w:rPr>
          <w:sz w:val="32"/>
          <w:szCs w:val="32"/>
          <w:highlight w:val="none"/>
        </w:rPr>
      </w:pPr>
    </w:p>
    <w:p w14:paraId="1062A3B4">
      <w:pPr>
        <w:pStyle w:val="15"/>
        <w:jc w:val="center"/>
        <w:rPr>
          <w:sz w:val="32"/>
          <w:szCs w:val="32"/>
          <w:highlight w:val="none"/>
        </w:rPr>
      </w:pPr>
    </w:p>
    <w:p w14:paraId="6311DFC7">
      <w:pPr>
        <w:pStyle w:val="15"/>
        <w:jc w:val="center"/>
        <w:rPr>
          <w:sz w:val="32"/>
          <w:szCs w:val="32"/>
          <w:highlight w:val="none"/>
        </w:rPr>
      </w:pPr>
    </w:p>
    <w:p w14:paraId="50228290">
      <w:pPr>
        <w:pStyle w:val="15"/>
        <w:spacing w:line="540" w:lineRule="exact"/>
        <w:jc w:val="center"/>
        <w:rPr>
          <w:sz w:val="56"/>
          <w:szCs w:val="56"/>
          <w:highlight w:val="none"/>
        </w:rPr>
      </w:pPr>
    </w:p>
    <w:p w14:paraId="459C483D">
      <w:pPr>
        <w:pStyle w:val="15"/>
        <w:spacing w:line="500" w:lineRule="exact"/>
        <w:jc w:val="both"/>
        <w:rPr>
          <w:b/>
          <w:sz w:val="36"/>
          <w:szCs w:val="28"/>
          <w:highlight w:val="none"/>
        </w:rPr>
      </w:pPr>
    </w:p>
    <w:p w14:paraId="24F3309B">
      <w:pPr>
        <w:pStyle w:val="15"/>
        <w:spacing w:line="500" w:lineRule="exact"/>
        <w:jc w:val="center"/>
        <w:rPr>
          <w:b/>
          <w:sz w:val="36"/>
          <w:szCs w:val="28"/>
          <w:highlight w:val="none"/>
        </w:rPr>
      </w:pPr>
      <w:r>
        <w:rPr>
          <w:rFonts w:hint="eastAsia"/>
          <w:b/>
          <w:sz w:val="36"/>
          <w:szCs w:val="28"/>
          <w:highlight w:val="none"/>
        </w:rPr>
        <w:t>目录</w:t>
      </w:r>
    </w:p>
    <w:p w14:paraId="6CBD0C22">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第一部分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岳阳市生态环境局</w:t>
      </w:r>
      <w:r>
        <w:rPr>
          <w:rFonts w:hint="eastAsia" w:hAnsi="黑体" w:cs="黑体"/>
          <w:b w:val="0"/>
          <w:bCs/>
          <w:sz w:val="28"/>
          <w:szCs w:val="28"/>
          <w:highlight w:val="none"/>
          <w:lang w:eastAsia="zh-CN"/>
        </w:rPr>
        <w:t>屈原</w:t>
      </w:r>
      <w:r>
        <w:rPr>
          <w:rFonts w:hint="eastAsia" w:ascii="黑体" w:hAnsi="黑体" w:eastAsia="黑体" w:cs="黑体"/>
          <w:b w:val="0"/>
          <w:bCs/>
          <w:sz w:val="28"/>
          <w:szCs w:val="28"/>
          <w:highlight w:val="none"/>
        </w:rPr>
        <w:t>分局</w:t>
      </w:r>
      <w:r>
        <w:rPr>
          <w:rFonts w:hint="eastAsia" w:ascii="黑体" w:hAnsi="黑体" w:eastAsia="黑体" w:cs="黑体"/>
          <w:b w:val="0"/>
          <w:bCs/>
          <w:sz w:val="28"/>
          <w:szCs w:val="28"/>
          <w:highlight w:val="none"/>
          <w:lang w:eastAsia="zh-CN"/>
        </w:rPr>
        <w:t>部门（</w:t>
      </w:r>
      <w:r>
        <w:rPr>
          <w:rFonts w:hint="eastAsia" w:ascii="黑体" w:hAnsi="黑体" w:eastAsia="黑体" w:cs="黑体"/>
          <w:b w:val="0"/>
          <w:bCs/>
          <w:sz w:val="28"/>
          <w:szCs w:val="28"/>
          <w:highlight w:val="none"/>
        </w:rPr>
        <w:t>单位</w:t>
      </w:r>
      <w:r>
        <w:rPr>
          <w:rFonts w:hint="eastAsia" w:ascii="黑体" w:hAnsi="黑体" w:eastAsia="黑体" w:cs="黑体"/>
          <w:b w:val="0"/>
          <w:bCs/>
          <w:sz w:val="28"/>
          <w:szCs w:val="28"/>
          <w:highlight w:val="none"/>
          <w:lang w:eastAsia="zh-CN"/>
        </w:rPr>
        <w:t>）</w:t>
      </w:r>
      <w:r>
        <w:rPr>
          <w:rFonts w:hint="eastAsia" w:ascii="黑体" w:hAnsi="黑体" w:eastAsia="黑体" w:cs="黑体"/>
          <w:b w:val="0"/>
          <w:bCs/>
          <w:sz w:val="28"/>
          <w:szCs w:val="28"/>
          <w:highlight w:val="none"/>
        </w:rPr>
        <w:t>概况</w:t>
      </w:r>
    </w:p>
    <w:p w14:paraId="060CB1DC">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一、部门职责</w:t>
      </w:r>
    </w:p>
    <w:p w14:paraId="315E49DA">
      <w:pPr>
        <w:pStyle w:val="15"/>
        <w:spacing w:line="500" w:lineRule="exact"/>
        <w:ind w:firstLine="700" w:firstLineChars="25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二、机构设置</w:t>
      </w:r>
      <w:r>
        <w:rPr>
          <w:rFonts w:hint="eastAsia" w:ascii="仿宋_GB2312" w:hAnsi="仿宋_GB2312" w:eastAsia="仿宋_GB2312" w:cs="仿宋_GB2312"/>
          <w:sz w:val="28"/>
          <w:szCs w:val="28"/>
          <w:highlight w:val="none"/>
          <w:lang w:eastAsia="zh-CN"/>
        </w:rPr>
        <w:t>及决算单位构成</w:t>
      </w:r>
    </w:p>
    <w:p w14:paraId="3CE431DD">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第二部分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部门决算表</w:t>
      </w:r>
    </w:p>
    <w:p w14:paraId="4B1DE222">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一、收入支出决算总表</w:t>
      </w:r>
    </w:p>
    <w:p w14:paraId="28DAEA9B">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二、收入决算表</w:t>
      </w:r>
    </w:p>
    <w:p w14:paraId="4189E141">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三、支出决算表</w:t>
      </w:r>
    </w:p>
    <w:p w14:paraId="0621647E">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四、财政拨款收入支出决算总表</w:t>
      </w:r>
    </w:p>
    <w:p w14:paraId="28E0B171">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五、一般公共预算财政拨款支出决算表</w:t>
      </w:r>
    </w:p>
    <w:p w14:paraId="0A1DA969">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六、一般公共预算财政拨款基本支出决算明细表</w:t>
      </w:r>
    </w:p>
    <w:p w14:paraId="62E9A333">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七、政府性基金预算财政拨款收入支出决算表</w:t>
      </w:r>
    </w:p>
    <w:p w14:paraId="316661B6">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八、国有资本经营预算财政拨款支出决算表</w:t>
      </w:r>
    </w:p>
    <w:p w14:paraId="23827588">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九、财政拨款“三公”经费支出决算表</w:t>
      </w:r>
    </w:p>
    <w:p w14:paraId="69B4707F">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第三部分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部门决算情况说明</w:t>
      </w:r>
    </w:p>
    <w:p w14:paraId="30D2819C">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sz w:val="28"/>
          <w:szCs w:val="28"/>
          <w:highlight w:val="none"/>
        </w:rPr>
        <w:t>十二、</w:t>
      </w:r>
      <w:r>
        <w:rPr>
          <w:rFonts w:hint="eastAsia" w:ascii="仿宋_GB2312" w:hAnsi="仿宋_GB2312" w:eastAsia="仿宋_GB2312" w:cs="仿宋_GB2312"/>
          <w:color w:val="000000"/>
          <w:kern w:val="0"/>
          <w:sz w:val="28"/>
          <w:szCs w:val="28"/>
          <w:highlight w:val="none"/>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十三、关于国有资产占用情况说明</w:t>
      </w:r>
    </w:p>
    <w:p w14:paraId="5BD7D26C">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5"/>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第四部分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名词解释</w:t>
      </w:r>
    </w:p>
    <w:p w14:paraId="7D866A9C">
      <w:pPr>
        <w:pStyle w:val="15"/>
        <w:spacing w:line="500" w:lineRule="exact"/>
        <w:rPr>
          <w:rFonts w:hint="eastAsia" w:ascii="黑体" w:hAnsi="黑体" w:eastAsia="黑体" w:cs="黑体"/>
          <w:b w:val="0"/>
          <w:bCs/>
          <w:sz w:val="28"/>
          <w:szCs w:val="28"/>
          <w:highlight w:val="none"/>
          <w:lang w:eastAsia="zh-CN"/>
        </w:rPr>
      </w:pPr>
      <w:r>
        <w:rPr>
          <w:rFonts w:hint="eastAsia" w:ascii="黑体" w:hAnsi="黑体" w:eastAsia="黑体" w:cs="黑体"/>
          <w:b w:val="0"/>
          <w:bCs/>
          <w:sz w:val="28"/>
          <w:szCs w:val="28"/>
          <w:highlight w:val="none"/>
        </w:rPr>
        <w:t>第</w:t>
      </w:r>
      <w:r>
        <w:rPr>
          <w:rFonts w:hint="eastAsia" w:hAnsi="黑体" w:cs="黑体"/>
          <w:b w:val="0"/>
          <w:bCs/>
          <w:sz w:val="28"/>
          <w:szCs w:val="28"/>
          <w:highlight w:val="none"/>
          <w:lang w:eastAsia="zh-CN"/>
        </w:rPr>
        <w:t>五</w:t>
      </w:r>
      <w:r>
        <w:rPr>
          <w:rFonts w:hint="eastAsia" w:ascii="黑体" w:hAnsi="黑体" w:eastAsia="黑体" w:cs="黑体"/>
          <w:b w:val="0"/>
          <w:bCs/>
          <w:sz w:val="28"/>
          <w:szCs w:val="28"/>
          <w:highlight w:val="none"/>
        </w:rPr>
        <w:t>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eastAsia="zh-CN"/>
        </w:rPr>
        <w:t>附件</w:t>
      </w:r>
    </w:p>
    <w:p w14:paraId="2E7F14A9">
      <w:pPr>
        <w:pStyle w:val="15"/>
        <w:jc w:val="center"/>
        <w:rPr>
          <w:rFonts w:hint="eastAsia" w:ascii="方正小标宋_GBK" w:hAnsi="方正小标宋_GBK" w:eastAsia="方正小标宋_GBK" w:cs="方正小标宋_GBK"/>
          <w:sz w:val="84"/>
          <w:szCs w:val="84"/>
          <w:highlight w:val="none"/>
        </w:rPr>
      </w:pPr>
    </w:p>
    <w:p w14:paraId="4C45AFF2">
      <w:pPr>
        <w:pStyle w:val="15"/>
        <w:jc w:val="center"/>
        <w:rPr>
          <w:rFonts w:hint="eastAsia" w:ascii="方正小标宋_GBK" w:hAnsi="方正小标宋_GBK" w:eastAsia="方正小标宋_GBK" w:cs="方正小标宋_GBK"/>
          <w:sz w:val="84"/>
          <w:szCs w:val="84"/>
          <w:highlight w:val="none"/>
        </w:rPr>
      </w:pPr>
    </w:p>
    <w:p w14:paraId="759E723F">
      <w:pPr>
        <w:pStyle w:val="15"/>
        <w:jc w:val="center"/>
        <w:rPr>
          <w:rFonts w:hint="eastAsia" w:ascii="方正小标宋_GBK" w:hAnsi="方正小标宋_GBK" w:eastAsia="方正小标宋_GBK" w:cs="方正小标宋_GBK"/>
          <w:sz w:val="84"/>
          <w:szCs w:val="84"/>
          <w:highlight w:val="none"/>
        </w:rPr>
      </w:pPr>
    </w:p>
    <w:p w14:paraId="24182CD8">
      <w:pPr>
        <w:pStyle w:val="15"/>
        <w:jc w:val="center"/>
        <w:rPr>
          <w:rFonts w:hint="eastAsia" w:ascii="方正小标宋_GBK" w:hAnsi="方正小标宋_GBK" w:eastAsia="方正小标宋_GBK" w:cs="方正小标宋_GBK"/>
          <w:sz w:val="84"/>
          <w:szCs w:val="84"/>
          <w:highlight w:val="none"/>
        </w:rPr>
      </w:pPr>
    </w:p>
    <w:p w14:paraId="5FD7058A">
      <w:pPr>
        <w:pStyle w:val="15"/>
        <w:jc w:val="center"/>
        <w:rPr>
          <w:rFonts w:hint="eastAsia" w:ascii="方正小标宋_GBK" w:hAnsi="方正小标宋_GBK" w:eastAsia="方正小标宋_GBK" w:cs="方正小标宋_GBK"/>
          <w:sz w:val="84"/>
          <w:szCs w:val="84"/>
          <w:highlight w:val="none"/>
        </w:rPr>
      </w:pPr>
    </w:p>
    <w:p w14:paraId="6C27C1E7">
      <w:pPr>
        <w:pStyle w:val="15"/>
        <w:jc w:val="center"/>
        <w:rPr>
          <w:rFonts w:hint="eastAsia" w:ascii="方正小标宋_GBK" w:hAnsi="方正小标宋_GBK" w:eastAsia="方正小标宋_GBK" w:cs="方正小标宋_GBK"/>
          <w:sz w:val="84"/>
          <w:szCs w:val="84"/>
          <w:highlight w:val="none"/>
        </w:rPr>
      </w:pPr>
    </w:p>
    <w:p w14:paraId="2B96896D">
      <w:pPr>
        <w:pStyle w:val="15"/>
        <w:jc w:val="center"/>
        <w:rPr>
          <w:rFonts w:hint="eastAsia" w:ascii="方正小标宋_GBK" w:hAnsi="方正小标宋_GBK" w:eastAsia="方正小标宋_GBK" w:cs="方正小标宋_GBK"/>
          <w:sz w:val="84"/>
          <w:szCs w:val="84"/>
          <w:highlight w:val="none"/>
        </w:rPr>
      </w:pPr>
    </w:p>
    <w:p w14:paraId="1095DEAB">
      <w:pPr>
        <w:pStyle w:val="15"/>
        <w:jc w:val="center"/>
        <w:rPr>
          <w:rFonts w:hint="eastAsia" w:ascii="方正小标宋_GBK" w:hAnsi="方正小标宋_GBK" w:eastAsia="方正小标宋_GBK" w:cs="方正小标宋_GBK"/>
          <w:sz w:val="84"/>
          <w:szCs w:val="84"/>
          <w:highlight w:val="none"/>
        </w:rPr>
      </w:pPr>
    </w:p>
    <w:p w14:paraId="0DEEC249">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 xml:space="preserve">第一部分 </w:t>
      </w:r>
    </w:p>
    <w:p w14:paraId="5C6A94F8">
      <w:pPr>
        <w:pStyle w:val="15"/>
        <w:jc w:val="center"/>
        <w:rPr>
          <w:rFonts w:hint="eastAsia" w:ascii="方正小标宋_GBK" w:hAnsi="方正小标宋_GBK" w:eastAsia="方正小标宋_GBK" w:cs="方正小标宋_GBK"/>
          <w:sz w:val="84"/>
          <w:szCs w:val="84"/>
          <w:highlight w:val="none"/>
        </w:rPr>
      </w:pPr>
    </w:p>
    <w:p w14:paraId="5EF69A9D">
      <w:pPr>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岳阳市生态环境局</w:t>
      </w:r>
      <w:r>
        <w:rPr>
          <w:rFonts w:hint="eastAsia" w:ascii="方正小标宋_GBK" w:hAnsi="方正小标宋_GBK" w:eastAsia="方正小标宋_GBK" w:cs="方正小标宋_GBK"/>
          <w:sz w:val="84"/>
          <w:szCs w:val="84"/>
          <w:highlight w:val="none"/>
          <w:lang w:eastAsia="zh-CN"/>
        </w:rPr>
        <w:t>屈原</w:t>
      </w:r>
      <w:r>
        <w:rPr>
          <w:rFonts w:hint="eastAsia" w:ascii="方正小标宋_GBK" w:hAnsi="方正小标宋_GBK" w:eastAsia="方正小标宋_GBK" w:cs="方正小标宋_GBK"/>
          <w:sz w:val="84"/>
          <w:szCs w:val="84"/>
          <w:highlight w:val="none"/>
        </w:rPr>
        <w:t>分局</w:t>
      </w:r>
      <w:r>
        <w:rPr>
          <w:rFonts w:hint="eastAsia" w:ascii="方正小标宋_GBK" w:hAnsi="方正小标宋_GBK" w:eastAsia="方正小标宋_GBK" w:cs="方正小标宋_GBK"/>
          <w:sz w:val="84"/>
          <w:szCs w:val="84"/>
          <w:highlight w:val="none"/>
          <w:lang w:eastAsia="zh-CN"/>
        </w:rPr>
        <w:t>部门（</w:t>
      </w:r>
      <w:r>
        <w:rPr>
          <w:rFonts w:hint="eastAsia" w:ascii="方正小标宋_GBK" w:hAnsi="方正小标宋_GBK" w:eastAsia="方正小标宋_GBK" w:cs="方正小标宋_GBK"/>
          <w:sz w:val="84"/>
          <w:szCs w:val="84"/>
          <w:highlight w:val="none"/>
        </w:rPr>
        <w:t>单位</w:t>
      </w:r>
      <w:r>
        <w:rPr>
          <w:rFonts w:hint="eastAsia" w:ascii="方正小标宋_GBK" w:hAnsi="方正小标宋_GBK" w:eastAsia="方正小标宋_GBK" w:cs="方正小标宋_GBK"/>
          <w:sz w:val="84"/>
          <w:szCs w:val="84"/>
          <w:highlight w:val="none"/>
          <w:lang w:eastAsia="zh-CN"/>
        </w:rPr>
        <w:t>）</w:t>
      </w:r>
      <w:r>
        <w:rPr>
          <w:rFonts w:hint="eastAsia" w:ascii="方正小标宋_GBK" w:hAnsi="方正小标宋_GBK" w:eastAsia="方正小标宋_GBK" w:cs="方正小标宋_GBK"/>
          <w:sz w:val="84"/>
          <w:szCs w:val="84"/>
          <w:highlight w:val="none"/>
        </w:rPr>
        <w:t>概况</w:t>
      </w:r>
    </w:p>
    <w:p w14:paraId="77A0C778">
      <w:pPr>
        <w:pStyle w:val="9"/>
        <w:rPr>
          <w:rFonts w:hint="eastAsia" w:ascii="方正小标宋_GBK" w:hAnsi="方正小标宋_GBK" w:eastAsia="方正小标宋_GBK" w:cs="方正小标宋_GBK"/>
          <w:sz w:val="84"/>
          <w:szCs w:val="84"/>
          <w:highlight w:val="none"/>
        </w:rPr>
      </w:pPr>
    </w:p>
    <w:p w14:paraId="7867DECE">
      <w:pPr>
        <w:pStyle w:val="5"/>
        <w:rPr>
          <w:rFonts w:hint="eastAsia" w:ascii="方正小标宋_GBK" w:hAnsi="方正小标宋_GBK" w:eastAsia="方正小标宋_GBK" w:cs="方正小标宋_GBK"/>
          <w:sz w:val="84"/>
          <w:szCs w:val="84"/>
          <w:highlight w:val="none"/>
        </w:rPr>
      </w:pPr>
    </w:p>
    <w:p w14:paraId="3E216769">
      <w:pPr>
        <w:rPr>
          <w:rFonts w:hint="eastAsia" w:ascii="方正小标宋_GBK" w:hAnsi="方正小标宋_GBK" w:eastAsia="方正小标宋_GBK" w:cs="方正小标宋_GBK"/>
          <w:sz w:val="84"/>
          <w:szCs w:val="84"/>
          <w:highlight w:val="none"/>
        </w:rPr>
      </w:pPr>
    </w:p>
    <w:p w14:paraId="52BA1B87">
      <w:pPr>
        <w:rPr>
          <w:rFonts w:hint="eastAsia" w:ascii="方正小标宋_GBK" w:hAnsi="方正小标宋_GBK" w:eastAsia="方正小标宋_GBK" w:cs="方正小标宋_GBK"/>
          <w:sz w:val="84"/>
          <w:szCs w:val="84"/>
          <w:highlight w:val="none"/>
        </w:rPr>
      </w:pPr>
    </w:p>
    <w:p w14:paraId="0DCAD2E0">
      <w:pPr>
        <w:rPr>
          <w:rFonts w:hint="eastAsia" w:ascii="方正小标宋_GBK" w:hAnsi="方正小标宋_GBK" w:eastAsia="方正小标宋_GBK" w:cs="方正小标宋_GBK"/>
          <w:sz w:val="84"/>
          <w:szCs w:val="84"/>
          <w:highlight w:val="none"/>
        </w:rPr>
      </w:pPr>
    </w:p>
    <w:p w14:paraId="2B537E48">
      <w:pPr>
        <w:pStyle w:val="16"/>
        <w:numPr>
          <w:ilvl w:val="0"/>
          <w:numId w:val="0"/>
        </w:numPr>
        <w:ind w:leftChars="0"/>
        <w:jc w:val="left"/>
        <w:rPr>
          <w:rFonts w:hint="eastAsia" w:ascii="黑体" w:hAnsi="黑体" w:eastAsia="黑体" w:cs="黑体"/>
          <w:b w:val="0"/>
          <w:bCs w:val="0"/>
          <w:sz w:val="32"/>
          <w:szCs w:val="32"/>
          <w:highlight w:val="none"/>
        </w:rPr>
      </w:pPr>
    </w:p>
    <w:p w14:paraId="7FD8B50B">
      <w:pPr>
        <w:pStyle w:val="16"/>
        <w:numPr>
          <w:ilvl w:val="0"/>
          <w:numId w:val="0"/>
        </w:numPr>
        <w:ind w:leftChars="0"/>
        <w:jc w:val="left"/>
        <w:rPr>
          <w:rFonts w:hint="eastAsia" w:ascii="黑体" w:hAnsi="黑体" w:eastAsia="黑体" w:cs="黑体"/>
          <w:b w:val="0"/>
          <w:bCs w:val="0"/>
          <w:sz w:val="32"/>
          <w:szCs w:val="32"/>
          <w:highlight w:val="none"/>
        </w:rPr>
      </w:pPr>
    </w:p>
    <w:p w14:paraId="55E857AF">
      <w:pPr>
        <w:pStyle w:val="16"/>
        <w:numPr>
          <w:ilvl w:val="0"/>
          <w:numId w:val="1"/>
        </w:numPr>
        <w:ind w:firstLineChars="0"/>
        <w:jc w:val="left"/>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部门职责</w:t>
      </w:r>
    </w:p>
    <w:p w14:paraId="7048A8BD">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highlight w:val="none"/>
        </w:rPr>
      </w:pPr>
      <w:r>
        <w:rPr>
          <w:rFonts w:hint="default"/>
          <w:highlight w:val="none"/>
        </w:rPr>
        <w:t>1、受市生态环境局委托，承担辖区内的生态环境相关工作；承担市生态环境局和区管委会交办的其他任务。</w:t>
      </w:r>
    </w:p>
    <w:p w14:paraId="224B6C49">
      <w:pPr>
        <w:pStyle w:val="2"/>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highlight w:val="none"/>
        </w:rPr>
      </w:pPr>
      <w:r>
        <w:rPr>
          <w:rFonts w:hint="default"/>
          <w:highlight w:val="none"/>
        </w:rPr>
        <w:t>2、负责本辖区内重点污染源在线监控系统现场监督管理；负责受理和办理生态环境保护举报（信访），负责生态环境信访维稳事件的现场调查处置工作，负责本辖区生态环境质量监测、执法监测、污染源监测和应急监测；负责辖区内生态文明示范区创建。</w:t>
      </w:r>
    </w:p>
    <w:p w14:paraId="2DC82B10">
      <w:pPr>
        <w:widowControl/>
        <w:spacing w:line="600" w:lineRule="exact"/>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14:paraId="38FA0AE8">
      <w:pPr>
        <w:pStyle w:val="10"/>
        <w:widowControl/>
        <w:spacing w:line="33" w:lineRule="atLeast"/>
        <w:ind w:firstLine="320" w:firstLineChars="100"/>
        <w:jc w:val="both"/>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（一）内设机构设置。岳阳市生态环境局屈原分属岳阳市生态环境局二级机构。根据分局的整体情况，分局下设四个股室（办公室、监察大队、管理股、法制股）。分局目前在职在编人员7人。</w:t>
      </w:r>
    </w:p>
    <w:p w14:paraId="3D9EF3E2">
      <w:pPr>
        <w:pStyle w:val="10"/>
        <w:widowControl/>
        <w:spacing w:line="33" w:lineRule="atLeast"/>
        <w:ind w:firstLine="320" w:firstLineChars="100"/>
        <w:jc w:val="both"/>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（二）决算单位构成。本单位无独立核算的下属单位，2024年度部门决算汇总公开单位仅包括岳阳市生态环境局屈原分局单位本级</w:t>
      </w:r>
    </w:p>
    <w:p w14:paraId="38152785">
      <w:pPr>
        <w:pStyle w:val="10"/>
        <w:widowControl/>
        <w:spacing w:line="33" w:lineRule="atLeast"/>
        <w:ind w:firstLine="320" w:firstLineChars="100"/>
        <w:jc w:val="both"/>
        <w:rPr>
          <w:rFonts w:hint="eastAsia" w:ascii="仿宋_GB2312" w:hAnsi="仿宋_GB2312" w:eastAsia="仿宋_GB2312" w:cs="仿宋_GB2312"/>
          <w:color w:val="auto"/>
          <w:kern w:val="2"/>
          <w:sz w:val="32"/>
          <w:szCs w:val="32"/>
          <w:highlight w:val="none"/>
          <w:lang w:val="en-US" w:eastAsia="zh-CN" w:bidi="ar-SA"/>
        </w:rPr>
      </w:pPr>
    </w:p>
    <w:p w14:paraId="3CE56614">
      <w:pPr>
        <w:pStyle w:val="10"/>
        <w:widowControl/>
        <w:spacing w:line="33" w:lineRule="atLeast"/>
        <w:ind w:firstLine="320" w:firstLineChars="100"/>
        <w:jc w:val="both"/>
        <w:rPr>
          <w:rFonts w:hint="eastAsia" w:ascii="宋体" w:hAnsi="宋体" w:eastAsia="宋体" w:cs="Times New Roman"/>
          <w:color w:val="000000"/>
          <w:kern w:val="0"/>
          <w:sz w:val="32"/>
          <w:szCs w:val="24"/>
          <w:highlight w:val="none"/>
          <w:lang w:val="en-US" w:eastAsia="zh-CN" w:bidi="ar"/>
        </w:rPr>
      </w:pPr>
    </w:p>
    <w:p w14:paraId="70B4D569">
      <w:pPr>
        <w:pStyle w:val="5"/>
        <w:rPr>
          <w:highlight w:val="none"/>
        </w:rPr>
      </w:pPr>
    </w:p>
    <w:p w14:paraId="5B1D6CBC">
      <w:pPr>
        <w:rPr>
          <w:highlight w:val="none"/>
        </w:rPr>
      </w:pPr>
    </w:p>
    <w:p w14:paraId="7D6C31E4">
      <w:pPr>
        <w:pStyle w:val="9"/>
        <w:rPr>
          <w:highlight w:val="none"/>
        </w:rPr>
      </w:pPr>
    </w:p>
    <w:p w14:paraId="056E4ECA">
      <w:pPr>
        <w:pStyle w:val="5"/>
        <w:rPr>
          <w:highlight w:val="none"/>
        </w:rPr>
      </w:pPr>
    </w:p>
    <w:p w14:paraId="3288C9C5">
      <w:pPr>
        <w:rPr>
          <w:highlight w:val="none"/>
        </w:rPr>
      </w:pPr>
    </w:p>
    <w:p w14:paraId="14507043">
      <w:pPr>
        <w:pStyle w:val="9"/>
        <w:rPr>
          <w:highlight w:val="none"/>
        </w:rPr>
      </w:pPr>
    </w:p>
    <w:p w14:paraId="465EA8BD">
      <w:pPr>
        <w:pStyle w:val="5"/>
        <w:rPr>
          <w:highlight w:val="none"/>
        </w:rPr>
      </w:pPr>
    </w:p>
    <w:p w14:paraId="49E51758">
      <w:pPr>
        <w:rPr>
          <w:highlight w:val="none"/>
        </w:rPr>
      </w:pPr>
    </w:p>
    <w:p w14:paraId="3DC8C6CD">
      <w:pPr>
        <w:pStyle w:val="9"/>
        <w:rPr>
          <w:highlight w:val="none"/>
        </w:rPr>
      </w:pPr>
    </w:p>
    <w:p w14:paraId="36E702E5">
      <w:pPr>
        <w:pStyle w:val="5"/>
        <w:rPr>
          <w:highlight w:val="none"/>
        </w:rPr>
      </w:pPr>
    </w:p>
    <w:p w14:paraId="0416550A">
      <w:pPr>
        <w:rPr>
          <w:highlight w:val="none"/>
        </w:rPr>
      </w:pPr>
    </w:p>
    <w:p w14:paraId="28B49BCE">
      <w:pPr>
        <w:pStyle w:val="9"/>
        <w:rPr>
          <w:highlight w:val="none"/>
        </w:rPr>
      </w:pPr>
    </w:p>
    <w:p w14:paraId="43291855">
      <w:pPr>
        <w:pStyle w:val="5"/>
        <w:rPr>
          <w:highlight w:val="none"/>
        </w:rPr>
      </w:pPr>
    </w:p>
    <w:p w14:paraId="7CD92489">
      <w:pPr>
        <w:rPr>
          <w:highlight w:val="none"/>
        </w:rPr>
      </w:pPr>
    </w:p>
    <w:p w14:paraId="5267F12B">
      <w:pPr>
        <w:pStyle w:val="9"/>
        <w:rPr>
          <w:highlight w:val="none"/>
        </w:rPr>
      </w:pPr>
    </w:p>
    <w:p w14:paraId="28828498">
      <w:pPr>
        <w:pStyle w:val="5"/>
        <w:rPr>
          <w:highlight w:val="none"/>
        </w:rPr>
      </w:pPr>
    </w:p>
    <w:p w14:paraId="04E62672">
      <w:pPr>
        <w:rPr>
          <w:highlight w:val="none"/>
        </w:rPr>
      </w:pPr>
    </w:p>
    <w:p w14:paraId="1D6D7A8B">
      <w:pPr>
        <w:pStyle w:val="9"/>
        <w:rPr>
          <w:highlight w:val="none"/>
        </w:rPr>
      </w:pPr>
    </w:p>
    <w:p w14:paraId="2E47952B">
      <w:pPr>
        <w:pStyle w:val="5"/>
        <w:rPr>
          <w:highlight w:val="none"/>
        </w:rPr>
      </w:pPr>
    </w:p>
    <w:p w14:paraId="18A19BE5">
      <w:pPr>
        <w:rPr>
          <w:highlight w:val="none"/>
        </w:rPr>
      </w:pPr>
    </w:p>
    <w:p w14:paraId="7CCBF86D">
      <w:pPr>
        <w:pStyle w:val="9"/>
        <w:rPr>
          <w:highlight w:val="none"/>
        </w:rPr>
      </w:pPr>
    </w:p>
    <w:p w14:paraId="0017F5EC">
      <w:pPr>
        <w:pStyle w:val="5"/>
        <w:rPr>
          <w:highlight w:val="none"/>
        </w:rPr>
      </w:pPr>
    </w:p>
    <w:p w14:paraId="76181D4E">
      <w:pPr>
        <w:rPr>
          <w:highlight w:val="none"/>
        </w:rPr>
      </w:pPr>
    </w:p>
    <w:p w14:paraId="2B49F2B7">
      <w:pPr>
        <w:pStyle w:val="15"/>
        <w:jc w:val="both"/>
        <w:rPr>
          <w:rFonts w:hint="eastAsia" w:ascii="方正小标宋_GBK" w:hAnsi="方正小标宋_GBK" w:eastAsia="方正小标宋_GBK" w:cs="方正小标宋_GBK"/>
          <w:sz w:val="84"/>
          <w:szCs w:val="84"/>
          <w:highlight w:val="none"/>
        </w:rPr>
      </w:pPr>
    </w:p>
    <w:p w14:paraId="661BBFC8">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第二部分</w:t>
      </w:r>
    </w:p>
    <w:p w14:paraId="5FB02ED5">
      <w:pPr>
        <w:pStyle w:val="15"/>
        <w:jc w:val="center"/>
        <w:rPr>
          <w:rFonts w:hint="eastAsia" w:ascii="方正小标宋_GBK" w:hAnsi="方正小标宋_GBK" w:eastAsia="方正小标宋_GBK" w:cs="方正小标宋_GBK"/>
          <w:sz w:val="84"/>
          <w:szCs w:val="84"/>
          <w:highlight w:val="none"/>
        </w:rPr>
      </w:pPr>
    </w:p>
    <w:p w14:paraId="3860F185">
      <w:pPr>
        <w:pStyle w:val="15"/>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部门决算表</w:t>
      </w:r>
    </w:p>
    <w:p w14:paraId="50A5962C">
      <w:pPr>
        <w:pStyle w:val="15"/>
        <w:jc w:val="center"/>
        <w:rPr>
          <w:rFonts w:hint="eastAsia" w:ascii="仿宋_GB2312" w:hAnsi="仿宋_GB2312" w:eastAsia="仿宋_GB2312" w:cs="仿宋_GB2312"/>
          <w:b w:val="0"/>
          <w:bCs w:val="0"/>
          <w:sz w:val="72"/>
          <w:szCs w:val="72"/>
          <w:highlight w:val="none"/>
          <w:lang w:eastAsia="zh-CN"/>
        </w:rPr>
      </w:pPr>
      <w:r>
        <w:rPr>
          <w:rFonts w:hint="eastAsia" w:ascii="仿宋_GB2312" w:hAnsi="仿宋_GB2312" w:eastAsia="仿宋_GB2312" w:cs="仿宋_GB2312"/>
          <w:b w:val="0"/>
          <w:bCs w:val="0"/>
          <w:sz w:val="72"/>
          <w:szCs w:val="72"/>
          <w:highlight w:val="none"/>
          <w:lang w:eastAsia="zh-CN"/>
        </w:rPr>
        <w:t>（见附件）</w:t>
      </w:r>
    </w:p>
    <w:p w14:paraId="325AF5B5">
      <w:pPr>
        <w:pStyle w:val="15"/>
        <w:jc w:val="center"/>
        <w:rPr>
          <w:rFonts w:hint="eastAsia" w:ascii="仿宋_GB2312" w:hAnsi="仿宋_GB2312" w:eastAsia="仿宋_GB2312" w:cs="仿宋_GB2312"/>
          <w:b w:val="0"/>
          <w:bCs w:val="0"/>
          <w:sz w:val="72"/>
          <w:szCs w:val="72"/>
          <w:highlight w:val="none"/>
          <w:lang w:eastAsia="zh-CN"/>
        </w:rPr>
      </w:pPr>
    </w:p>
    <w:p w14:paraId="0568D1B8">
      <w:pPr>
        <w:pStyle w:val="15"/>
        <w:jc w:val="center"/>
        <w:rPr>
          <w:rFonts w:hint="eastAsia" w:ascii="仿宋_GB2312" w:hAnsi="仿宋_GB2312" w:eastAsia="仿宋_GB2312" w:cs="仿宋_GB2312"/>
          <w:b w:val="0"/>
          <w:bCs w:val="0"/>
          <w:sz w:val="72"/>
          <w:szCs w:val="72"/>
          <w:highlight w:val="yellow"/>
          <w:lang w:eastAsia="zh-CN"/>
        </w:rPr>
      </w:pPr>
    </w:p>
    <w:p w14:paraId="5C65B646">
      <w:pPr>
        <w:pStyle w:val="15"/>
        <w:jc w:val="center"/>
        <w:rPr>
          <w:rFonts w:hint="eastAsia" w:ascii="仿宋_GB2312" w:hAnsi="仿宋_GB2312" w:eastAsia="仿宋_GB2312" w:cs="仿宋_GB2312"/>
          <w:b w:val="0"/>
          <w:bCs w:val="0"/>
          <w:sz w:val="72"/>
          <w:szCs w:val="72"/>
          <w:highlight w:val="yellow"/>
          <w:lang w:eastAsia="zh-CN"/>
        </w:rPr>
      </w:pPr>
    </w:p>
    <w:p w14:paraId="62EA5E89">
      <w:pPr>
        <w:pStyle w:val="15"/>
        <w:jc w:val="center"/>
        <w:rPr>
          <w:rFonts w:hint="eastAsia" w:ascii="仿宋_GB2312" w:hAnsi="仿宋_GB2312" w:eastAsia="仿宋_GB2312" w:cs="仿宋_GB2312"/>
          <w:b w:val="0"/>
          <w:bCs w:val="0"/>
          <w:sz w:val="72"/>
          <w:szCs w:val="72"/>
          <w:highlight w:val="yellow"/>
          <w:lang w:eastAsia="zh-CN"/>
        </w:rPr>
      </w:pPr>
    </w:p>
    <w:p w14:paraId="63BFFD84">
      <w:pPr>
        <w:pStyle w:val="15"/>
        <w:jc w:val="center"/>
        <w:rPr>
          <w:rFonts w:hint="eastAsia" w:ascii="仿宋_GB2312" w:hAnsi="仿宋_GB2312" w:eastAsia="仿宋_GB2312" w:cs="仿宋_GB2312"/>
          <w:b w:val="0"/>
          <w:bCs w:val="0"/>
          <w:sz w:val="72"/>
          <w:szCs w:val="72"/>
          <w:highlight w:val="yellow"/>
          <w:lang w:eastAsia="zh-CN"/>
        </w:rPr>
      </w:pPr>
    </w:p>
    <w:p w14:paraId="4565BABE">
      <w:pPr>
        <w:pStyle w:val="15"/>
        <w:jc w:val="center"/>
        <w:rPr>
          <w:rFonts w:hint="eastAsia" w:ascii="仿宋_GB2312" w:hAnsi="仿宋_GB2312" w:eastAsia="仿宋_GB2312" w:cs="仿宋_GB2312"/>
          <w:b w:val="0"/>
          <w:bCs w:val="0"/>
          <w:sz w:val="72"/>
          <w:szCs w:val="72"/>
          <w:highlight w:val="yellow"/>
          <w:lang w:eastAsia="zh-CN"/>
        </w:rPr>
      </w:pPr>
    </w:p>
    <w:p w14:paraId="7A44A82E">
      <w:pPr>
        <w:pStyle w:val="15"/>
        <w:jc w:val="both"/>
        <w:rPr>
          <w:rFonts w:hint="eastAsia" w:ascii="方正小标宋_GBK" w:hAnsi="方正小标宋_GBK" w:eastAsia="方正小标宋_GBK" w:cs="方正小标宋_GBK"/>
          <w:sz w:val="72"/>
          <w:szCs w:val="72"/>
          <w:highlight w:val="yellow"/>
        </w:rPr>
      </w:pPr>
    </w:p>
    <w:p w14:paraId="44B8F618">
      <w:pPr>
        <w:pStyle w:val="15"/>
        <w:jc w:val="both"/>
        <w:rPr>
          <w:rFonts w:hint="eastAsia" w:ascii="方正小标宋_GBK" w:hAnsi="方正小标宋_GBK" w:eastAsia="方正小标宋_GBK" w:cs="方正小标宋_GBK"/>
          <w:sz w:val="72"/>
          <w:szCs w:val="72"/>
          <w:highlight w:val="yellow"/>
        </w:rPr>
      </w:pPr>
    </w:p>
    <w:p w14:paraId="708F35A4">
      <w:pPr>
        <w:pStyle w:val="15"/>
        <w:jc w:val="both"/>
        <w:rPr>
          <w:rFonts w:hint="eastAsia" w:ascii="方正小标宋_GBK" w:hAnsi="方正小标宋_GBK" w:eastAsia="方正小标宋_GBK" w:cs="方正小标宋_GBK"/>
          <w:sz w:val="72"/>
          <w:szCs w:val="72"/>
          <w:highlight w:val="yellow"/>
        </w:rPr>
      </w:pPr>
    </w:p>
    <w:p w14:paraId="06211665">
      <w:pPr>
        <w:pStyle w:val="15"/>
        <w:jc w:val="both"/>
        <w:rPr>
          <w:rFonts w:hint="eastAsia" w:ascii="方正小标宋_GBK" w:hAnsi="方正小标宋_GBK" w:eastAsia="方正小标宋_GBK" w:cs="方正小标宋_GBK"/>
          <w:sz w:val="72"/>
          <w:szCs w:val="72"/>
          <w:highlight w:val="yellow"/>
        </w:rPr>
      </w:pPr>
    </w:p>
    <w:p w14:paraId="7804FBAA">
      <w:pPr>
        <w:pStyle w:val="15"/>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第三部分</w:t>
      </w:r>
    </w:p>
    <w:p w14:paraId="7D53C949">
      <w:pPr>
        <w:pStyle w:val="15"/>
        <w:jc w:val="center"/>
        <w:rPr>
          <w:rFonts w:hint="eastAsia" w:ascii="方正小标宋_GBK" w:hAnsi="方正小标宋_GBK" w:eastAsia="方正小标宋_GBK" w:cs="方正小标宋_GBK"/>
          <w:sz w:val="70"/>
          <w:szCs w:val="70"/>
          <w:highlight w:val="none"/>
        </w:rPr>
      </w:pPr>
    </w:p>
    <w:p w14:paraId="4F77A5A6">
      <w:pPr>
        <w:pStyle w:val="15"/>
        <w:jc w:val="center"/>
        <w:rPr>
          <w:rFonts w:hint="eastAsia" w:ascii="方正小标宋_GBK" w:hAnsi="方正小标宋_GBK" w:eastAsia="方正小标宋_GBK" w:cs="方正小标宋_GBK"/>
          <w:sz w:val="70"/>
          <w:szCs w:val="70"/>
          <w:highlight w:val="none"/>
        </w:rPr>
      </w:pPr>
      <w:r>
        <w:rPr>
          <w:rFonts w:hint="eastAsia" w:ascii="方正小标宋_GBK" w:hAnsi="方正小标宋_GBK" w:eastAsia="方正小标宋_GBK" w:cs="方正小标宋_GBK"/>
          <w:sz w:val="70"/>
          <w:szCs w:val="70"/>
          <w:highlight w:val="none"/>
        </w:rPr>
        <w:t>202</w:t>
      </w:r>
      <w:r>
        <w:rPr>
          <w:rFonts w:hint="eastAsia" w:ascii="方正小标宋_GBK" w:hAnsi="方正小标宋_GBK" w:eastAsia="方正小标宋_GBK" w:cs="方正小标宋_GBK"/>
          <w:sz w:val="70"/>
          <w:szCs w:val="70"/>
          <w:highlight w:val="none"/>
          <w:lang w:val="en-US" w:eastAsia="zh-CN"/>
        </w:rPr>
        <w:t>4</w:t>
      </w:r>
      <w:r>
        <w:rPr>
          <w:rFonts w:hint="eastAsia" w:ascii="方正小标宋_GBK" w:hAnsi="方正小标宋_GBK" w:eastAsia="方正小标宋_GBK" w:cs="方正小标宋_GBK"/>
          <w:sz w:val="70"/>
          <w:szCs w:val="70"/>
          <w:highlight w:val="none"/>
        </w:rPr>
        <w:t>年度部门决算情况说明</w:t>
      </w:r>
    </w:p>
    <w:p w14:paraId="17862F93">
      <w:pPr>
        <w:pStyle w:val="15"/>
        <w:jc w:val="center"/>
        <w:rPr>
          <w:rFonts w:hint="eastAsia" w:ascii="方正小标宋_GBK" w:hAnsi="方正小标宋_GBK" w:eastAsia="方正小标宋_GBK" w:cs="方正小标宋_GBK"/>
          <w:sz w:val="70"/>
          <w:szCs w:val="70"/>
          <w:highlight w:val="none"/>
        </w:rPr>
      </w:pPr>
    </w:p>
    <w:p w14:paraId="6EEC30AB">
      <w:pPr>
        <w:pStyle w:val="15"/>
        <w:jc w:val="center"/>
        <w:rPr>
          <w:rFonts w:hint="eastAsia" w:ascii="方正小标宋_GBK" w:hAnsi="方正小标宋_GBK" w:eastAsia="方正小标宋_GBK" w:cs="方正小标宋_GBK"/>
          <w:sz w:val="70"/>
          <w:szCs w:val="70"/>
          <w:highlight w:val="none"/>
        </w:rPr>
      </w:pPr>
    </w:p>
    <w:p w14:paraId="417367C1">
      <w:pPr>
        <w:pStyle w:val="15"/>
        <w:jc w:val="center"/>
        <w:rPr>
          <w:rFonts w:hint="eastAsia" w:ascii="方正小标宋_GBK" w:hAnsi="方正小标宋_GBK" w:eastAsia="方正小标宋_GBK" w:cs="方正小标宋_GBK"/>
          <w:sz w:val="70"/>
          <w:szCs w:val="70"/>
          <w:highlight w:val="yellow"/>
        </w:rPr>
      </w:pPr>
    </w:p>
    <w:p w14:paraId="5EF1049C">
      <w:pPr>
        <w:pStyle w:val="15"/>
        <w:jc w:val="center"/>
        <w:rPr>
          <w:rFonts w:hint="eastAsia" w:ascii="方正小标宋_GBK" w:hAnsi="方正小标宋_GBK" w:eastAsia="方正小标宋_GBK" w:cs="方正小标宋_GBK"/>
          <w:sz w:val="70"/>
          <w:szCs w:val="70"/>
          <w:highlight w:val="yellow"/>
        </w:rPr>
      </w:pPr>
    </w:p>
    <w:p w14:paraId="514C0722">
      <w:pPr>
        <w:pStyle w:val="15"/>
        <w:jc w:val="both"/>
        <w:rPr>
          <w:rFonts w:hint="eastAsia" w:ascii="方正小标宋_GBK" w:hAnsi="方正小标宋_GBK" w:eastAsia="方正小标宋_GBK" w:cs="方正小标宋_GBK"/>
          <w:sz w:val="70"/>
          <w:szCs w:val="70"/>
          <w:highlight w:val="yellow"/>
        </w:rPr>
      </w:pPr>
    </w:p>
    <w:p w14:paraId="2411C08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一、收入支出决算总体情况说明</w:t>
      </w:r>
    </w:p>
    <w:p w14:paraId="5CDCBAD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年度收、支总计354.4万元。与上年相比，增加</w:t>
      </w:r>
      <w:r>
        <w:rPr>
          <w:rFonts w:hint="eastAsia" w:ascii="仿宋_GB2312" w:hAnsi="仿宋_GB2312" w:eastAsia="仿宋_GB2312" w:cs="仿宋_GB2312"/>
          <w:sz w:val="32"/>
          <w:szCs w:val="32"/>
          <w:highlight w:val="none"/>
          <w:lang w:val="en-US" w:eastAsia="zh-CN"/>
        </w:rPr>
        <w:t>37.4</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11.80</w:t>
      </w:r>
      <w:r>
        <w:rPr>
          <w:rFonts w:hint="eastAsia" w:ascii="仿宋_GB2312" w:hAnsi="仿宋_GB2312" w:eastAsia="仿宋_GB2312" w:cs="仿宋_GB2312"/>
          <w:sz w:val="32"/>
          <w:szCs w:val="32"/>
          <w:highlight w:val="none"/>
        </w:rPr>
        <w:t>%，主要是因为</w:t>
      </w:r>
      <w:r>
        <w:rPr>
          <w:rFonts w:hint="eastAsia" w:ascii="仿宋_GB2312" w:hAnsi="仿宋_GB2312" w:eastAsia="仿宋_GB2312" w:cs="仿宋_GB2312"/>
          <w:sz w:val="32"/>
          <w:szCs w:val="32"/>
          <w:highlight w:val="none"/>
          <w:lang w:val="en-US" w:eastAsia="zh-CN"/>
        </w:rPr>
        <w:t>财政拨款增加。</w:t>
      </w:r>
    </w:p>
    <w:p w14:paraId="07DA9E3F">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二、收入决算情况说明</w:t>
      </w:r>
    </w:p>
    <w:p w14:paraId="2A53B2A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年度收入合计</w:t>
      </w:r>
      <w:r>
        <w:rPr>
          <w:rFonts w:hint="eastAsia" w:ascii="仿宋_GB2312" w:hAnsi="仿宋_GB2312" w:eastAsia="仿宋_GB2312" w:cs="仿宋_GB2312"/>
          <w:sz w:val="32"/>
          <w:szCs w:val="32"/>
          <w:highlight w:val="none"/>
          <w:lang w:val="en-US" w:eastAsia="zh-CN"/>
        </w:rPr>
        <w:t>307.16</w:t>
      </w:r>
      <w:r>
        <w:rPr>
          <w:rFonts w:hint="eastAsia" w:ascii="仿宋_GB2312" w:hAnsi="仿宋_GB2312" w:eastAsia="仿宋_GB2312" w:cs="仿宋_GB2312"/>
          <w:sz w:val="32"/>
          <w:szCs w:val="32"/>
          <w:highlight w:val="none"/>
        </w:rPr>
        <w:t>万元，其中：财政拨款收入</w:t>
      </w:r>
      <w:r>
        <w:rPr>
          <w:rFonts w:hint="eastAsia" w:ascii="仿宋_GB2312" w:hAnsi="仿宋_GB2312" w:eastAsia="仿宋_GB2312" w:cs="仿宋_GB2312"/>
          <w:sz w:val="32"/>
          <w:szCs w:val="32"/>
          <w:highlight w:val="none"/>
          <w:lang w:val="en-US" w:eastAsia="zh-CN"/>
        </w:rPr>
        <w:t>408.99</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63.54</w:t>
      </w:r>
      <w:r>
        <w:rPr>
          <w:rFonts w:hint="eastAsia" w:ascii="仿宋_GB2312" w:hAnsi="仿宋_GB2312" w:eastAsia="仿宋_GB2312" w:cs="仿宋_GB2312"/>
          <w:sz w:val="32"/>
          <w:szCs w:val="32"/>
          <w:highlight w:val="none"/>
        </w:rPr>
        <w:t>%；上级补助收入</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%；事业收入</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%；经营收入</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%；附属单位上缴收入</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%；其他收入264.85万元，占</w:t>
      </w:r>
      <w:r>
        <w:rPr>
          <w:rFonts w:hint="eastAsia" w:ascii="仿宋_GB2312" w:hAnsi="仿宋_GB2312" w:eastAsia="仿宋_GB2312" w:cs="仿宋_GB2312"/>
          <w:sz w:val="32"/>
          <w:szCs w:val="32"/>
          <w:highlight w:val="none"/>
          <w:lang w:val="en-US" w:eastAsia="zh-CN"/>
        </w:rPr>
        <w:t>36.46</w:t>
      </w:r>
      <w:r>
        <w:rPr>
          <w:rFonts w:hint="eastAsia" w:ascii="仿宋_GB2312" w:hAnsi="仿宋_GB2312" w:eastAsia="仿宋_GB2312" w:cs="仿宋_GB2312"/>
          <w:sz w:val="32"/>
          <w:szCs w:val="32"/>
          <w:highlight w:val="none"/>
        </w:rPr>
        <w:t>%。</w:t>
      </w:r>
    </w:p>
    <w:p w14:paraId="2D1A2B4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三、支出决算情况说明</w:t>
      </w:r>
    </w:p>
    <w:p w14:paraId="2822293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年度支出合计</w:t>
      </w:r>
      <w:r>
        <w:rPr>
          <w:rFonts w:hint="eastAsia" w:ascii="仿宋_GB2312" w:hAnsi="仿宋_GB2312" w:eastAsia="仿宋_GB2312" w:cs="仿宋_GB2312"/>
          <w:sz w:val="32"/>
          <w:szCs w:val="32"/>
          <w:highlight w:val="none"/>
          <w:lang w:val="en-US" w:eastAsia="zh-CN"/>
        </w:rPr>
        <w:t>257.75</w:t>
      </w:r>
      <w:r>
        <w:rPr>
          <w:rFonts w:hint="eastAsia" w:ascii="仿宋_GB2312" w:hAnsi="仿宋_GB2312" w:eastAsia="仿宋_GB2312" w:cs="仿宋_GB2312"/>
          <w:sz w:val="32"/>
          <w:szCs w:val="32"/>
          <w:highlight w:val="none"/>
        </w:rPr>
        <w:t>万元，其中：基本支出</w:t>
      </w:r>
      <w:r>
        <w:rPr>
          <w:rFonts w:hint="eastAsia" w:ascii="仿宋_GB2312" w:hAnsi="仿宋_GB2312" w:eastAsia="仿宋_GB2312" w:cs="仿宋_GB2312"/>
          <w:sz w:val="32"/>
          <w:szCs w:val="32"/>
          <w:highlight w:val="none"/>
          <w:lang w:val="en-US" w:eastAsia="zh-CN"/>
        </w:rPr>
        <w:t>180.93</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70.20</w:t>
      </w:r>
      <w:r>
        <w:rPr>
          <w:rFonts w:hint="eastAsia" w:ascii="仿宋_GB2312" w:hAnsi="仿宋_GB2312" w:eastAsia="仿宋_GB2312" w:cs="仿宋_GB2312"/>
          <w:sz w:val="32"/>
          <w:szCs w:val="32"/>
          <w:highlight w:val="none"/>
        </w:rPr>
        <w:t>%；项目支出</w:t>
      </w:r>
      <w:r>
        <w:rPr>
          <w:rFonts w:hint="eastAsia" w:ascii="仿宋_GB2312" w:hAnsi="仿宋_GB2312" w:eastAsia="仿宋_GB2312" w:cs="仿宋_GB2312"/>
          <w:sz w:val="32"/>
          <w:szCs w:val="32"/>
          <w:highlight w:val="none"/>
          <w:lang w:val="en-US" w:eastAsia="zh-CN"/>
        </w:rPr>
        <w:t>16.82</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29.80</w:t>
      </w:r>
      <w:r>
        <w:rPr>
          <w:rFonts w:hint="eastAsia" w:ascii="仿宋_GB2312" w:hAnsi="仿宋_GB2312" w:eastAsia="仿宋_GB2312" w:cs="仿宋_GB2312"/>
          <w:sz w:val="32"/>
          <w:szCs w:val="32"/>
          <w:highlight w:val="none"/>
        </w:rPr>
        <w:t>%；上缴上级支出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%；经营支出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%；对附属单位补助支出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w:t>
      </w:r>
    </w:p>
    <w:p w14:paraId="6985752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四、财政拨款收入支出决算总体情况说明</w:t>
      </w:r>
    </w:p>
    <w:p w14:paraId="2D2E14E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 xml:space="preserve">   </w:t>
      </w:r>
      <w:r>
        <w:rPr>
          <w:rFonts w:hint="eastAsia" w:ascii="仿宋_GB2312" w:hAnsi="仿宋_GB2312" w:eastAsia="仿宋_GB2312" w:cs="仿宋_GB2312"/>
          <w:sz w:val="32"/>
          <w:szCs w:val="32"/>
          <w:highlight w:val="none"/>
        </w:rPr>
        <w:t xml:space="preserve"> 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年度财政拨款收、支总计</w:t>
      </w:r>
      <w:r>
        <w:rPr>
          <w:rFonts w:hint="eastAsia" w:ascii="仿宋_GB2312" w:hAnsi="仿宋_GB2312" w:eastAsia="仿宋_GB2312" w:cs="仿宋_GB2312"/>
          <w:sz w:val="32"/>
          <w:szCs w:val="32"/>
          <w:highlight w:val="none"/>
          <w:lang w:val="en-US" w:eastAsia="zh-CN"/>
        </w:rPr>
        <w:t>195.16</w:t>
      </w:r>
      <w:r>
        <w:rPr>
          <w:rFonts w:hint="eastAsia" w:ascii="仿宋_GB2312" w:hAnsi="仿宋_GB2312" w:eastAsia="仿宋_GB2312" w:cs="仿宋_GB2312"/>
          <w:sz w:val="32"/>
          <w:szCs w:val="32"/>
          <w:highlight w:val="none"/>
        </w:rPr>
        <w:t>万元，与上年相比，</w:t>
      </w:r>
      <w:r>
        <w:rPr>
          <w:rFonts w:hint="eastAsia" w:ascii="仿宋_GB2312" w:hAnsi="仿宋_GB2312" w:eastAsia="仿宋_GB2312" w:cs="仿宋_GB2312"/>
          <w:sz w:val="32"/>
          <w:szCs w:val="32"/>
          <w:highlight w:val="none"/>
          <w:lang w:val="en-US" w:eastAsia="zh-CN"/>
        </w:rPr>
        <w:t>增加34.71</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21.63</w:t>
      </w:r>
      <w:r>
        <w:rPr>
          <w:rFonts w:hint="eastAsia" w:ascii="仿宋_GB2312" w:hAnsi="仿宋_GB2312" w:eastAsia="仿宋_GB2312" w:cs="仿宋_GB2312"/>
          <w:sz w:val="32"/>
          <w:szCs w:val="32"/>
          <w:highlight w:val="none"/>
        </w:rPr>
        <w:t>%，主要是因为主要是因为节能环保支出</w:t>
      </w:r>
      <w:r>
        <w:rPr>
          <w:rFonts w:hint="eastAsia" w:ascii="仿宋_GB2312" w:hAnsi="仿宋_GB2312" w:eastAsia="仿宋_GB2312" w:cs="仿宋_GB2312"/>
          <w:sz w:val="32"/>
          <w:szCs w:val="32"/>
          <w:highlight w:val="none"/>
          <w:lang w:val="en-US" w:eastAsia="zh-CN"/>
        </w:rPr>
        <w:t>增加。</w:t>
      </w:r>
    </w:p>
    <w:p w14:paraId="4BB30A6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五、一般公共预算财政拨款支出决算情况说明</w:t>
      </w:r>
    </w:p>
    <w:p w14:paraId="6023283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（一）一般公共预算财政拨款支出决算总体情况</w:t>
      </w:r>
    </w:p>
    <w:p w14:paraId="76CAEDE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年度财政拨款支出</w:t>
      </w:r>
      <w:r>
        <w:rPr>
          <w:rFonts w:hint="eastAsia" w:ascii="仿宋_GB2312" w:hAnsi="仿宋_GB2312" w:eastAsia="仿宋_GB2312" w:cs="仿宋_GB2312"/>
          <w:sz w:val="32"/>
          <w:szCs w:val="32"/>
          <w:highlight w:val="none"/>
          <w:lang w:val="en-US" w:eastAsia="zh-CN"/>
        </w:rPr>
        <w:t>195.16</w:t>
      </w:r>
      <w:r>
        <w:rPr>
          <w:rFonts w:hint="eastAsia" w:ascii="仿宋_GB2312" w:hAnsi="仿宋_GB2312" w:eastAsia="仿宋_GB2312" w:cs="仿宋_GB2312"/>
          <w:sz w:val="32"/>
          <w:szCs w:val="32"/>
          <w:highlight w:val="none"/>
        </w:rPr>
        <w:t>万元，占本年支出合计的</w:t>
      </w:r>
      <w:r>
        <w:rPr>
          <w:rFonts w:hint="eastAsia" w:ascii="仿宋_GB2312" w:hAnsi="仿宋_GB2312" w:eastAsia="仿宋_GB2312" w:cs="仿宋_GB2312"/>
          <w:sz w:val="32"/>
          <w:szCs w:val="32"/>
          <w:highlight w:val="none"/>
          <w:lang w:val="en-US" w:eastAsia="zh-CN"/>
        </w:rPr>
        <w:t>55.07</w:t>
      </w:r>
      <w:r>
        <w:rPr>
          <w:rFonts w:hint="eastAsia" w:ascii="仿宋_GB2312" w:hAnsi="仿宋_GB2312" w:eastAsia="仿宋_GB2312" w:cs="仿宋_GB2312"/>
          <w:sz w:val="32"/>
          <w:szCs w:val="32"/>
          <w:highlight w:val="none"/>
        </w:rPr>
        <w:t>%，与上年相比，财政拨款支出增加</w:t>
      </w:r>
      <w:r>
        <w:rPr>
          <w:rFonts w:hint="eastAsia" w:ascii="仿宋_GB2312" w:hAnsi="仿宋_GB2312" w:eastAsia="仿宋_GB2312" w:cs="仿宋_GB2312"/>
          <w:sz w:val="32"/>
          <w:szCs w:val="32"/>
          <w:highlight w:val="none"/>
          <w:lang w:val="en-US" w:eastAsia="zh-CN"/>
        </w:rPr>
        <w:t>34.71</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21.63</w:t>
      </w:r>
      <w:r>
        <w:rPr>
          <w:rFonts w:hint="eastAsia" w:ascii="仿宋_GB2312" w:hAnsi="仿宋_GB2312" w:eastAsia="仿宋_GB2312" w:cs="仿宋_GB2312"/>
          <w:sz w:val="32"/>
          <w:szCs w:val="32"/>
          <w:highlight w:val="none"/>
        </w:rPr>
        <w:t>%，主要是因为主要是因为节能环保支出</w:t>
      </w:r>
      <w:r>
        <w:rPr>
          <w:rFonts w:hint="eastAsia" w:ascii="仿宋_GB2312" w:hAnsi="仿宋_GB2312" w:eastAsia="仿宋_GB2312" w:cs="仿宋_GB2312"/>
          <w:sz w:val="32"/>
          <w:szCs w:val="32"/>
          <w:highlight w:val="none"/>
          <w:lang w:val="en-US" w:eastAsia="zh-CN"/>
        </w:rPr>
        <w:t>增加</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sz w:val="32"/>
          <w:szCs w:val="32"/>
          <w:highlight w:val="none"/>
          <w:lang w:val="en-US" w:eastAsia="zh-CN"/>
        </w:rPr>
        <w:t>增加。</w:t>
      </w:r>
    </w:p>
    <w:p w14:paraId="66C54C8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（二）一般公共预算财政拨款支出决算结构情况</w:t>
      </w:r>
    </w:p>
    <w:p w14:paraId="100B560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年度财政拨款支出408.99万元，主要用于以下方面：社会保障和就业支出（类）支出</w:t>
      </w:r>
      <w:r>
        <w:rPr>
          <w:rFonts w:hint="eastAsia" w:ascii="仿宋_GB2312" w:hAnsi="仿宋_GB2312" w:eastAsia="仿宋_GB2312" w:cs="仿宋_GB2312"/>
          <w:sz w:val="32"/>
          <w:szCs w:val="32"/>
          <w:highlight w:val="none"/>
          <w:lang w:val="en-US" w:eastAsia="zh-CN"/>
        </w:rPr>
        <w:t>74.66</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18.25</w:t>
      </w:r>
      <w:r>
        <w:rPr>
          <w:rFonts w:hint="eastAsia" w:ascii="仿宋_GB2312" w:hAnsi="仿宋_GB2312" w:eastAsia="仿宋_GB2312" w:cs="仿宋_GB2312"/>
          <w:sz w:val="32"/>
          <w:szCs w:val="32"/>
          <w:highlight w:val="none"/>
        </w:rPr>
        <w:t>%；卫生健康支出（类）支出</w:t>
      </w:r>
      <w:r>
        <w:rPr>
          <w:rFonts w:hint="eastAsia" w:ascii="宋体" w:hAnsi="宋体" w:eastAsia="宋体" w:cs="Times New Roman"/>
          <w:color w:val="000000"/>
          <w:kern w:val="0"/>
          <w:sz w:val="32"/>
          <w:szCs w:val="24"/>
          <w:highlight w:val="none"/>
          <w:lang w:val="en-US" w:eastAsia="zh-CN" w:bidi="ar"/>
        </w:rPr>
        <w:t>13.33</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3.26</w:t>
      </w:r>
      <w:r>
        <w:rPr>
          <w:rFonts w:hint="eastAsia" w:ascii="仿宋_GB2312" w:hAnsi="仿宋_GB2312" w:eastAsia="仿宋_GB2312" w:cs="仿宋_GB2312"/>
          <w:sz w:val="32"/>
          <w:szCs w:val="32"/>
          <w:highlight w:val="none"/>
        </w:rPr>
        <w:t>%;节能环保支出（类）支出</w:t>
      </w:r>
      <w:r>
        <w:rPr>
          <w:rFonts w:hint="eastAsia" w:ascii="宋体" w:hAnsi="宋体" w:eastAsia="宋体" w:cs="Times New Roman"/>
          <w:color w:val="000000"/>
          <w:kern w:val="0"/>
          <w:sz w:val="32"/>
          <w:szCs w:val="24"/>
          <w:highlight w:val="none"/>
          <w:lang w:val="en-US" w:eastAsia="zh-CN" w:bidi="ar"/>
        </w:rPr>
        <w:t>306.39</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74.91</w:t>
      </w:r>
      <w:r>
        <w:rPr>
          <w:rFonts w:hint="eastAsia" w:ascii="仿宋_GB2312" w:hAnsi="仿宋_GB2312" w:eastAsia="仿宋_GB2312" w:cs="仿宋_GB2312"/>
          <w:sz w:val="32"/>
          <w:szCs w:val="32"/>
          <w:highlight w:val="none"/>
        </w:rPr>
        <w:t>%;住房保障支出（类）支出</w:t>
      </w:r>
      <w:r>
        <w:rPr>
          <w:rFonts w:hint="eastAsia" w:ascii="宋体" w:hAnsi="宋体" w:eastAsia="宋体" w:cs="Times New Roman"/>
          <w:color w:val="000000"/>
          <w:kern w:val="0"/>
          <w:sz w:val="32"/>
          <w:szCs w:val="24"/>
          <w:highlight w:val="none"/>
          <w:lang w:val="en-US" w:eastAsia="zh-CN" w:bidi="ar"/>
        </w:rPr>
        <w:t>14.61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3.57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CDBADF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（三）一般公共预算财政拨款支出决算具体情况</w:t>
      </w:r>
    </w:p>
    <w:p w14:paraId="5B07DAE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年度财政拨款支出年初预算数为</w:t>
      </w:r>
      <w:r>
        <w:rPr>
          <w:rFonts w:hint="eastAsia" w:ascii="宋体" w:hAnsi="宋体"/>
          <w:sz w:val="32"/>
          <w:szCs w:val="24"/>
          <w:highlight w:val="none"/>
        </w:rPr>
        <w:t>96.47</w:t>
      </w:r>
      <w:r>
        <w:rPr>
          <w:rFonts w:hint="eastAsia" w:ascii="仿宋_GB2312" w:hAnsi="仿宋_GB2312" w:eastAsia="仿宋_GB2312" w:cs="仿宋_GB2312"/>
          <w:sz w:val="32"/>
          <w:szCs w:val="32"/>
          <w:highlight w:val="none"/>
        </w:rPr>
        <w:t>万元，支出决算数为</w:t>
      </w:r>
      <w:r>
        <w:rPr>
          <w:rFonts w:hint="eastAsia" w:ascii="仿宋_GB2312" w:hAnsi="仿宋_GB2312" w:eastAsia="仿宋_GB2312" w:cs="仿宋_GB2312"/>
          <w:sz w:val="32"/>
          <w:szCs w:val="32"/>
          <w:highlight w:val="none"/>
          <w:lang w:val="en-US" w:eastAsia="zh-CN"/>
        </w:rPr>
        <w:t>195.16</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202.30</w:t>
      </w:r>
      <w:r>
        <w:rPr>
          <w:rFonts w:hint="eastAsia" w:ascii="仿宋_GB2312" w:hAnsi="仿宋_GB2312" w:eastAsia="仿宋_GB2312" w:cs="仿宋_GB2312"/>
          <w:sz w:val="32"/>
          <w:szCs w:val="32"/>
          <w:highlight w:val="none"/>
        </w:rPr>
        <w:t>%，其中：</w:t>
      </w:r>
    </w:p>
    <w:p w14:paraId="237A4D6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1、社会保障和就业支出（类）行政事业单位养老支出（款）机关事业单位基本养老保险缴费支出（项）。</w:t>
      </w:r>
    </w:p>
    <w:p w14:paraId="7523608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宋体" w:hAnsi="宋体" w:eastAsia="仿宋_GB2312"/>
          <w:sz w:val="32"/>
          <w:szCs w:val="24"/>
          <w:highlight w:val="none"/>
          <w:lang w:val="en-US" w:eastAsia="zh-CN"/>
        </w:rPr>
        <w:t>8.29</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8.29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严格按照预算控制支出。</w:t>
      </w:r>
    </w:p>
    <w:p w14:paraId="3239AE13">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、社会保障和就业支出（类）残疾人事业（款）其他残疾人事业支出（项）。</w:t>
      </w:r>
    </w:p>
    <w:p w14:paraId="2F32E69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0.69</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0.69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严格按照预算控制支出。</w:t>
      </w:r>
    </w:p>
    <w:p w14:paraId="3443D2AF">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、卫生健康支出（类）行政事业单位医疗（款）行政单位医疗（项）。</w:t>
      </w:r>
    </w:p>
    <w:p w14:paraId="68C02C81">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3.09</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3.09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val="en-US" w:eastAsia="zh-CN"/>
        </w:rPr>
        <w:t>严格按照预算执行。</w:t>
      </w:r>
    </w:p>
    <w:p w14:paraId="69099974">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、卫生健康支出（类）行政事业单位医疗（款）公务员医疗补助（项）。</w:t>
      </w:r>
    </w:p>
    <w:p w14:paraId="2CB69388">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2.94</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1.72</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58.50</w:t>
      </w:r>
      <w:r>
        <w:rPr>
          <w:rFonts w:hint="eastAsia" w:ascii="仿宋_GB2312" w:hAnsi="仿宋_GB2312" w:eastAsia="仿宋_GB2312" w:cs="仿宋_GB2312"/>
          <w:sz w:val="32"/>
          <w:szCs w:val="32"/>
          <w:highlight w:val="none"/>
        </w:rPr>
        <w:t>%，决算数小于年初预算数的主要原因是：</w:t>
      </w:r>
      <w:r>
        <w:rPr>
          <w:rFonts w:hint="eastAsia" w:ascii="仿宋_GB2312" w:hAnsi="仿宋_GB2312" w:eastAsia="仿宋_GB2312" w:cs="仿宋_GB2312"/>
          <w:sz w:val="32"/>
          <w:szCs w:val="32"/>
          <w:highlight w:val="none"/>
          <w:lang w:val="en-US" w:eastAsia="zh-CN"/>
        </w:rPr>
        <w:t>部分支出决算计入其他环境监测与监察支出。</w:t>
      </w:r>
    </w:p>
    <w:p w14:paraId="785CF980">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、节能环保支出（类）环境保护管理事务（款）行政运行（项）。</w:t>
      </w:r>
    </w:p>
    <w:p w14:paraId="4EB88436">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75.47</w:t>
      </w:r>
      <w:r>
        <w:rPr>
          <w:rFonts w:hint="eastAsia" w:ascii="仿宋_GB2312" w:hAnsi="仿宋_GB2312" w:eastAsia="仿宋_GB2312" w:cs="仿宋_GB2312"/>
          <w:sz w:val="32"/>
          <w:szCs w:val="32"/>
          <w:highlight w:val="none"/>
        </w:rPr>
        <w:t>万元，支出决算为78.43万元，完成年初预算的</w:t>
      </w:r>
      <w:r>
        <w:rPr>
          <w:rFonts w:hint="eastAsia" w:ascii="仿宋_GB2312" w:hAnsi="仿宋_GB2312" w:eastAsia="仿宋_GB2312" w:cs="仿宋_GB2312"/>
          <w:sz w:val="32"/>
          <w:szCs w:val="32"/>
          <w:highlight w:val="none"/>
          <w:lang w:val="en-US" w:eastAsia="zh-CN"/>
        </w:rPr>
        <w:t>103.92</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val="en-US" w:eastAsia="zh-CN"/>
        </w:rPr>
        <w:t>部分</w:t>
      </w:r>
      <w:r>
        <w:rPr>
          <w:rFonts w:hint="eastAsia" w:ascii="仿宋_GB2312" w:hAnsi="仿宋_GB2312" w:eastAsia="仿宋_GB2312" w:cs="仿宋_GB2312"/>
          <w:sz w:val="32"/>
          <w:szCs w:val="32"/>
          <w:highlight w:val="none"/>
        </w:rPr>
        <w:t>年中追加项目支出</w:t>
      </w:r>
      <w:r>
        <w:rPr>
          <w:rFonts w:hint="eastAsia" w:ascii="仿宋_GB2312" w:hAnsi="仿宋_GB2312" w:eastAsia="仿宋_GB2312" w:cs="仿宋_GB2312"/>
          <w:sz w:val="32"/>
          <w:szCs w:val="32"/>
          <w:highlight w:val="none"/>
          <w:lang w:val="en-US" w:eastAsia="zh-CN"/>
        </w:rPr>
        <w:t>指标。</w:t>
      </w:r>
    </w:p>
    <w:p w14:paraId="63406949">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、节能环保支出（类）环境保护管理事务（款）其他环境保护管理事务支出（项）。</w:t>
      </w:r>
    </w:p>
    <w:p w14:paraId="29D9CDD4">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万元，支出决算为27.78万元，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于预算数为0，无法计算完成年初预算的百分比，决算数大于年初预算数的主要原因是：其他环境保护管理事务支出</w:t>
      </w:r>
      <w:r>
        <w:rPr>
          <w:rFonts w:hint="eastAsia" w:ascii="仿宋_GB2312" w:hAnsi="仿宋_GB2312" w:eastAsia="仿宋_GB2312" w:cs="仿宋_GB2312"/>
          <w:sz w:val="32"/>
          <w:szCs w:val="32"/>
          <w:highlight w:val="none"/>
          <w:lang w:eastAsia="zh-CN"/>
        </w:rPr>
        <w:t>年初未做预算。</w:t>
      </w:r>
    </w:p>
    <w:p w14:paraId="2439D781">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节能环保支出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污染防治</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水体</w:t>
      </w:r>
      <w:r>
        <w:rPr>
          <w:rFonts w:hint="eastAsia" w:ascii="仿宋_GB2312" w:hAnsi="仿宋_GB2312" w:eastAsia="仿宋_GB2312" w:cs="仿宋_GB2312"/>
          <w:sz w:val="32"/>
          <w:szCs w:val="32"/>
          <w:highlight w:val="none"/>
        </w:rPr>
        <w:t>（项）。</w:t>
      </w:r>
    </w:p>
    <w:p w14:paraId="5C301DA5">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万元，支出决算为9.99万元，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于预算数为0，无法计算完成年初预算的百分比，决算数大于年初预算数的主要原因是：</w:t>
      </w:r>
      <w:r>
        <w:rPr>
          <w:rFonts w:hint="eastAsia" w:ascii="仿宋_GB2312" w:hAnsi="仿宋_GB2312" w:eastAsia="仿宋_GB2312" w:cs="仿宋_GB2312"/>
          <w:sz w:val="32"/>
          <w:szCs w:val="32"/>
          <w:highlight w:val="none"/>
          <w:lang w:val="en-US" w:eastAsia="zh-CN"/>
        </w:rPr>
        <w:t>水体支出</w:t>
      </w:r>
      <w:r>
        <w:rPr>
          <w:rFonts w:hint="eastAsia" w:ascii="仿宋_GB2312" w:hAnsi="仿宋_GB2312" w:eastAsia="仿宋_GB2312" w:cs="仿宋_GB2312"/>
          <w:sz w:val="32"/>
          <w:szCs w:val="32"/>
          <w:highlight w:val="none"/>
          <w:lang w:eastAsia="zh-CN"/>
        </w:rPr>
        <w:t>年初未做预算。</w:t>
      </w:r>
    </w:p>
    <w:p w14:paraId="5940FDD5">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节能环保支出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自然生态保护</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农村环境保护</w:t>
      </w:r>
      <w:r>
        <w:rPr>
          <w:rFonts w:hint="eastAsia" w:ascii="仿宋_GB2312" w:hAnsi="仿宋_GB2312" w:eastAsia="仿宋_GB2312" w:cs="仿宋_GB2312"/>
          <w:sz w:val="32"/>
          <w:szCs w:val="32"/>
          <w:highlight w:val="none"/>
        </w:rPr>
        <w:t>（项）。</w:t>
      </w:r>
    </w:p>
    <w:p w14:paraId="3DD5DFBB">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于预算数为0，无法计算完成年初预算的百分比，决算数大于年初预算数的主要原因是：</w:t>
      </w:r>
      <w:r>
        <w:rPr>
          <w:rFonts w:hint="eastAsia" w:ascii="仿宋_GB2312" w:hAnsi="仿宋_GB2312" w:eastAsia="仿宋_GB2312" w:cs="仿宋_GB2312"/>
          <w:sz w:val="32"/>
          <w:szCs w:val="32"/>
          <w:highlight w:val="none"/>
          <w:lang w:val="en-US" w:eastAsia="zh-CN"/>
        </w:rPr>
        <w:t>农村环境保护年初</w:t>
      </w:r>
      <w:r>
        <w:rPr>
          <w:rFonts w:hint="eastAsia" w:ascii="仿宋_GB2312" w:hAnsi="仿宋_GB2312" w:eastAsia="仿宋_GB2312" w:cs="仿宋_GB2312"/>
          <w:sz w:val="32"/>
          <w:szCs w:val="32"/>
          <w:highlight w:val="none"/>
          <w:lang w:eastAsia="zh-CN"/>
        </w:rPr>
        <w:t>未做预算。</w:t>
      </w:r>
    </w:p>
    <w:p w14:paraId="4E9B8403">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节能环保支出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污染减排</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生态环境执法监察</w:t>
      </w:r>
      <w:r>
        <w:rPr>
          <w:rFonts w:hint="eastAsia" w:ascii="仿宋_GB2312" w:hAnsi="仿宋_GB2312" w:eastAsia="仿宋_GB2312" w:cs="仿宋_GB2312"/>
          <w:sz w:val="32"/>
          <w:szCs w:val="32"/>
          <w:highlight w:val="none"/>
        </w:rPr>
        <w:t>（项）。</w:t>
      </w:r>
    </w:p>
    <w:p w14:paraId="1262B58E">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42.12</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于预算数为0，无法计算完成年初预算的百分比，决算数大于年初预算数的主要原因是：</w:t>
      </w:r>
      <w:r>
        <w:rPr>
          <w:rFonts w:hint="eastAsia" w:ascii="仿宋_GB2312" w:hAnsi="仿宋_GB2312" w:eastAsia="仿宋_GB2312" w:cs="仿宋_GB2312"/>
          <w:sz w:val="32"/>
          <w:szCs w:val="32"/>
          <w:highlight w:val="none"/>
          <w:lang w:val="en-US" w:eastAsia="zh-CN"/>
        </w:rPr>
        <w:t>生态环境执法监察</w:t>
      </w:r>
      <w:r>
        <w:rPr>
          <w:rFonts w:hint="eastAsia" w:ascii="仿宋_GB2312" w:hAnsi="仿宋_GB2312" w:eastAsia="仿宋_GB2312" w:cs="仿宋_GB2312"/>
          <w:sz w:val="32"/>
          <w:szCs w:val="32"/>
          <w:highlight w:val="none"/>
          <w:lang w:eastAsia="zh-CN"/>
        </w:rPr>
        <w:t>年初未做预算。</w:t>
      </w:r>
    </w:p>
    <w:p w14:paraId="7F13DB61">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节能环保支出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其他节能环保支出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其他节能环保支出</w:t>
      </w:r>
      <w:r>
        <w:rPr>
          <w:rFonts w:hint="eastAsia" w:ascii="仿宋_GB2312" w:hAnsi="仿宋_GB2312" w:eastAsia="仿宋_GB2312" w:cs="仿宋_GB2312"/>
          <w:sz w:val="32"/>
          <w:szCs w:val="32"/>
          <w:highlight w:val="none"/>
        </w:rPr>
        <w:t>（项）。</w:t>
      </w:r>
    </w:p>
    <w:p w14:paraId="78597D05">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7.06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于预算数为0，无法计算完成年初预算的百分比，决算数大于年初预算数的主要原因是：</w:t>
      </w:r>
      <w:r>
        <w:rPr>
          <w:rFonts w:hint="eastAsia" w:ascii="仿宋_GB2312" w:hAnsi="仿宋_GB2312" w:eastAsia="仿宋_GB2312" w:cs="仿宋_GB2312"/>
          <w:sz w:val="32"/>
          <w:szCs w:val="32"/>
          <w:highlight w:val="none"/>
          <w:lang w:val="en-US" w:eastAsia="zh-CN"/>
        </w:rPr>
        <w:t>其他节能环保支出</w:t>
      </w:r>
      <w:r>
        <w:rPr>
          <w:rFonts w:hint="eastAsia" w:ascii="仿宋_GB2312" w:hAnsi="仿宋_GB2312" w:eastAsia="仿宋_GB2312" w:cs="仿宋_GB2312"/>
          <w:sz w:val="32"/>
          <w:szCs w:val="32"/>
          <w:highlight w:val="none"/>
          <w:lang w:eastAsia="zh-CN"/>
        </w:rPr>
        <w:t>年初未做预算。</w:t>
      </w:r>
    </w:p>
    <w:p w14:paraId="42F1AE01">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住房保障支出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住房改革支出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住房公积金</w:t>
      </w:r>
      <w:r>
        <w:rPr>
          <w:rFonts w:hint="eastAsia" w:ascii="仿宋_GB2312" w:hAnsi="仿宋_GB2312" w:eastAsia="仿宋_GB2312" w:cs="仿宋_GB2312"/>
          <w:sz w:val="32"/>
          <w:szCs w:val="32"/>
          <w:highlight w:val="none"/>
        </w:rPr>
        <w:t>（项）。</w:t>
      </w:r>
    </w:p>
    <w:p w14:paraId="14682E78">
      <w:pPr>
        <w:pStyle w:val="15"/>
        <w:keepNext w:val="0"/>
        <w:keepLines w:val="0"/>
        <w:pageBreakBefore w:val="0"/>
        <w:widowControl w:val="0"/>
        <w:shd w:val="clea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5.99</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5.99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严格按照预算执行</w:t>
      </w:r>
      <w:r>
        <w:rPr>
          <w:rFonts w:hint="eastAsia" w:ascii="仿宋_GB2312" w:hAnsi="仿宋_GB2312" w:eastAsia="仿宋_GB2312" w:cs="仿宋_GB2312"/>
          <w:sz w:val="32"/>
          <w:szCs w:val="32"/>
          <w:highlight w:val="none"/>
          <w:lang w:eastAsia="zh-CN"/>
        </w:rPr>
        <w:t>。</w:t>
      </w:r>
    </w:p>
    <w:p w14:paraId="373E8BA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14:paraId="293AEB6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eastAsia="zh-CN"/>
        </w:rPr>
        <w:t>一般公共预算</w:t>
      </w:r>
      <w:r>
        <w:rPr>
          <w:rFonts w:hint="eastAsia" w:ascii="仿宋_GB2312" w:hAnsi="仿宋_GB2312" w:eastAsia="仿宋_GB2312" w:cs="仿宋_GB2312"/>
          <w:sz w:val="32"/>
          <w:szCs w:val="32"/>
          <w:highlight w:val="none"/>
        </w:rPr>
        <w:t>财政拨款基本支出118.34万元，其中：</w:t>
      </w:r>
    </w:p>
    <w:p w14:paraId="02BCF71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人员经费</w:t>
      </w:r>
      <w:r>
        <w:rPr>
          <w:rFonts w:hint="eastAsia" w:ascii="仿宋_GB2312" w:hAnsi="仿宋_GB2312" w:eastAsia="仿宋_GB2312" w:cs="仿宋_GB2312"/>
          <w:sz w:val="32"/>
          <w:szCs w:val="32"/>
          <w:highlight w:val="none"/>
          <w:lang w:val="en-US" w:eastAsia="zh-CN"/>
        </w:rPr>
        <w:t>100.61</w:t>
      </w:r>
      <w:r>
        <w:rPr>
          <w:rFonts w:hint="eastAsia" w:ascii="仿宋_GB2312" w:hAnsi="仿宋_GB2312" w:eastAsia="仿宋_GB2312" w:cs="仿宋_GB2312"/>
          <w:sz w:val="32"/>
          <w:szCs w:val="32"/>
          <w:highlight w:val="none"/>
        </w:rPr>
        <w:t>万元，占基本支出的</w:t>
      </w:r>
      <w:r>
        <w:rPr>
          <w:rFonts w:hint="eastAsia" w:ascii="仿宋_GB2312" w:hAnsi="仿宋_GB2312" w:eastAsia="仿宋_GB2312" w:cs="仿宋_GB2312"/>
          <w:sz w:val="32"/>
          <w:szCs w:val="32"/>
          <w:highlight w:val="none"/>
          <w:lang w:val="en-US" w:eastAsia="zh-CN"/>
        </w:rPr>
        <w:t>85.02</w:t>
      </w:r>
      <w:r>
        <w:rPr>
          <w:rFonts w:hint="eastAsia" w:ascii="仿宋_GB2312" w:hAnsi="仿宋_GB2312" w:eastAsia="仿宋_GB2312" w:cs="仿宋_GB2312"/>
          <w:sz w:val="32"/>
          <w:szCs w:val="32"/>
          <w:highlight w:val="none"/>
        </w:rPr>
        <w:t>%,主要包括基本工资、津贴补贴、奖金、伙食补助费</w:t>
      </w:r>
      <w:r>
        <w:rPr>
          <w:rFonts w:hint="eastAsia" w:ascii="仿宋_GB2312" w:hAnsi="仿宋_GB2312" w:eastAsia="仿宋_GB2312" w:cs="仿宋_GB2312"/>
          <w:sz w:val="32"/>
          <w:szCs w:val="32"/>
          <w:highlight w:val="none"/>
          <w:lang w:eastAsia="zh-CN"/>
        </w:rPr>
        <w:t>、绩效工资、机关事业单位基本养老保险缴费、职工基本医疗保险缴费、其他社会保障缴费、住房公积金、医疗费、退休费、医疗费补助、其他对个人和家庭的补助。</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sz w:val="32"/>
          <w:szCs w:val="32"/>
          <w:highlight w:val="none"/>
          <w:lang w:val="en-US" w:eastAsia="zh-CN"/>
        </w:rPr>
        <w:t>17.73</w:t>
      </w:r>
      <w:r>
        <w:rPr>
          <w:rFonts w:hint="eastAsia" w:ascii="仿宋_GB2312" w:hAnsi="仿宋_GB2312" w:eastAsia="仿宋_GB2312" w:cs="仿宋_GB2312"/>
          <w:sz w:val="32"/>
          <w:szCs w:val="32"/>
          <w:highlight w:val="none"/>
        </w:rPr>
        <w:t>万元，占基本支出的</w:t>
      </w:r>
      <w:r>
        <w:rPr>
          <w:rFonts w:hint="eastAsia" w:ascii="仿宋_GB2312" w:hAnsi="仿宋_GB2312" w:eastAsia="仿宋_GB2312" w:cs="仿宋_GB2312"/>
          <w:sz w:val="32"/>
          <w:szCs w:val="32"/>
          <w:highlight w:val="none"/>
          <w:lang w:val="en-US" w:eastAsia="zh-CN"/>
        </w:rPr>
        <w:t>14.98</w:t>
      </w:r>
      <w:r>
        <w:rPr>
          <w:rFonts w:hint="eastAsia" w:ascii="仿宋_GB2312" w:hAnsi="仿宋_GB2312" w:eastAsia="仿宋_GB2312" w:cs="仿宋_GB2312"/>
          <w:sz w:val="32"/>
          <w:szCs w:val="32"/>
          <w:highlight w:val="none"/>
        </w:rPr>
        <w:t>%，主要包括办公费、水费</w:t>
      </w:r>
      <w:r>
        <w:rPr>
          <w:rFonts w:hint="eastAsia" w:ascii="仿宋_GB2312" w:hAnsi="仿宋_GB2312" w:eastAsia="仿宋_GB2312" w:cs="仿宋_GB2312"/>
          <w:sz w:val="32"/>
          <w:szCs w:val="32"/>
          <w:highlight w:val="none"/>
          <w:lang w:eastAsia="zh-CN"/>
        </w:rPr>
        <w:t>、电费、物业管理费、差旅费、劳务费、委托业务费、工会经费、福利费、其他交通费用、其他商品和服务支出</w:t>
      </w:r>
      <w:r>
        <w:rPr>
          <w:rFonts w:hint="eastAsia" w:ascii="仿宋_GB2312" w:hAnsi="仿宋_GB2312" w:eastAsia="仿宋_GB2312" w:cs="仿宋_GB2312"/>
          <w:sz w:val="32"/>
          <w:szCs w:val="32"/>
          <w:highlight w:val="none"/>
        </w:rPr>
        <w:t>。</w:t>
      </w:r>
    </w:p>
    <w:p w14:paraId="238B276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highlight w:val="none"/>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黑体" w:hAnsi="黑体" w:eastAsia="黑体" w:cs="黑体"/>
          <w:b w:val="0"/>
          <w:bCs/>
          <w:color w:val="000000"/>
          <w:kern w:val="0"/>
          <w:sz w:val="32"/>
          <w:szCs w:val="32"/>
          <w:highlight w:val="none"/>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Times New Roman" w:hAnsi="Times New Roman" w:eastAsia="仿宋_GB2312"/>
          <w:sz w:val="32"/>
          <w:szCs w:val="32"/>
          <w:highlight w:val="none"/>
          <w:lang w:val="en-US" w:eastAsia="zh-CN"/>
        </w:rPr>
        <w:t>2024年度国有资本经营预算财政拨款收入0万元；年初结转和结余0万；支出0万元，其中：基本支出0万元，项目支出0万元；年末结转和结余0万元。</w:t>
      </w:r>
    </w:p>
    <w:p w14:paraId="5876C25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hAnsi="黑体" w:cs="黑体"/>
          <w:b w:val="0"/>
          <w:bCs/>
          <w:sz w:val="32"/>
          <w:szCs w:val="32"/>
          <w:highlight w:val="none"/>
          <w:lang w:eastAsia="zh-CN"/>
        </w:rPr>
        <w:t>九、</w:t>
      </w:r>
      <w:r>
        <w:rPr>
          <w:rFonts w:hint="eastAsia" w:ascii="黑体" w:hAnsi="黑体" w:eastAsia="黑体" w:cs="黑体"/>
          <w:b w:val="0"/>
          <w:bCs/>
          <w:sz w:val="32"/>
          <w:szCs w:val="32"/>
          <w:highlight w:val="none"/>
        </w:rPr>
        <w:t>财政拨款三公经费支出决算情况说明</w:t>
      </w:r>
    </w:p>
    <w:p w14:paraId="6298EF1D">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w:t>
      </w:r>
      <w:r>
        <w:rPr>
          <w:rFonts w:hint="eastAsia" w:ascii="Times New Roman" w:hAnsi="Times New Roman" w:eastAsia="楷体_GB2312" w:cs="Times New Roman"/>
          <w:b/>
          <w:sz w:val="32"/>
          <w:szCs w:val="32"/>
          <w:highlight w:val="none"/>
          <w:lang w:eastAsia="zh-CN"/>
        </w:rPr>
        <w:t>“三公”</w:t>
      </w:r>
      <w:r>
        <w:rPr>
          <w:rFonts w:ascii="Times New Roman" w:hAnsi="Times New Roman" w:eastAsia="楷体_GB2312" w:cs="Times New Roman"/>
          <w:b/>
          <w:sz w:val="32"/>
          <w:szCs w:val="32"/>
          <w:highlight w:val="none"/>
        </w:rPr>
        <w:t>经费财政拨款支出决算总体情况说明</w:t>
      </w:r>
    </w:p>
    <w:p w14:paraId="730E9443">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2024年度“三公”经费财政拨款支出预算为</w:t>
      </w:r>
      <w:r>
        <w:rPr>
          <w:rFonts w:hint="eastAsia" w:ascii="Times New Roman" w:hAnsi="Times New Roman" w:eastAsia="仿宋_GB2312" w:cs="Times New Roman"/>
          <w:sz w:val="32"/>
          <w:szCs w:val="32"/>
          <w:highlight w:val="none"/>
          <w:lang w:val="en-US" w:eastAsia="zh-CN"/>
        </w:rPr>
        <w:t>0.33</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100.00</w:t>
      </w:r>
      <w:r>
        <w:rPr>
          <w:rFonts w:ascii="Times New Roman" w:hAnsi="Times New Roman" w:eastAsia="仿宋_GB2312" w:cs="Times New Roman"/>
          <w:sz w:val="32"/>
          <w:szCs w:val="32"/>
          <w:highlight w:val="none"/>
        </w:rPr>
        <w:t>%；与上年相比</w:t>
      </w:r>
      <w:r>
        <w:rPr>
          <w:rFonts w:hint="eastAsia" w:ascii="Times New Roman" w:hAnsi="Times New Roman" w:eastAsia="仿宋_GB2312" w:cs="Times New Roman"/>
          <w:sz w:val="32"/>
          <w:szCs w:val="32"/>
          <w:highlight w:val="none"/>
          <w:lang w:val="en-US" w:eastAsia="zh-CN"/>
        </w:rPr>
        <w:t>减少0.2</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减少62.26</w:t>
      </w:r>
      <w:r>
        <w:rPr>
          <w:rFonts w:ascii="Times New Roman" w:hAnsi="Times New Roman" w:eastAsia="仿宋_GB2312" w:cs="Times New Roman"/>
          <w:sz w:val="32"/>
          <w:szCs w:val="32"/>
          <w:highlight w:val="none"/>
        </w:rPr>
        <w:t>%。决算数</w:t>
      </w:r>
      <w:r>
        <w:rPr>
          <w:rFonts w:hint="eastAsia" w:ascii="Times New Roman" w:hAnsi="Times New Roman" w:eastAsia="仿宋_GB2312" w:cs="Times New Roman"/>
          <w:sz w:val="32"/>
          <w:szCs w:val="32"/>
          <w:highlight w:val="none"/>
          <w:lang w:val="en-US" w:eastAsia="zh-CN"/>
        </w:rPr>
        <w:t>等</w:t>
      </w:r>
      <w:r>
        <w:rPr>
          <w:rFonts w:ascii="Times New Roman" w:hAnsi="Times New Roman" w:eastAsia="仿宋_GB2312" w:cs="Times New Roman"/>
          <w:sz w:val="32"/>
          <w:szCs w:val="32"/>
          <w:highlight w:val="none"/>
        </w:rPr>
        <w:t>于预算数的主要原因是</w:t>
      </w:r>
      <w:r>
        <w:rPr>
          <w:rFonts w:hint="eastAsia" w:ascii="Times New Roman" w:hAnsi="Times New Roman" w:eastAsia="仿宋_GB2312" w:cs="Times New Roman"/>
          <w:sz w:val="32"/>
          <w:szCs w:val="32"/>
          <w:highlight w:val="none"/>
          <w:lang w:val="en-US" w:eastAsia="zh-CN"/>
        </w:rPr>
        <w:t>严格按照年初预算执行</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val="en-US" w:eastAsia="zh-CN"/>
        </w:rPr>
        <w:t>例行节约</w:t>
      </w:r>
      <w:r>
        <w:rPr>
          <w:rFonts w:hint="eastAsia" w:ascii="仿宋_GB2312" w:hAnsi="仿宋_GB2312" w:eastAsia="仿宋_GB2312" w:cs="仿宋_GB2312"/>
          <w:sz w:val="32"/>
          <w:szCs w:val="32"/>
          <w:highlight w:val="none"/>
          <w:lang w:eastAsia="zh-CN"/>
        </w:rPr>
        <w:t>，严格控制“三公”经费</w:t>
      </w:r>
      <w:r>
        <w:rPr>
          <w:rFonts w:ascii="Times New Roman" w:hAnsi="Times New Roman" w:eastAsia="仿宋_GB2312" w:cs="Times New Roman"/>
          <w:sz w:val="32"/>
          <w:szCs w:val="32"/>
          <w:highlight w:val="none"/>
        </w:rPr>
        <w:t>。</w:t>
      </w:r>
    </w:p>
    <w:p w14:paraId="352D03A7">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w:t>
      </w:r>
      <w:r>
        <w:rPr>
          <w:rFonts w:hint="eastAsia" w:ascii="Times New Roman" w:hAnsi="Times New Roman" w:eastAsia="楷体_GB2312" w:cs="Times New Roman"/>
          <w:b/>
          <w:sz w:val="32"/>
          <w:szCs w:val="32"/>
          <w:highlight w:val="none"/>
          <w:lang w:eastAsia="zh-CN"/>
        </w:rPr>
        <w:t>“三公”</w:t>
      </w:r>
      <w:r>
        <w:rPr>
          <w:rFonts w:ascii="Times New Roman" w:hAnsi="Times New Roman" w:eastAsia="楷体_GB2312" w:cs="Times New Roman"/>
          <w:b/>
          <w:sz w:val="32"/>
          <w:szCs w:val="32"/>
          <w:highlight w:val="none"/>
        </w:rPr>
        <w:t>经费财政拨款支出决算具体情况说明</w:t>
      </w:r>
    </w:p>
    <w:p w14:paraId="0266805D">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决算数等于预算数</w:t>
      </w:r>
      <w:r>
        <w:rPr>
          <w:rFonts w:hint="eastAsia" w:ascii="Times New Roman" w:hAnsi="Times New Roman" w:eastAsia="仿宋_GB2312" w:cs="Times New Roman"/>
          <w:sz w:val="32"/>
          <w:szCs w:val="32"/>
          <w:highlight w:val="none"/>
          <w:lang w:val="en-US" w:eastAsia="zh-CN"/>
        </w:rPr>
        <w:t>，主要原因是我单位严格按预算执行决算</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与上年一致，无增减变动，主要原因是未安排因公出国（境）活动。</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lang w:eastAsia="zh-CN"/>
        </w:rPr>
        <w:t>。</w:t>
      </w:r>
    </w:p>
    <w:p w14:paraId="56D57C77">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2.公务用车购置费及运行维护费支出预算为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决算数等于预算数</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与上年一致，无增减变动</w:t>
      </w:r>
      <w:r>
        <w:rPr>
          <w:rFonts w:ascii="Times New Roman" w:hAnsi="Times New Roman" w:eastAsia="仿宋_GB2312" w:cs="Times New Roman"/>
          <w:sz w:val="32"/>
          <w:szCs w:val="32"/>
          <w:highlight w:val="none"/>
        </w:rPr>
        <w:t>。其中：</w:t>
      </w:r>
    </w:p>
    <w:p w14:paraId="6B13CE57">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决算数等于预算数，主要原因是我单位严格按预算执行决算</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与上年一致，无增减变动，主要原因是两年均未购置公务用车。本单位</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14:paraId="7C91A991">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公</w:t>
      </w:r>
      <w:r>
        <w:rPr>
          <w:rFonts w:ascii="Times New Roman" w:hAnsi="Times New Roman" w:eastAsia="仿宋_GB2312" w:cs="Times New Roman"/>
          <w:sz w:val="32"/>
          <w:szCs w:val="32"/>
          <w:highlight w:val="none"/>
        </w:rPr>
        <w:t>务用车运行维护费支出预算为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 xml:space="preserve">决算数等于预算数，主要原因是我单位严格按预算执行决算；与上年一致，无增减变动，主要原因是两年均无公务用车需要运行维护。 </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highlight w:val="none"/>
        </w:rPr>
        <w:t>2024年12月31日，我单位开支财政拨款的公务用车保有量为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p>
    <w:p w14:paraId="412D4B2E">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公务接待费支出预算为0.33万元，支出决算为0.33万元，完成预算的100%；与上年相比减少0.2万元，减少62.26%。决算数等于预算数的主要原因是严格按照年初预算执行。决算数小于上年数的主要原因是例行节约，严格控制“三公”经费。</w:t>
      </w:r>
    </w:p>
    <w:p w14:paraId="3D06ACE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highlight w:val="none"/>
        </w:rPr>
      </w:pPr>
      <w:r>
        <w:rPr>
          <w:rFonts w:hint="eastAsia" w:ascii="Times New Roman" w:hAnsi="Times New Roman" w:eastAsia="仿宋_GB2312"/>
          <w:b/>
          <w:color w:val="auto"/>
          <w:sz w:val="32"/>
          <w:szCs w:val="32"/>
          <w:highlight w:val="none"/>
          <w:lang w:eastAsia="zh-CN"/>
        </w:rPr>
        <w:t>十</w:t>
      </w:r>
      <w:r>
        <w:rPr>
          <w:rFonts w:hint="eastAsia" w:ascii="Times New Roman" w:hAnsi="Times New Roman" w:eastAsia="仿宋_GB2312"/>
          <w:b/>
          <w:color w:val="auto"/>
          <w:sz w:val="32"/>
          <w:szCs w:val="32"/>
          <w:highlight w:val="none"/>
        </w:rPr>
        <w:t>、关于机关运行经费支出说明</w:t>
      </w:r>
    </w:p>
    <w:p w14:paraId="38BA3ACD">
      <w:pPr>
        <w:pStyle w:val="15"/>
        <w:ind w:firstLine="640" w:firstLineChars="200"/>
        <w:rPr>
          <w:rFonts w:ascii="Times New Roman" w:hAnsi="Times New Roman" w:eastAsia="仿宋_GB2312"/>
          <w:sz w:val="32"/>
          <w:szCs w:val="32"/>
          <w:highlight w:val="none"/>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年度机关运行经费支出</w:t>
      </w:r>
      <w:r>
        <w:rPr>
          <w:rFonts w:hint="eastAsia" w:ascii="仿宋_GB2312" w:hAnsi="仿宋_GB2312" w:eastAsia="仿宋_GB2312" w:cs="仿宋_GB2312"/>
          <w:sz w:val="32"/>
          <w:szCs w:val="32"/>
          <w:highlight w:val="none"/>
          <w:lang w:val="en-US" w:eastAsia="zh-CN"/>
        </w:rPr>
        <w:t>17.73</w:t>
      </w:r>
      <w:r>
        <w:rPr>
          <w:rFonts w:hint="eastAsia" w:ascii="仿宋_GB2312" w:hAnsi="仿宋_GB2312" w:eastAsia="仿宋_GB2312" w:cs="仿宋_GB2312"/>
          <w:sz w:val="32"/>
          <w:szCs w:val="32"/>
          <w:highlight w:val="none"/>
        </w:rPr>
        <w:t>万元，比上年决算数增加</w:t>
      </w:r>
      <w:r>
        <w:rPr>
          <w:rFonts w:hint="eastAsia" w:ascii="仿宋_GB2312" w:hAnsi="仿宋_GB2312" w:eastAsia="仿宋_GB2312" w:cs="仿宋_GB2312"/>
          <w:sz w:val="32"/>
          <w:szCs w:val="32"/>
          <w:highlight w:val="none"/>
          <w:lang w:val="en-US" w:eastAsia="zh-CN"/>
        </w:rPr>
        <w:t>0.23</w:t>
      </w:r>
      <w:r>
        <w:rPr>
          <w:rFonts w:hint="eastAsia" w:ascii="仿宋_GB2312" w:hAnsi="仿宋_GB2312" w:eastAsia="仿宋_GB2312" w:cs="仿宋_GB2312"/>
          <w:sz w:val="32"/>
          <w:szCs w:val="32"/>
          <w:highlight w:val="none"/>
        </w:rPr>
        <w:t xml:space="preserve"> 万元，增长</w:t>
      </w:r>
      <w:r>
        <w:rPr>
          <w:rFonts w:hint="eastAsia" w:ascii="仿宋_GB2312" w:hAnsi="仿宋_GB2312" w:eastAsia="仿宋_GB2312" w:cs="仿宋_GB2312"/>
          <w:sz w:val="32"/>
          <w:szCs w:val="32"/>
          <w:highlight w:val="none"/>
          <w:lang w:val="en-US" w:eastAsia="zh-CN"/>
        </w:rPr>
        <w:t>1.31</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办公费、印刷费增加。</w:t>
      </w:r>
    </w:p>
    <w:p w14:paraId="39684EF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hAnsi="黑体" w:cs="黑体"/>
          <w:b w:val="0"/>
          <w:bCs/>
          <w:sz w:val="32"/>
          <w:szCs w:val="32"/>
          <w:highlight w:val="none"/>
          <w:lang w:eastAsia="zh-CN"/>
        </w:rPr>
        <w:t>一</w:t>
      </w:r>
      <w:r>
        <w:rPr>
          <w:rFonts w:hint="eastAsia" w:ascii="黑体" w:hAnsi="黑体" w:eastAsia="黑体" w:cs="黑体"/>
          <w:b w:val="0"/>
          <w:bCs/>
          <w:sz w:val="32"/>
          <w:szCs w:val="32"/>
          <w:highlight w:val="none"/>
        </w:rPr>
        <w:t>、一般性支出情况说明</w:t>
      </w:r>
    </w:p>
    <w:p w14:paraId="39C2EAB5">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本单位无会议费的预算和支出决算数；本单位无培训费的预算和支出决算数；本单位无举办节庆、晚会、论坛、赛事等活动的预算和支出决算数。</w:t>
      </w:r>
    </w:p>
    <w:p w14:paraId="252D0BE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hAnsi="黑体" w:cs="黑体"/>
          <w:b w:val="0"/>
          <w:bCs/>
          <w:sz w:val="32"/>
          <w:szCs w:val="32"/>
          <w:highlight w:val="none"/>
          <w:lang w:eastAsia="zh-CN"/>
        </w:rPr>
        <w:t>二</w:t>
      </w:r>
      <w:r>
        <w:rPr>
          <w:rFonts w:hint="eastAsia" w:ascii="黑体" w:hAnsi="黑体" w:eastAsia="黑体" w:cs="黑体"/>
          <w:b w:val="0"/>
          <w:bCs/>
          <w:sz w:val="32"/>
          <w:szCs w:val="32"/>
          <w:highlight w:val="none"/>
        </w:rPr>
        <w:t>、关于政府采购支出说明</w:t>
      </w:r>
    </w:p>
    <w:p w14:paraId="7306BD0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109.36</w:t>
      </w:r>
      <w:r>
        <w:rPr>
          <w:rFonts w:hint="eastAsia" w:ascii="仿宋_GB2312" w:hAnsi="仿宋_GB2312" w:eastAsia="仿宋_GB2312" w:cs="仿宋_GB2312"/>
          <w:sz w:val="32"/>
          <w:szCs w:val="32"/>
          <w:highlight w:val="none"/>
        </w:rPr>
        <w:t>万元，其中：政府采购货物支出</w:t>
      </w:r>
      <w:r>
        <w:rPr>
          <w:rFonts w:hint="eastAsia" w:ascii="仿宋_GB2312" w:hAnsi="仿宋_GB2312" w:eastAsia="仿宋_GB2312" w:cs="仿宋_GB2312"/>
          <w:sz w:val="32"/>
          <w:szCs w:val="32"/>
          <w:highlight w:val="none"/>
          <w:lang w:val="en-US" w:eastAsia="zh-CN"/>
        </w:rPr>
        <w:t>4.57</w:t>
      </w:r>
      <w:r>
        <w:rPr>
          <w:rFonts w:hint="eastAsia" w:ascii="仿宋_GB2312" w:hAnsi="仿宋_GB2312" w:eastAsia="仿宋_GB2312" w:cs="仿宋_GB2312"/>
          <w:sz w:val="32"/>
          <w:szCs w:val="32"/>
          <w:highlight w:val="none"/>
        </w:rPr>
        <w:t>万元、政府采购工程支出</w:t>
      </w:r>
      <w:r>
        <w:rPr>
          <w:rFonts w:hint="eastAsia" w:ascii="仿宋_GB2312" w:hAnsi="仿宋_GB2312" w:eastAsia="仿宋_GB2312" w:cs="仿宋_GB2312"/>
          <w:sz w:val="32"/>
          <w:szCs w:val="32"/>
          <w:highlight w:val="none"/>
          <w:lang w:val="en-US" w:eastAsia="zh-CN"/>
        </w:rPr>
        <w:t>9.88</w:t>
      </w:r>
      <w:r>
        <w:rPr>
          <w:rFonts w:hint="eastAsia" w:ascii="仿宋_GB2312" w:hAnsi="仿宋_GB2312" w:eastAsia="仿宋_GB2312" w:cs="仿宋_GB2312"/>
          <w:sz w:val="32"/>
          <w:szCs w:val="32"/>
          <w:highlight w:val="none"/>
        </w:rPr>
        <w:t>万元、政府采购服务支出</w:t>
      </w:r>
      <w:r>
        <w:rPr>
          <w:rFonts w:hint="eastAsia" w:ascii="仿宋_GB2312" w:hAnsi="仿宋_GB2312" w:eastAsia="仿宋_GB2312" w:cs="仿宋_GB2312"/>
          <w:sz w:val="32"/>
          <w:szCs w:val="32"/>
          <w:highlight w:val="none"/>
          <w:lang w:val="en-US" w:eastAsia="zh-CN"/>
        </w:rPr>
        <w:t>94.92</w:t>
      </w:r>
      <w:r>
        <w:rPr>
          <w:rFonts w:hint="eastAsia" w:ascii="仿宋_GB2312" w:hAnsi="仿宋_GB2312" w:eastAsia="仿宋_GB2312" w:cs="仿宋_GB2312"/>
          <w:sz w:val="32"/>
          <w:szCs w:val="32"/>
          <w:highlight w:val="none"/>
        </w:rPr>
        <w:t>万元。授予中小企业合同金额</w:t>
      </w:r>
      <w:r>
        <w:rPr>
          <w:rFonts w:hint="eastAsia" w:ascii="仿宋_GB2312" w:hAnsi="仿宋_GB2312" w:eastAsia="仿宋_GB2312" w:cs="仿宋_GB2312"/>
          <w:sz w:val="32"/>
          <w:szCs w:val="32"/>
          <w:highlight w:val="none"/>
          <w:lang w:val="en-US" w:eastAsia="zh-CN"/>
        </w:rPr>
        <w:t>109.36</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109.36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%，服务采购授予中小企业合同金额占</w:t>
      </w:r>
      <w:r>
        <w:rPr>
          <w:rFonts w:hint="eastAsia" w:ascii="仿宋_GB2312" w:hAnsi="仿宋_GB2312" w:eastAsia="仿宋_GB2312" w:cs="仿宋_GB2312"/>
          <w:color w:val="auto"/>
          <w:sz w:val="32"/>
          <w:szCs w:val="32"/>
        </w:rPr>
        <w:t>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46A0DF6">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三</w:t>
      </w:r>
      <w:r>
        <w:rPr>
          <w:rFonts w:hint="eastAsia" w:ascii="黑体" w:hAnsi="黑体" w:eastAsia="黑体" w:cs="黑体"/>
          <w:b w:val="0"/>
          <w:bCs/>
          <w:color w:val="auto"/>
          <w:sz w:val="32"/>
          <w:szCs w:val="32"/>
          <w:highlight w:val="none"/>
        </w:rPr>
        <w:t>、关于国有资产占用情况说明</w:t>
      </w:r>
    </w:p>
    <w:p w14:paraId="0044E386">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yellow"/>
        </w:rPr>
      </w:pPr>
      <w:r>
        <w:rPr>
          <w:rFonts w:hint="eastAsia" w:ascii="仿宋_GB2312" w:hAnsi="仿宋_GB2312" w:eastAsia="仿宋_GB2312" w:cs="仿宋_GB2312"/>
          <w:color w:val="auto"/>
          <w:sz w:val="32"/>
          <w:szCs w:val="32"/>
          <w:highlight w:val="none"/>
        </w:rPr>
        <w:t>截至202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部门（单位）</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w:t>
      </w:r>
      <w:r>
        <w:rPr>
          <w:rFonts w:hint="eastAsia" w:ascii="仿宋_GB2312" w:hAnsi="仿宋_GB2312" w:eastAsia="仿宋_GB2312" w:cs="仿宋_GB2312"/>
          <w:color w:val="auto"/>
          <w:sz w:val="32"/>
          <w:szCs w:val="32"/>
          <w:highlight w:val="none"/>
          <w:lang w:eastAsia="zh-CN"/>
        </w:rPr>
        <w:t>，副部（省）级及以上领导用车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sz w:val="32"/>
          <w:szCs w:val="32"/>
          <w:highlight w:val="none"/>
          <w:lang w:eastAsia="zh-CN"/>
        </w:rPr>
        <w:t>负责人</w:t>
      </w:r>
      <w:r>
        <w:rPr>
          <w:rFonts w:hint="eastAsia" w:ascii="仿宋_GB2312" w:hAnsi="仿宋_GB2312" w:eastAsia="仿宋_GB2312" w:cs="仿宋_GB2312"/>
          <w:color w:val="auto"/>
          <w:sz w:val="32"/>
          <w:szCs w:val="32"/>
          <w:highlight w:val="none"/>
        </w:rPr>
        <w:t>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机要通信用车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辆、应急保障用车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辆、执法执勤用车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辆、特种专业技术用车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离退休干部服务用车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辆、其他用车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辆，其他用车主要是1辆，其他用车主要是用于机要通信和应急保障之外公务用途的车辆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单位价值100万元以上设备</w:t>
      </w:r>
      <w:r>
        <w:rPr>
          <w:rFonts w:hint="eastAsia" w:ascii="仿宋_GB2312" w:hAnsi="仿宋_GB2312" w:eastAsia="仿宋_GB2312" w:cs="仿宋_GB2312"/>
          <w:color w:val="auto"/>
          <w:sz w:val="32"/>
          <w:szCs w:val="32"/>
          <w:highlight w:val="none"/>
          <w:lang w:eastAsia="zh-CN"/>
        </w:rPr>
        <w:t>（不含车辆）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台（套）。</w:t>
      </w:r>
    </w:p>
    <w:p w14:paraId="0A8224AC">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highlight w:val="none"/>
        </w:rPr>
      </w:pPr>
      <w:r>
        <w:rPr>
          <w:rFonts w:ascii="Times New Roman" w:hAnsi="Times New Roman" w:eastAsia="楷体_GB2312" w:cs="Times New Roman"/>
          <w:b/>
          <w:bCs/>
          <w:sz w:val="32"/>
          <w:szCs w:val="32"/>
          <w:highlight w:val="none"/>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highlight w:val="none"/>
          <w:lang w:val="en-US" w:eastAsia="zh-CN"/>
        </w:rPr>
        <w:t>绩</w:t>
      </w:r>
      <w:r>
        <w:rPr>
          <w:rFonts w:ascii="Times New Roman" w:hAnsi="Times New Roman" w:eastAsia="仿宋_GB2312" w:cs="Times New Roman"/>
          <w:b/>
          <w:bCs/>
          <w:kern w:val="0"/>
          <w:sz w:val="32"/>
          <w:szCs w:val="32"/>
          <w:highlight w:val="none"/>
        </w:rPr>
        <w:t>效自评开展情况。</w:t>
      </w:r>
      <w:r>
        <w:rPr>
          <w:rFonts w:ascii="Times New Roman" w:hAnsi="Times New Roman" w:eastAsia="仿宋_GB2312" w:cs="Times New Roman"/>
          <w:kern w:val="0"/>
          <w:sz w:val="32"/>
          <w:szCs w:val="32"/>
          <w:highlight w:val="none"/>
        </w:rPr>
        <w:t>组织对2024年度本部门（单位）整体支出开展绩效自评，涉及项目</w:t>
      </w:r>
      <w:r>
        <w:rPr>
          <w:rFonts w:hint="eastAsia" w:ascii="Times New Roman" w:hAnsi="Times New Roman" w:eastAsia="仿宋_GB2312" w:cs="Times New Roman"/>
          <w:kern w:val="0"/>
          <w:sz w:val="32"/>
          <w:szCs w:val="32"/>
          <w:highlight w:val="none"/>
          <w:lang w:val="en-US" w:eastAsia="zh-CN"/>
        </w:rPr>
        <w:t>1</w:t>
      </w:r>
      <w:r>
        <w:rPr>
          <w:rFonts w:ascii="Times New Roman" w:hAnsi="Times New Roman" w:eastAsia="仿宋_GB2312" w:cs="Times New Roman"/>
          <w:kern w:val="0"/>
          <w:sz w:val="32"/>
          <w:szCs w:val="32"/>
          <w:highlight w:val="none"/>
        </w:rPr>
        <w:t xml:space="preserve"> 个，共涉及资金</w:t>
      </w:r>
      <w:r>
        <w:rPr>
          <w:rFonts w:hint="eastAsia" w:ascii="Times New Roman" w:hAnsi="Times New Roman" w:eastAsia="仿宋_GB2312" w:cs="Times New Roman"/>
          <w:kern w:val="0"/>
          <w:sz w:val="32"/>
          <w:szCs w:val="32"/>
          <w:highlight w:val="none"/>
          <w:lang w:val="en-US" w:eastAsia="zh-CN"/>
        </w:rPr>
        <w:t>25.83</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1</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25.83</w:t>
      </w:r>
      <w:r>
        <w:rPr>
          <w:rFonts w:ascii="Times New Roman" w:hAnsi="Times New Roman" w:eastAsia="仿宋_GB2312" w:cs="Times New Roman"/>
          <w:kern w:val="0"/>
          <w:sz w:val="32"/>
          <w:szCs w:val="32"/>
          <w:highlight w:val="none"/>
        </w:rPr>
        <w:t xml:space="preserve"> 万元，占一般公共预算支出总额的</w:t>
      </w:r>
      <w:r>
        <w:rPr>
          <w:rFonts w:hint="eastAsia" w:ascii="Times New Roman" w:hAnsi="Times New Roman" w:eastAsia="仿宋_GB2312" w:cs="Times New Roman"/>
          <w:kern w:val="0"/>
          <w:sz w:val="32"/>
          <w:szCs w:val="32"/>
          <w:highlight w:val="none"/>
          <w:lang w:val="en-US" w:eastAsia="zh-CN"/>
        </w:rPr>
        <w:t>13.24</w:t>
      </w:r>
      <w:r>
        <w:rPr>
          <w:rFonts w:ascii="Times New Roman" w:hAnsi="Times New Roman" w:eastAsia="仿宋_GB2312" w:cs="Times New Roman"/>
          <w:kern w:val="0"/>
          <w:sz w:val="32"/>
          <w:szCs w:val="32"/>
          <w:highlight w:val="none"/>
        </w:rPr>
        <w:t>%；政府性基金预算项目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 xml:space="preserve"> 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w:t>
      </w:r>
      <w:r>
        <w:rPr>
          <w:rFonts w:ascii="Times New Roman" w:hAnsi="Times New Roman" w:eastAsia="仿宋_GB2312" w:cs="Times New Roman"/>
          <w:kern w:val="0"/>
          <w:sz w:val="32"/>
          <w:szCs w:val="32"/>
          <w:highlight w:val="none"/>
        </w:rPr>
        <w:t>；国有资本经营预算项目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万元，占国有资本经营预算支出总额的</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 xml:space="preserve"> 万元</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于预算数为0，无法计算完成年初预算的百分比</w:t>
      </w:r>
      <w:r>
        <w:rPr>
          <w:rFonts w:ascii="Times New Roman" w:hAnsi="Times New Roman" w:eastAsia="仿宋_GB2312" w:cs="Times New Roman"/>
          <w:kern w:val="0"/>
          <w:sz w:val="32"/>
          <w:szCs w:val="32"/>
          <w:highlight w:val="none"/>
        </w:rPr>
        <w:t>。</w:t>
      </w:r>
    </w:p>
    <w:p w14:paraId="69CA5DA3">
      <w:pPr>
        <w:overflowPunct w:val="0"/>
        <w:spacing w:line="600" w:lineRule="exact"/>
        <w:ind w:firstLine="640" w:firstLineChars="200"/>
        <w:rPr>
          <w:rFonts w:hint="eastAsia" w:ascii="Times New Roman" w:hAnsi="Times New Roman" w:eastAsia="仿宋_GB2312" w:cs="Times New Roman"/>
          <w:color w:val="FF0000"/>
          <w:kern w:val="0"/>
          <w:sz w:val="32"/>
          <w:szCs w:val="32"/>
          <w:highlight w:val="none"/>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highlight w:val="none"/>
        </w:rPr>
        <w:t>部门评价开展情况</w:t>
      </w:r>
      <w:r>
        <w:rPr>
          <w:rFonts w:ascii="Times New Roman" w:hAnsi="Times New Roman" w:eastAsia="仿宋_GB2312" w:cs="Times New Roman"/>
          <w:b/>
          <w:bCs/>
          <w:color w:val="auto"/>
          <w:kern w:val="0"/>
          <w:sz w:val="32"/>
          <w:szCs w:val="32"/>
          <w:highlight w:val="none"/>
        </w:rPr>
        <w:t>。</w:t>
      </w:r>
      <w:r>
        <w:rPr>
          <w:rFonts w:hint="eastAsia" w:ascii="Times New Roman" w:hAnsi="Times New Roman" w:eastAsia="仿宋_GB2312" w:cs="Times New Roman"/>
          <w:color w:val="auto"/>
          <w:kern w:val="0"/>
          <w:sz w:val="32"/>
          <w:szCs w:val="32"/>
          <w:highlight w:val="none"/>
          <w:lang w:val="en-US" w:eastAsia="zh-CN"/>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highlight w:val="none"/>
        </w:rPr>
      </w:pP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b/>
          <w:bCs/>
          <w:kern w:val="0"/>
          <w:sz w:val="32"/>
          <w:szCs w:val="32"/>
          <w:highlight w:val="none"/>
        </w:rPr>
        <w:t>事前绩效评估开展情况。</w:t>
      </w:r>
      <w:r>
        <w:rPr>
          <w:rFonts w:hint="eastAsia" w:ascii="Times New Roman" w:hAnsi="Times New Roman" w:eastAsia="仿宋_GB2312" w:cs="Times New Roman"/>
          <w:color w:val="auto"/>
          <w:kern w:val="0"/>
          <w:sz w:val="32"/>
          <w:szCs w:val="32"/>
          <w:highlight w:val="none"/>
          <w:lang w:val="en-US" w:eastAsia="zh-CN"/>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highlight w:val="none"/>
        </w:rPr>
      </w:pPr>
      <w:r>
        <w:rPr>
          <w:rFonts w:ascii="Times New Roman" w:hAnsi="Times New Roman" w:eastAsia="楷体_GB2312" w:cs="Times New Roman"/>
          <w:b/>
          <w:bCs/>
          <w:sz w:val="32"/>
          <w:szCs w:val="32"/>
          <w:highlight w:val="none"/>
        </w:rPr>
        <w:t>（二）绩效评价结果</w:t>
      </w:r>
    </w:p>
    <w:p w14:paraId="5B8282FA">
      <w:pPr>
        <w:pStyle w:val="3"/>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kern w:val="0"/>
          <w:sz w:val="32"/>
          <w:szCs w:val="32"/>
          <w:highlight w:val="none"/>
          <w:lang w:val="en-US" w:eastAsia="zh-CN"/>
        </w:rPr>
        <w:t>1.</w:t>
      </w:r>
      <w:r>
        <w:rPr>
          <w:rFonts w:ascii="Times New Roman" w:hAnsi="Times New Roman" w:eastAsia="仿宋_GB2312" w:cs="Times New Roman"/>
          <w:b/>
          <w:bCs/>
          <w:kern w:val="0"/>
          <w:sz w:val="32"/>
          <w:szCs w:val="32"/>
          <w:highlight w:val="none"/>
        </w:rPr>
        <w:t>绩效自评结果。</w:t>
      </w:r>
      <w:r>
        <w:rPr>
          <w:rFonts w:ascii="Times New Roman" w:hAnsi="Times New Roman" w:eastAsia="仿宋_GB2312" w:cs="Times New Roman"/>
          <w:kern w:val="0"/>
          <w:sz w:val="32"/>
          <w:szCs w:val="32"/>
          <w:highlight w:val="none"/>
        </w:rPr>
        <w:t>2024年度本部门（单位）整体支出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rPr>
        <w:t>354.4</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rPr>
        <w:t>307.16</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75.16</w:t>
      </w:r>
      <w:r>
        <w:rPr>
          <w:rFonts w:ascii="Times New Roman" w:hAnsi="Times New Roman" w:eastAsia="仿宋_GB2312" w:cs="Times New Roman"/>
          <w:sz w:val="32"/>
          <w:szCs w:val="32"/>
          <w:highlight w:val="none"/>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kern w:val="0"/>
          <w:sz w:val="32"/>
          <w:szCs w:val="32"/>
          <w:highlight w:val="none"/>
          <w:lang w:val="en-US" w:eastAsia="zh-CN"/>
        </w:rPr>
        <w:t>98</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优</w:t>
      </w:r>
      <w:r>
        <w:rPr>
          <w:rFonts w:ascii="Times New Roman" w:hAnsi="Times New Roman" w:eastAsia="仿宋_GB2312" w:cs="Times New Roman"/>
          <w:sz w:val="32"/>
          <w:szCs w:val="32"/>
          <w:highlight w:val="none"/>
        </w:rPr>
        <w:t>”。绩效目标完成情况：</w:t>
      </w:r>
      <w:r>
        <w:rPr>
          <w:rFonts w:hint="eastAsia" w:ascii="Times New Roman" w:hAnsi="Times New Roman" w:eastAsia="仿宋_GB2312" w:cs="Times New Roman"/>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我区空气优良率为88%，其中，PM2.5平均浓度为34.4微克/立方米，PM10平均浓度为47</w:t>
      </w:r>
      <w:r>
        <w:rPr>
          <w:rFonts w:hint="eastAsia" w:ascii="仿宋_GB2312" w:hAnsi="仿宋_GB2312" w:eastAsia="仿宋_GB2312" w:cs="仿宋_GB2312"/>
          <w:sz w:val="32"/>
          <w:szCs w:val="32"/>
          <w:lang w:val="en-US" w:eastAsia="zh-CN"/>
        </w:rPr>
        <w:t>微克/立方米，综合指数为3.2；二是我区两个断面均保持二类水质，总磷浓度稳中有降，集中式饮用水水源地水质达标率100%。</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一是</w:t>
      </w:r>
      <w:r>
        <w:rPr>
          <w:rFonts w:hint="eastAsia" w:ascii="Times New Roman" w:hAnsi="Times New Roman" w:eastAsia="仿宋_GB2312" w:cs="Times New Roman"/>
          <w:sz w:val="32"/>
          <w:szCs w:val="32"/>
        </w:rPr>
        <w:t>推动大环</w:t>
      </w:r>
      <w:r>
        <w:rPr>
          <w:rFonts w:hint="eastAsia" w:ascii="Times New Roman" w:hAnsi="Times New Roman" w:eastAsia="仿宋_GB2312" w:cs="Times New Roman"/>
          <w:sz w:val="32"/>
          <w:szCs w:val="32"/>
          <w:lang w:val="en-US" w:eastAsia="zh-CN"/>
        </w:rPr>
        <w:t>保格局形成仍有差距。</w:t>
      </w:r>
      <w:r>
        <w:rPr>
          <w:rFonts w:hint="eastAsia" w:ascii="仿宋_GB2312" w:hAnsi="仿宋_GB2312" w:eastAsia="仿宋_GB2312" w:cs="仿宋_GB2312"/>
          <w:kern w:val="2"/>
          <w:sz w:val="32"/>
          <w:szCs w:val="32"/>
          <w:highlight w:val="none"/>
          <w:lang w:val="en-US" w:eastAsia="zh-CN" w:bidi="ar-SA"/>
        </w:rPr>
        <w:t>虽然区党委、区管委高度重视生态环境保护工作，分局依托生环委积极协调工作推进，但分局人员编制不齐，区内个别单位仍存在环境意识不强，责任落实不到位，压力传导不够、导致生态环境保护工作存在“上热中温下冷”等情形。</w:t>
      </w:r>
      <w:r>
        <w:rPr>
          <w:rFonts w:hint="eastAsia" w:ascii="仿宋_GB2312" w:hAnsi="仿宋_GB2312" w:eastAsia="仿宋_GB2312" w:cs="仿宋_GB2312"/>
          <w:sz w:val="32"/>
          <w:szCs w:val="32"/>
          <w:highlight w:val="none"/>
        </w:rPr>
        <w:t>生环委牵头抓总的效果没有明显体现出来，</w:t>
      </w:r>
      <w:r>
        <w:rPr>
          <w:rFonts w:hint="eastAsia" w:ascii="仿宋_GB2312" w:hAnsi="仿宋_GB2312" w:eastAsia="仿宋_GB2312" w:cs="仿宋_GB2312"/>
          <w:kern w:val="2"/>
          <w:sz w:val="32"/>
          <w:szCs w:val="32"/>
          <w:highlight w:val="none"/>
          <w:lang w:val="en-US" w:eastAsia="zh-CN" w:bidi="ar-SA"/>
        </w:rPr>
        <w:t>一些部门和单位对本部门、本单位的生态环境保护职责仍不十分清楚，对本属地、本行业、本领域的生态环境问题底数不清、摸排不透、监管不严，出现问题后相互推诿、“踢皮球”，部门之间未形成齐抓共管、共同发力的大环保格局。</w:t>
      </w:r>
      <w:r>
        <w:rPr>
          <w:rFonts w:hint="eastAsia" w:ascii="Times New Roman" w:hAnsi="Times New Roman" w:eastAsia="仿宋_GB2312" w:cs="Times New Roman"/>
          <w:sz w:val="32"/>
          <w:szCs w:val="32"/>
          <w:lang w:val="en-US" w:eastAsia="zh-CN"/>
        </w:rPr>
        <w:t>二是执法能力存在不足。</w:t>
      </w:r>
      <w:r>
        <w:rPr>
          <w:rFonts w:hint="eastAsia" w:ascii="仿宋_GB2312" w:hAnsi="仿宋_GB2312" w:eastAsia="仿宋_GB2312" w:cs="仿宋_GB2312"/>
          <w:sz w:val="32"/>
          <w:szCs w:val="32"/>
        </w:rPr>
        <w:t>因人员少事情杂，</w:t>
      </w:r>
      <w:r>
        <w:rPr>
          <w:rFonts w:hint="eastAsia" w:ascii="仿宋_GB2312" w:hAnsi="仿宋_GB2312" w:eastAsia="仿宋_GB2312" w:cs="仿宋_GB2312"/>
          <w:color w:val="131516"/>
          <w:sz w:val="32"/>
          <w:szCs w:val="32"/>
        </w:rPr>
        <w:t>执法人员对环境保护领域的新知识、新技术、新政策的学习和掌握不够，</w:t>
      </w:r>
      <w:r>
        <w:rPr>
          <w:rFonts w:hint="eastAsia" w:ascii="仿宋_GB2312" w:hAnsi="仿宋_GB2312" w:eastAsia="仿宋_GB2312" w:cs="仿宋_GB2312"/>
          <w:color w:val="131516"/>
          <w:sz w:val="32"/>
          <w:szCs w:val="32"/>
          <w:lang w:val="en-US" w:eastAsia="zh-CN"/>
        </w:rPr>
        <w:t>且</w:t>
      </w:r>
      <w:r>
        <w:rPr>
          <w:rFonts w:hint="eastAsia" w:ascii="仿宋_GB2312" w:hAnsi="仿宋_GB2312" w:eastAsia="仿宋_GB2312" w:cs="仿宋_GB2312"/>
          <w:color w:val="131516"/>
          <w:sz w:val="32"/>
          <w:szCs w:val="32"/>
        </w:rPr>
        <w:t>专业能力不够，办案水平</w:t>
      </w:r>
      <w:r>
        <w:rPr>
          <w:rFonts w:hint="eastAsia" w:ascii="仿宋_GB2312" w:hAnsi="仿宋_GB2312" w:eastAsia="仿宋_GB2312" w:cs="仿宋_GB2312"/>
          <w:color w:val="131516"/>
          <w:sz w:val="32"/>
          <w:szCs w:val="32"/>
          <w:lang w:val="en-US" w:eastAsia="zh-CN"/>
        </w:rPr>
        <w:t>有待进一步</w:t>
      </w:r>
      <w:r>
        <w:rPr>
          <w:rFonts w:hint="eastAsia" w:ascii="仿宋_GB2312" w:hAnsi="仿宋_GB2312" w:eastAsia="仿宋_GB2312" w:cs="仿宋_GB2312"/>
          <w:color w:val="131516"/>
          <w:sz w:val="32"/>
          <w:szCs w:val="32"/>
        </w:rPr>
        <w:t>提高</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对现代化监管手段的掌握能力存在明显短板</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难以适应快速变化的工作需求</w:t>
      </w:r>
      <w:r>
        <w:rPr>
          <w:rFonts w:hint="eastAsia" w:ascii="仿宋_GB2312" w:hAnsi="仿宋_GB2312" w:eastAsia="仿宋_GB2312" w:cs="仿宋_GB2312"/>
          <w:color w:val="131516"/>
          <w:sz w:val="32"/>
          <w:szCs w:val="32"/>
          <w:lang w:eastAsia="zh-CN"/>
        </w:rPr>
        <w:t>。</w:t>
      </w:r>
      <w:r>
        <w:rPr>
          <w:rFonts w:hint="eastAsia" w:ascii="Times New Roman" w:hAnsi="Times New Roman" w:eastAsia="仿宋_GB2312" w:cs="Times New Roman"/>
          <w:sz w:val="32"/>
          <w:szCs w:val="32"/>
          <w:lang w:val="en-US" w:eastAsia="zh-CN"/>
        </w:rPr>
        <w:t>三是环境监测资源不足。</w:t>
      </w:r>
      <w:r>
        <w:rPr>
          <w:rFonts w:hint="eastAsia" w:ascii="仿宋_GB2312" w:hAnsi="仿宋_GB2312" w:eastAsia="仿宋_GB2312" w:cs="仿宋_GB2312"/>
          <w:color w:val="131516"/>
          <w:sz w:val="32"/>
          <w:szCs w:val="32"/>
          <w:lang w:val="en-US" w:eastAsia="zh-CN"/>
        </w:rPr>
        <w:t>我</w:t>
      </w:r>
      <w:r>
        <w:rPr>
          <w:rFonts w:hint="eastAsia" w:ascii="仿宋_GB2312" w:hAnsi="仿宋_GB2312" w:eastAsia="仿宋_GB2312" w:cs="仿宋_GB2312"/>
          <w:color w:val="131516"/>
          <w:sz w:val="32"/>
          <w:szCs w:val="32"/>
        </w:rPr>
        <w:t>局未设监测站，同时辖区内无第三方检测机构，监测任务主要依托市监测</w:t>
      </w:r>
      <w:r>
        <w:rPr>
          <w:rFonts w:hint="eastAsia" w:ascii="仿宋_GB2312" w:hAnsi="仿宋_GB2312" w:eastAsia="仿宋_GB2312" w:cs="仿宋_GB2312"/>
          <w:color w:val="131516"/>
          <w:sz w:val="32"/>
          <w:szCs w:val="32"/>
          <w:lang w:val="en-US" w:eastAsia="zh-CN"/>
        </w:rPr>
        <w:t>中心</w:t>
      </w:r>
      <w:r>
        <w:rPr>
          <w:rFonts w:hint="eastAsia" w:ascii="仿宋_GB2312" w:hAnsi="仿宋_GB2312" w:eastAsia="仿宋_GB2312" w:cs="仿宋_GB2312"/>
          <w:color w:val="131516"/>
          <w:sz w:val="32"/>
          <w:szCs w:val="32"/>
        </w:rPr>
        <w:t>以及第三方检测机构，如遇突发性监测任务或开展执法监测，市监测</w:t>
      </w:r>
      <w:r>
        <w:rPr>
          <w:rFonts w:hint="eastAsia" w:ascii="仿宋_GB2312" w:hAnsi="仿宋_GB2312" w:eastAsia="仿宋_GB2312" w:cs="仿宋_GB2312"/>
          <w:color w:val="131516"/>
          <w:sz w:val="32"/>
          <w:szCs w:val="32"/>
          <w:lang w:val="en-US" w:eastAsia="zh-CN"/>
        </w:rPr>
        <w:t>中心</w:t>
      </w:r>
      <w:r>
        <w:rPr>
          <w:rFonts w:hint="eastAsia" w:ascii="仿宋_GB2312" w:hAnsi="仿宋_GB2312" w:eastAsia="仿宋_GB2312" w:cs="仿宋_GB2312"/>
          <w:color w:val="131516"/>
          <w:sz w:val="32"/>
          <w:szCs w:val="32"/>
        </w:rPr>
        <w:t>常常业务繁忙，而第三方检测机构监测质量参差不齐，导致我分局监测覆盖面有限，检测周期延长，影响了环境管理的及时性和有效性。从而难以</w:t>
      </w:r>
      <w:r>
        <w:rPr>
          <w:rFonts w:hint="eastAsia" w:ascii="仿宋_GB2312" w:hAnsi="仿宋_GB2312" w:eastAsia="仿宋_GB2312" w:cs="仿宋_GB2312"/>
          <w:color w:val="131516"/>
          <w:sz w:val="32"/>
          <w:szCs w:val="32"/>
          <w:lang w:val="en-US" w:eastAsia="zh-CN"/>
        </w:rPr>
        <w:t>及时有效</w:t>
      </w:r>
      <w:r>
        <w:rPr>
          <w:rFonts w:hint="eastAsia" w:ascii="仿宋_GB2312" w:hAnsi="仿宋_GB2312" w:eastAsia="仿宋_GB2312" w:cs="仿宋_GB2312"/>
          <w:color w:val="131516"/>
          <w:sz w:val="32"/>
          <w:szCs w:val="32"/>
        </w:rPr>
        <w:t>环境质量状况，及时发现环境风险</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有效打击环境违法。</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lang w:val="en-US" w:eastAsia="zh-CN"/>
        </w:rPr>
        <w:t>一是提升思想认识，确保责任落实。二是持续改善环境质量，确保任务完成</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lang w:val="en-US" w:eastAsia="zh-CN"/>
        </w:rPr>
        <w:t>加强环境执法监管，确保执法效能。</w:t>
      </w:r>
      <w:r>
        <w:rPr>
          <w:rFonts w:hint="eastAsia" w:ascii="Times New Roman" w:hAnsi="Times New Roman" w:eastAsia="仿宋_GB2312" w:cs="Times New Roman"/>
          <w:sz w:val="32"/>
          <w:szCs w:val="32"/>
          <w:lang w:val="en-US" w:eastAsia="zh-CN"/>
        </w:rPr>
        <w:t>四是</w:t>
      </w:r>
      <w:r>
        <w:rPr>
          <w:rFonts w:hint="default" w:ascii="Times New Roman" w:hAnsi="Times New Roman" w:eastAsia="仿宋_GB2312" w:cs="Times New Roman"/>
          <w:sz w:val="32"/>
          <w:szCs w:val="32"/>
          <w:lang w:val="en-US" w:eastAsia="zh-CN"/>
        </w:rPr>
        <w:t>优化环境政策传导，确保政策落地。</w:t>
      </w:r>
      <w:r>
        <w:rPr>
          <w:rFonts w:hint="eastAsia" w:ascii="Times New Roman" w:hAnsi="Times New Roman" w:eastAsia="仿宋_GB2312" w:cs="Times New Roman"/>
          <w:sz w:val="32"/>
          <w:szCs w:val="32"/>
          <w:lang w:val="en-US" w:eastAsia="zh-CN"/>
        </w:rPr>
        <w:t>五是</w:t>
      </w:r>
      <w:r>
        <w:rPr>
          <w:rFonts w:hint="default" w:ascii="Times New Roman" w:hAnsi="Times New Roman" w:eastAsia="仿宋_GB2312" w:cs="Times New Roman"/>
          <w:sz w:val="32"/>
          <w:szCs w:val="32"/>
          <w:lang w:val="en-US" w:eastAsia="zh-CN"/>
        </w:rPr>
        <w:t>强化党风廉政建设，确保廉洁自律。</w:t>
      </w:r>
    </w:p>
    <w:p w14:paraId="3447FF75">
      <w:pPr>
        <w:overflowPunct w:val="0"/>
        <w:spacing w:line="60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highlight w:val="none"/>
        </w:rPr>
        <w:t>部门评价结果。</w:t>
      </w:r>
      <w:r>
        <w:rPr>
          <w:rFonts w:hint="eastAsia" w:ascii="仿宋_GB2312" w:hAnsi="仿宋_GB2312" w:eastAsia="仿宋_GB2312" w:cs="仿宋_GB2312"/>
          <w:sz w:val="32"/>
          <w:szCs w:val="32"/>
          <w:highlight w:val="none"/>
          <w:lang w:val="en-US" w:eastAsia="zh-CN"/>
        </w:rPr>
        <w:t>本单位为二级预算单位，部门评价结果可详见上级部门决算公开说明；</w:t>
      </w:r>
    </w:p>
    <w:p w14:paraId="5DC4775D">
      <w:pPr>
        <w:overflowPunct w:val="0"/>
        <w:spacing w:line="60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kern w:val="0"/>
          <w:sz w:val="32"/>
          <w:szCs w:val="32"/>
          <w:highlight w:val="none"/>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仿宋_GB2312" w:hAnsi="仿宋_GB2312" w:eastAsia="仿宋_GB2312" w:cs="仿宋_GB2312"/>
          <w:sz w:val="32"/>
          <w:szCs w:val="32"/>
          <w:highlight w:val="none"/>
          <w:lang w:val="en-US" w:eastAsia="zh-CN"/>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0E5E7B2C">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bookmarkStart w:id="0" w:name="_GoBack"/>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根据年初设定的绩效目标，绩效自评得分为98分。全年预算数为354.4万元，执行数为307.16万元，完成预算的86.8%</w:t>
      </w:r>
      <w:r>
        <w:rPr>
          <w:rFonts w:ascii="Times New Roman" w:hAnsi="Times New Roman" w:eastAsia="仿宋_GB2312" w:cs="Times New Roman"/>
          <w:color w:val="auto"/>
          <w:sz w:val="32"/>
          <w:szCs w:val="32"/>
          <w:highlight w:val="none"/>
        </w:rPr>
        <w:t>。</w:t>
      </w:r>
    </w:p>
    <w:bookmarkEnd w:id="0"/>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预算绩效管理开展情况、绩效目标和绩效评价报告等，已在市政府部门财政预决算公开平台上向社会公开，详见附件。</w:t>
      </w:r>
    </w:p>
    <w:p w14:paraId="62BEA247">
      <w:pPr>
        <w:pStyle w:val="9"/>
        <w:rPr>
          <w:rFonts w:hint="eastAsia"/>
          <w:highlight w:val="yellow"/>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highlight w:val="yellow"/>
          <w:lang w:val="en-US" w:eastAsia="zh-CN"/>
        </w:rPr>
      </w:pPr>
    </w:p>
    <w:p w14:paraId="3D83FDA1">
      <w:pPr>
        <w:pStyle w:val="15"/>
        <w:jc w:val="center"/>
        <w:rPr>
          <w:rFonts w:hint="eastAsia" w:ascii="方正小标宋_GBK" w:hAnsi="方正小标宋_GBK" w:eastAsia="方正小标宋_GBK" w:cs="方正小标宋_GBK"/>
          <w:sz w:val="72"/>
          <w:szCs w:val="72"/>
          <w:highlight w:val="yellow"/>
        </w:rPr>
      </w:pPr>
    </w:p>
    <w:p w14:paraId="3A01B6B0">
      <w:pPr>
        <w:pStyle w:val="15"/>
        <w:jc w:val="both"/>
        <w:rPr>
          <w:rFonts w:hint="eastAsia" w:ascii="方正小标宋_GBK" w:hAnsi="方正小标宋_GBK" w:eastAsia="方正小标宋_GBK" w:cs="方正小标宋_GBK"/>
          <w:sz w:val="72"/>
          <w:szCs w:val="72"/>
        </w:rPr>
      </w:pPr>
    </w:p>
    <w:p w14:paraId="475C1000">
      <w:pPr>
        <w:pStyle w:val="15"/>
        <w:jc w:val="center"/>
        <w:rPr>
          <w:rFonts w:hint="eastAsia" w:ascii="方正小标宋_GBK" w:hAnsi="方正小标宋_GBK" w:eastAsia="方正小标宋_GBK" w:cs="方正小标宋_GBK"/>
          <w:sz w:val="72"/>
          <w:szCs w:val="72"/>
        </w:rPr>
      </w:pPr>
    </w:p>
    <w:p w14:paraId="6A5A782C">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9"/>
      </w:pPr>
    </w:p>
    <w:p w14:paraId="5331F884">
      <w:pPr>
        <w:pStyle w:val="5"/>
      </w:pPr>
    </w:p>
    <w:p w14:paraId="2CCAD852"/>
    <w:p w14:paraId="440E89DF">
      <w:pPr>
        <w:pStyle w:val="9"/>
      </w:pPr>
    </w:p>
    <w:p w14:paraId="645B9B76">
      <w:pPr>
        <w:pStyle w:val="5"/>
      </w:pPr>
    </w:p>
    <w:p w14:paraId="539F25AC"/>
    <w:p w14:paraId="47AFAB8F">
      <w:pPr>
        <w:pStyle w:val="9"/>
      </w:pPr>
    </w:p>
    <w:p w14:paraId="793F6BC2">
      <w:pPr>
        <w:jc w:val="left"/>
        <w:rPr>
          <w:rFonts w:hint="eastAsia" w:ascii="仿宋_GB2312" w:hAnsi="仿宋_GB2312" w:eastAsia="仿宋_GB2312" w:cs="仿宋_GB2312"/>
          <w:color w:val="000000"/>
          <w:kern w:val="0"/>
          <w:sz w:val="32"/>
          <w:szCs w:val="32"/>
        </w:rPr>
      </w:pPr>
    </w:p>
    <w:p w14:paraId="7185EC38">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5"/>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6365E0AB">
      <w:pPr>
        <w:pStyle w:val="5"/>
      </w:pPr>
    </w:p>
    <w:p w14:paraId="580CF8E4"/>
    <w:p w14:paraId="0C17744C">
      <w:pPr>
        <w:pStyle w:val="9"/>
      </w:pPr>
    </w:p>
    <w:p w14:paraId="7B8BABF4">
      <w:pPr>
        <w:pStyle w:val="5"/>
      </w:pPr>
    </w:p>
    <w:p w14:paraId="1942C0DC"/>
    <w:p w14:paraId="6E2D1EEF">
      <w:pPr>
        <w:pStyle w:val="9"/>
      </w:pPr>
    </w:p>
    <w:p w14:paraId="5F6ABC3B">
      <w:pPr>
        <w:pStyle w:val="5"/>
      </w:pPr>
    </w:p>
    <w:p w14:paraId="51BE6437"/>
    <w:p w14:paraId="05344CBA">
      <w:pPr>
        <w:pStyle w:val="9"/>
      </w:pPr>
    </w:p>
    <w:p w14:paraId="5C9170AD">
      <w:pPr>
        <w:pStyle w:val="5"/>
      </w:pPr>
    </w:p>
    <w:p w14:paraId="29D3A91E"/>
    <w:p w14:paraId="0D2A994E">
      <w:pPr>
        <w:pStyle w:val="9"/>
      </w:pPr>
    </w:p>
    <w:p w14:paraId="59CBCCA7">
      <w:pPr>
        <w:pStyle w:val="5"/>
      </w:pPr>
    </w:p>
    <w:p w14:paraId="67806EBD"/>
    <w:p w14:paraId="7C18BB03">
      <w:pPr>
        <w:pStyle w:val="9"/>
      </w:pPr>
    </w:p>
    <w:p w14:paraId="29230CAD">
      <w:pPr>
        <w:pStyle w:val="5"/>
      </w:pPr>
    </w:p>
    <w:p w14:paraId="724E0A54"/>
    <w:p w14:paraId="496F732E">
      <w:pPr>
        <w:pStyle w:val="9"/>
      </w:pPr>
    </w:p>
    <w:p w14:paraId="354ECFD8">
      <w:pPr>
        <w:pStyle w:val="5"/>
      </w:pPr>
    </w:p>
    <w:p w14:paraId="51C67B38"/>
    <w:p w14:paraId="4D131F3E"/>
    <w:p w14:paraId="7CFBCE3C">
      <w:pPr>
        <w:pStyle w:val="9"/>
      </w:pPr>
    </w:p>
    <w:p w14:paraId="5C3DE094">
      <w:pPr>
        <w:pStyle w:val="15"/>
        <w:jc w:val="both"/>
        <w:rPr>
          <w:rFonts w:hint="eastAsia" w:ascii="方正小标宋_GBK" w:hAnsi="方正小标宋_GBK" w:eastAsia="方正小标宋_GBK" w:cs="方正小标宋_GBK"/>
          <w:sz w:val="72"/>
          <w:szCs w:val="72"/>
        </w:rPr>
      </w:pPr>
    </w:p>
    <w:p w14:paraId="0C1858E3">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5"/>
        <w:jc w:val="both"/>
        <w:rPr>
          <w:rFonts w:hint="eastAsia" w:ascii="方正小标宋_GBK" w:hAnsi="方正小标宋_GBK" w:eastAsia="方正小标宋_GBK" w:cs="方正小标宋_GBK"/>
          <w:sz w:val="70"/>
          <w:szCs w:val="70"/>
          <w:lang w:eastAsia="zh-CN"/>
        </w:rPr>
      </w:pPr>
    </w:p>
    <w:p w14:paraId="490142D3">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86808"/>
    <w:rsid w:val="059958AD"/>
    <w:rsid w:val="06C857E7"/>
    <w:rsid w:val="083C0EFC"/>
    <w:rsid w:val="08C24A73"/>
    <w:rsid w:val="0BD07968"/>
    <w:rsid w:val="10F60887"/>
    <w:rsid w:val="11944E2C"/>
    <w:rsid w:val="12583BA5"/>
    <w:rsid w:val="13BA5B9C"/>
    <w:rsid w:val="19DC6865"/>
    <w:rsid w:val="1D97DEFF"/>
    <w:rsid w:val="1DFF72E5"/>
    <w:rsid w:val="1EFC6F07"/>
    <w:rsid w:val="1F0527A6"/>
    <w:rsid w:val="22AC03C2"/>
    <w:rsid w:val="283B15FE"/>
    <w:rsid w:val="2FDF85B8"/>
    <w:rsid w:val="2FFFEE04"/>
    <w:rsid w:val="307B44AD"/>
    <w:rsid w:val="30E43E01"/>
    <w:rsid w:val="31C95635"/>
    <w:rsid w:val="34DF85B0"/>
    <w:rsid w:val="393022D9"/>
    <w:rsid w:val="3B247C1B"/>
    <w:rsid w:val="3B820DE6"/>
    <w:rsid w:val="3B8F36BC"/>
    <w:rsid w:val="43EB5BA5"/>
    <w:rsid w:val="461B1C1B"/>
    <w:rsid w:val="46361DEA"/>
    <w:rsid w:val="491FF225"/>
    <w:rsid w:val="49C53978"/>
    <w:rsid w:val="4C8979F4"/>
    <w:rsid w:val="4EC310A1"/>
    <w:rsid w:val="4FFD214C"/>
    <w:rsid w:val="505F6C49"/>
    <w:rsid w:val="53487DC7"/>
    <w:rsid w:val="5352765A"/>
    <w:rsid w:val="54A22501"/>
    <w:rsid w:val="551A14C2"/>
    <w:rsid w:val="57454D4A"/>
    <w:rsid w:val="5777D4F5"/>
    <w:rsid w:val="57F22B6F"/>
    <w:rsid w:val="59304ABE"/>
    <w:rsid w:val="59DD8326"/>
    <w:rsid w:val="5C115B42"/>
    <w:rsid w:val="5DEF592A"/>
    <w:rsid w:val="5FC6BB1E"/>
    <w:rsid w:val="5FF720F1"/>
    <w:rsid w:val="61730824"/>
    <w:rsid w:val="622964C1"/>
    <w:rsid w:val="62CA201B"/>
    <w:rsid w:val="65183E3D"/>
    <w:rsid w:val="67FF5C0B"/>
    <w:rsid w:val="683C245B"/>
    <w:rsid w:val="6BAA4A2F"/>
    <w:rsid w:val="6DDEC5C0"/>
    <w:rsid w:val="6EFC0924"/>
    <w:rsid w:val="6FB74722"/>
    <w:rsid w:val="6FEF8B7E"/>
    <w:rsid w:val="70152D8F"/>
    <w:rsid w:val="70156C30"/>
    <w:rsid w:val="713F21D7"/>
    <w:rsid w:val="717FE77F"/>
    <w:rsid w:val="71A6591B"/>
    <w:rsid w:val="73313734"/>
    <w:rsid w:val="737D59BA"/>
    <w:rsid w:val="737F32B1"/>
    <w:rsid w:val="73BD3FCA"/>
    <w:rsid w:val="745368A0"/>
    <w:rsid w:val="76F854DD"/>
    <w:rsid w:val="776BDA01"/>
    <w:rsid w:val="77C37683"/>
    <w:rsid w:val="79FF515B"/>
    <w:rsid w:val="7B002BB2"/>
    <w:rsid w:val="7DFBFF20"/>
    <w:rsid w:val="7E9313BD"/>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pPr>
      <w:widowControl w:val="0"/>
      <w:jc w:val="both"/>
    </w:pPr>
    <w:rPr>
      <w:rFonts w:ascii="仿宋" w:hAnsi="仿宋" w:eastAsia="仿宋" w:cs="仿宋"/>
      <w:kern w:val="2"/>
      <w:sz w:val="31"/>
      <w:szCs w:val="31"/>
      <w:lang w:val="en-US" w:eastAsia="en-US" w:bidi="ar-SA"/>
    </w:rPr>
  </w:style>
  <w:style w:type="paragraph" w:styleId="3">
    <w:name w:val="toc 5"/>
    <w:basedOn w:val="1"/>
    <w:next w:val="1"/>
    <w:qFormat/>
    <w:uiPriority w:val="0"/>
    <w:pPr>
      <w:ind w:left="1680" w:leftChars="8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Normal (Web)"/>
    <w:unhideWhenUsed/>
    <w:qFormat/>
    <w:uiPriority w:val="99"/>
    <w:pPr>
      <w:widowControl w:val="0"/>
      <w:autoSpaceDE w:val="0"/>
      <w:autoSpaceDN w:val="0"/>
      <w:adjustRightInd w:val="0"/>
      <w:textAlignment w:val="center"/>
    </w:pPr>
    <w:rPr>
      <w:rFonts w:hint="default" w:ascii="Arial" w:hAnsi="Arial" w:eastAsia="宋体" w:cs="Times New Roman"/>
      <w:color w:val="000000"/>
      <w:sz w:val="24"/>
      <w:szCs w:val="24"/>
      <w:lang w:val="en-US" w:eastAsia="zh-CN" w:bidi="ar"/>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8491</Words>
  <Characters>9053</Characters>
  <Lines>63</Lines>
  <Paragraphs>18</Paragraphs>
  <TotalTime>0</TotalTime>
  <ScaleCrop>false</ScaleCrop>
  <LinksUpToDate>false</LinksUpToDate>
  <CharactersWithSpaces>9081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严碧琪</cp:lastModifiedBy>
  <cp:lastPrinted>2024-08-11T02:20:00Z</cp:lastPrinted>
  <dcterms:modified xsi:type="dcterms:W3CDTF">2025-09-28T06:46:23Z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055A8D5E8B674A4087463B34C6A112F1_13</vt:lpwstr>
  </property>
  <property fmtid="{D5CDD505-2E9C-101B-9397-08002B2CF9AE}" pid="4" name="KSOTemplateDocerSaveRecord">
    <vt:lpwstr>eyJoZGlkIjoiNjgxZmIyZGM1NjlmYzFmNTczZGVkNWYyNWIwMGFjMmUiLCJ1c2VySWQiOiIyOTMyNjEyNDMifQ==</vt:lpwstr>
  </property>
</Properties>
</file>