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5742B">
      <w:pPr>
        <w:spacing w:after="120" w:afterLines="50" w:line="600" w:lineRule="exact"/>
        <w:jc w:val="both"/>
        <w:rPr>
          <w:rFonts w:hint="eastAsia" w:ascii="黑体" w:hAnsi="黑体" w:eastAsia="黑体" w:cs="黑体"/>
          <w:sz w:val="32"/>
          <w:szCs w:val="32"/>
          <w:highlight w:val="none"/>
          <w:lang w:val="en-US" w:eastAsia="zh-CN"/>
        </w:rPr>
      </w:pPr>
      <w:bookmarkStart w:id="0" w:name="_GoBack"/>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bookmarkEnd w:id="0"/>
    <w:p w14:paraId="65410AED">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4</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7"/>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631FD6A2">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14:paraId="6C978568">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14:paraId="1BD32B71">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14:paraId="7FCA1060">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14:paraId="67981F19">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14:paraId="0A37521B">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14:paraId="232F3195">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14:paraId="782140D9">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w:t>
            </w:r>
          </w:p>
        </w:tc>
        <w:tc>
          <w:tcPr>
            <w:tcW w:w="2240" w:type="dxa"/>
            <w:gridSpan w:val="2"/>
            <w:tcBorders>
              <w:top w:val="single" w:color="auto" w:sz="4" w:space="0"/>
              <w:left w:val="nil"/>
              <w:bottom w:val="single" w:color="auto" w:sz="4" w:space="0"/>
              <w:right w:val="single" w:color="auto" w:sz="4" w:space="0"/>
            </w:tcBorders>
            <w:noWrap w:val="0"/>
            <w:vAlign w:val="center"/>
          </w:tcPr>
          <w:p w14:paraId="44FC68D5">
            <w:pPr>
              <w:widowControl/>
              <w:spacing w:line="36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10</w:t>
            </w:r>
          </w:p>
        </w:tc>
        <w:tc>
          <w:tcPr>
            <w:tcW w:w="2041" w:type="dxa"/>
            <w:gridSpan w:val="2"/>
            <w:tcBorders>
              <w:top w:val="single" w:color="auto" w:sz="4" w:space="0"/>
              <w:left w:val="nil"/>
              <w:bottom w:val="single" w:color="auto" w:sz="4" w:space="0"/>
              <w:right w:val="single" w:color="auto" w:sz="4" w:space="0"/>
            </w:tcBorders>
            <w:noWrap w:val="0"/>
            <w:vAlign w:val="center"/>
          </w:tcPr>
          <w:p w14:paraId="083465B0">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100.00%</w:t>
            </w:r>
            <w:r>
              <w:rPr>
                <w:rFonts w:hint="eastAsia" w:ascii="仿宋_GB2312" w:hAnsi="仿宋_GB2312" w:eastAsia="仿宋_GB2312" w:cs="仿宋_GB2312"/>
                <w:sz w:val="20"/>
                <w:szCs w:val="20"/>
                <w:highlight w:val="none"/>
              </w:rPr>
              <w:t>　</w:t>
            </w:r>
          </w:p>
        </w:tc>
      </w:tr>
      <w:tr w14:paraId="4CBE8E0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416AF4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14:paraId="4E32F92B">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14:paraId="7AC800FE">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14:paraId="2C877DC0">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r>
      <w:tr w14:paraId="63052AB1">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F479DE2">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261EAA62">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1.85</w:t>
            </w:r>
          </w:p>
        </w:tc>
        <w:tc>
          <w:tcPr>
            <w:tcW w:w="2240" w:type="dxa"/>
            <w:gridSpan w:val="2"/>
            <w:tcBorders>
              <w:top w:val="single" w:color="auto" w:sz="4" w:space="0"/>
              <w:left w:val="nil"/>
              <w:bottom w:val="single" w:color="auto" w:sz="4" w:space="0"/>
              <w:right w:val="single" w:color="000000" w:sz="4" w:space="0"/>
            </w:tcBorders>
            <w:noWrap w:val="0"/>
            <w:vAlign w:val="center"/>
          </w:tcPr>
          <w:p w14:paraId="09E3837A">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3.50</w:t>
            </w:r>
          </w:p>
        </w:tc>
        <w:tc>
          <w:tcPr>
            <w:tcW w:w="2041" w:type="dxa"/>
            <w:gridSpan w:val="2"/>
            <w:tcBorders>
              <w:top w:val="single" w:color="auto" w:sz="4" w:space="0"/>
              <w:left w:val="nil"/>
              <w:bottom w:val="single" w:color="auto" w:sz="4" w:space="0"/>
              <w:right w:val="single" w:color="000000" w:sz="4" w:space="0"/>
            </w:tcBorders>
            <w:noWrap w:val="0"/>
            <w:vAlign w:val="center"/>
          </w:tcPr>
          <w:p w14:paraId="352942DE">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2.38</w:t>
            </w:r>
          </w:p>
        </w:tc>
      </w:tr>
      <w:tr w14:paraId="3F5F8FB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0D5CD87">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5620D521">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1.85</w:t>
            </w:r>
          </w:p>
        </w:tc>
        <w:tc>
          <w:tcPr>
            <w:tcW w:w="2240" w:type="dxa"/>
            <w:gridSpan w:val="2"/>
            <w:tcBorders>
              <w:top w:val="single" w:color="auto" w:sz="4" w:space="0"/>
              <w:left w:val="nil"/>
              <w:bottom w:val="single" w:color="auto" w:sz="4" w:space="0"/>
              <w:right w:val="single" w:color="000000" w:sz="4" w:space="0"/>
            </w:tcBorders>
            <w:noWrap w:val="0"/>
            <w:vAlign w:val="center"/>
          </w:tcPr>
          <w:p w14:paraId="7A50EAA5">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3.00</w:t>
            </w:r>
          </w:p>
        </w:tc>
        <w:tc>
          <w:tcPr>
            <w:tcW w:w="2041" w:type="dxa"/>
            <w:gridSpan w:val="2"/>
            <w:tcBorders>
              <w:top w:val="single" w:color="auto" w:sz="4" w:space="0"/>
              <w:left w:val="nil"/>
              <w:bottom w:val="single" w:color="auto" w:sz="4" w:space="0"/>
              <w:right w:val="single" w:color="000000" w:sz="4" w:space="0"/>
            </w:tcBorders>
            <w:noWrap w:val="0"/>
            <w:vAlign w:val="center"/>
          </w:tcPr>
          <w:p w14:paraId="2E8844FF">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2.38</w:t>
            </w:r>
          </w:p>
        </w:tc>
      </w:tr>
      <w:tr w14:paraId="049414B9">
        <w:tblPrEx>
          <w:tblCellMar>
            <w:top w:w="0" w:type="dxa"/>
            <w:left w:w="108" w:type="dxa"/>
            <w:bottom w:w="0" w:type="dxa"/>
            <w:right w:w="108" w:type="dxa"/>
          </w:tblCellMar>
        </w:tblPrEx>
        <w:trPr>
          <w:trHeight w:val="377"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6CA280C">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14:paraId="31867F96">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59B577E0">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349427A5">
            <w:pPr>
              <w:widowControl/>
              <w:spacing w:line="360" w:lineRule="exact"/>
              <w:jc w:val="center"/>
              <w:rPr>
                <w:rFonts w:hint="eastAsia" w:ascii="仿宋_GB2312" w:hAnsi="仿宋_GB2312" w:eastAsia="仿宋_GB2312" w:cs="仿宋_GB2312"/>
                <w:sz w:val="20"/>
                <w:szCs w:val="20"/>
                <w:highlight w:val="none"/>
              </w:rPr>
            </w:pPr>
          </w:p>
        </w:tc>
      </w:tr>
      <w:tr w14:paraId="2960677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FB32235">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14:paraId="4FDB7896">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1.85</w:t>
            </w:r>
          </w:p>
        </w:tc>
        <w:tc>
          <w:tcPr>
            <w:tcW w:w="2240" w:type="dxa"/>
            <w:gridSpan w:val="2"/>
            <w:tcBorders>
              <w:top w:val="single" w:color="auto" w:sz="4" w:space="0"/>
              <w:left w:val="nil"/>
              <w:bottom w:val="single" w:color="auto" w:sz="4" w:space="0"/>
              <w:right w:val="single" w:color="000000" w:sz="4" w:space="0"/>
            </w:tcBorders>
            <w:noWrap w:val="0"/>
            <w:vAlign w:val="center"/>
          </w:tcPr>
          <w:p w14:paraId="25869CC9">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kern w:val="0"/>
                <w:sz w:val="20"/>
                <w:szCs w:val="20"/>
                <w:highlight w:val="none"/>
                <w:lang w:val="en-US" w:eastAsia="zh-CN" w:bidi="ar-SA"/>
              </w:rPr>
              <w:t>3.00</w:t>
            </w:r>
          </w:p>
        </w:tc>
        <w:tc>
          <w:tcPr>
            <w:tcW w:w="2041" w:type="dxa"/>
            <w:gridSpan w:val="2"/>
            <w:tcBorders>
              <w:top w:val="single" w:color="auto" w:sz="4" w:space="0"/>
              <w:left w:val="nil"/>
              <w:bottom w:val="single" w:color="auto" w:sz="4" w:space="0"/>
              <w:right w:val="single" w:color="000000" w:sz="4" w:space="0"/>
            </w:tcBorders>
            <w:noWrap w:val="0"/>
            <w:vAlign w:val="center"/>
          </w:tcPr>
          <w:p w14:paraId="36D61EC0">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kern w:val="0"/>
                <w:sz w:val="20"/>
                <w:szCs w:val="20"/>
                <w:highlight w:val="none"/>
                <w:lang w:val="en-US" w:eastAsia="zh-CN" w:bidi="ar-SA"/>
              </w:rPr>
              <w:t>2.38</w:t>
            </w:r>
          </w:p>
        </w:tc>
      </w:tr>
      <w:tr w14:paraId="5411B3D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7EFA510">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1677CB96">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02F2FC21">
            <w:pPr>
              <w:widowControl/>
              <w:spacing w:line="360" w:lineRule="exact"/>
              <w:jc w:val="center"/>
              <w:rPr>
                <w:rFonts w:hint="eastAsia"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567924DB">
            <w:pPr>
              <w:widowControl/>
              <w:spacing w:line="360" w:lineRule="exact"/>
              <w:jc w:val="center"/>
              <w:rPr>
                <w:rFonts w:hint="eastAsia" w:ascii="仿宋_GB2312" w:hAnsi="仿宋_GB2312" w:eastAsia="仿宋_GB2312" w:cs="仿宋_GB2312"/>
                <w:sz w:val="20"/>
                <w:szCs w:val="20"/>
                <w:highlight w:val="none"/>
              </w:rPr>
            </w:pPr>
          </w:p>
        </w:tc>
      </w:tr>
      <w:tr w14:paraId="03D751B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5E504C7">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14:paraId="716FC8B3">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51BC9C91">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0.50</w:t>
            </w:r>
          </w:p>
        </w:tc>
        <w:tc>
          <w:tcPr>
            <w:tcW w:w="2041" w:type="dxa"/>
            <w:gridSpan w:val="2"/>
            <w:tcBorders>
              <w:top w:val="single" w:color="auto" w:sz="4" w:space="0"/>
              <w:left w:val="nil"/>
              <w:bottom w:val="single" w:color="auto" w:sz="4" w:space="0"/>
              <w:right w:val="single" w:color="000000" w:sz="4" w:space="0"/>
            </w:tcBorders>
            <w:noWrap w:val="0"/>
            <w:vAlign w:val="center"/>
          </w:tcPr>
          <w:p w14:paraId="0E1F466D">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0.00</w:t>
            </w:r>
          </w:p>
        </w:tc>
      </w:tr>
      <w:tr w14:paraId="17A7ADC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4C0F22C">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14:paraId="35CC0A26">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57.61</w:t>
            </w:r>
          </w:p>
        </w:tc>
        <w:tc>
          <w:tcPr>
            <w:tcW w:w="2240" w:type="dxa"/>
            <w:gridSpan w:val="2"/>
            <w:tcBorders>
              <w:top w:val="single" w:color="auto" w:sz="4" w:space="0"/>
              <w:left w:val="nil"/>
              <w:bottom w:val="single" w:color="auto" w:sz="4" w:space="0"/>
              <w:right w:val="single" w:color="000000" w:sz="4" w:space="0"/>
            </w:tcBorders>
            <w:noWrap w:val="0"/>
            <w:vAlign w:val="center"/>
          </w:tcPr>
          <w:p w14:paraId="202DC365">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0.50</w:t>
            </w:r>
          </w:p>
        </w:tc>
        <w:tc>
          <w:tcPr>
            <w:tcW w:w="2041" w:type="dxa"/>
            <w:gridSpan w:val="2"/>
            <w:tcBorders>
              <w:top w:val="single" w:color="auto" w:sz="4" w:space="0"/>
              <w:left w:val="nil"/>
              <w:bottom w:val="single" w:color="auto" w:sz="4" w:space="0"/>
              <w:right w:val="single" w:color="000000" w:sz="4" w:space="0"/>
            </w:tcBorders>
            <w:noWrap w:val="0"/>
            <w:vAlign w:val="center"/>
          </w:tcPr>
          <w:p w14:paraId="1D0960AE">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59.65</w:t>
            </w:r>
          </w:p>
        </w:tc>
      </w:tr>
      <w:tr w14:paraId="003E7B4B">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1E31786">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1、办案费支出</w:t>
            </w:r>
          </w:p>
        </w:tc>
        <w:tc>
          <w:tcPr>
            <w:tcW w:w="2038" w:type="dxa"/>
            <w:gridSpan w:val="2"/>
            <w:tcBorders>
              <w:top w:val="single" w:color="auto" w:sz="4" w:space="0"/>
              <w:left w:val="nil"/>
              <w:bottom w:val="single" w:color="auto" w:sz="4" w:space="0"/>
              <w:right w:val="single" w:color="000000" w:sz="4" w:space="0"/>
            </w:tcBorders>
            <w:noWrap w:val="0"/>
            <w:vAlign w:val="center"/>
          </w:tcPr>
          <w:p w14:paraId="1F66953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2.26</w:t>
            </w:r>
          </w:p>
        </w:tc>
        <w:tc>
          <w:tcPr>
            <w:tcW w:w="2240" w:type="dxa"/>
            <w:gridSpan w:val="2"/>
            <w:tcBorders>
              <w:top w:val="single" w:color="auto" w:sz="4" w:space="0"/>
              <w:left w:val="nil"/>
              <w:bottom w:val="single" w:color="auto" w:sz="4" w:space="0"/>
              <w:right w:val="single" w:color="000000" w:sz="4" w:space="0"/>
            </w:tcBorders>
            <w:noWrap w:val="0"/>
            <w:vAlign w:val="center"/>
          </w:tcPr>
          <w:p w14:paraId="3E716EF5">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0.50</w:t>
            </w:r>
          </w:p>
        </w:tc>
        <w:tc>
          <w:tcPr>
            <w:tcW w:w="2041" w:type="dxa"/>
            <w:gridSpan w:val="2"/>
            <w:tcBorders>
              <w:top w:val="single" w:color="auto" w:sz="4" w:space="0"/>
              <w:left w:val="nil"/>
              <w:bottom w:val="single" w:color="auto" w:sz="4" w:space="0"/>
              <w:right w:val="single" w:color="000000" w:sz="4" w:space="0"/>
            </w:tcBorders>
            <w:noWrap w:val="0"/>
            <w:vAlign w:val="center"/>
          </w:tcPr>
          <w:p w14:paraId="11CB7D91">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1.55</w:t>
            </w:r>
          </w:p>
        </w:tc>
      </w:tr>
      <w:tr w14:paraId="708640C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9B03B66">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2、环境监测、监控及监察能力建设</w:t>
            </w:r>
          </w:p>
        </w:tc>
        <w:tc>
          <w:tcPr>
            <w:tcW w:w="2038" w:type="dxa"/>
            <w:gridSpan w:val="2"/>
            <w:tcBorders>
              <w:top w:val="single" w:color="auto" w:sz="4" w:space="0"/>
              <w:left w:val="nil"/>
              <w:bottom w:val="single" w:color="auto" w:sz="4" w:space="0"/>
              <w:right w:val="single" w:color="000000" w:sz="4" w:space="0"/>
            </w:tcBorders>
            <w:noWrap w:val="0"/>
            <w:vAlign w:val="center"/>
          </w:tcPr>
          <w:p w14:paraId="3F15CBC4">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11.00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79BC884D">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17D766C7">
            <w:pPr>
              <w:widowControl/>
              <w:spacing w:line="360" w:lineRule="exact"/>
              <w:jc w:val="center"/>
              <w:rPr>
                <w:rFonts w:hint="eastAsia" w:ascii="仿宋_GB2312" w:hAnsi="仿宋_GB2312" w:eastAsia="仿宋_GB2312" w:cs="仿宋_GB2312"/>
                <w:sz w:val="20"/>
                <w:szCs w:val="20"/>
                <w:highlight w:val="none"/>
              </w:rPr>
            </w:pPr>
          </w:p>
        </w:tc>
      </w:tr>
      <w:tr w14:paraId="3DCE94A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9DE032E">
            <w:pPr>
              <w:widowControl/>
              <w:spacing w:line="360" w:lineRule="exact"/>
              <w:jc w:val="left"/>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xml:space="preserve">   </w:t>
            </w:r>
            <w:r>
              <w:rPr>
                <w:rFonts w:hint="eastAsia" w:ascii="仿宋_GB2312" w:hAnsi="仿宋_GB2312" w:eastAsia="仿宋_GB2312" w:cs="仿宋_GB2312"/>
                <w:sz w:val="20"/>
                <w:szCs w:val="20"/>
                <w:highlight w:val="none"/>
                <w:lang w:val="en-US" w:eastAsia="zh-CN"/>
              </w:rPr>
              <w:t>3、环境监察、监测等运行经费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43802751">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19.35</w:t>
            </w:r>
          </w:p>
        </w:tc>
        <w:tc>
          <w:tcPr>
            <w:tcW w:w="2240" w:type="dxa"/>
            <w:gridSpan w:val="2"/>
            <w:tcBorders>
              <w:top w:val="single" w:color="auto" w:sz="4" w:space="0"/>
              <w:left w:val="nil"/>
              <w:bottom w:val="single" w:color="auto" w:sz="4" w:space="0"/>
              <w:right w:val="single" w:color="000000" w:sz="4" w:space="0"/>
            </w:tcBorders>
            <w:noWrap w:val="0"/>
            <w:vAlign w:val="center"/>
          </w:tcPr>
          <w:p w14:paraId="584A6ED0">
            <w:pPr>
              <w:widowControl/>
              <w:spacing w:line="360" w:lineRule="exact"/>
              <w:jc w:val="center"/>
              <w:rPr>
                <w:rFonts w:hint="eastAsia"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60FEFCB4">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38.47</w:t>
            </w:r>
          </w:p>
        </w:tc>
      </w:tr>
      <w:tr w14:paraId="3A530A4D">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34E9C50">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w:t>
            </w:r>
            <w:r>
              <w:rPr>
                <w:rFonts w:hint="eastAsia" w:ascii="仿宋_GB2312" w:hAnsi="仿宋_GB2312" w:eastAsia="仿宋_GB2312" w:cs="仿宋_GB2312"/>
                <w:sz w:val="20"/>
                <w:szCs w:val="20"/>
                <w:highlight w:val="none"/>
                <w:lang w:val="en-US" w:eastAsia="zh-CN"/>
              </w:rPr>
              <w:t>4</w:t>
            </w:r>
            <w:r>
              <w:rPr>
                <w:rFonts w:hint="eastAsia" w:ascii="仿宋_GB2312" w:hAnsi="仿宋_GB2312" w:eastAsia="仿宋_GB2312" w:cs="仿宋_GB2312"/>
                <w:sz w:val="20"/>
                <w:szCs w:val="20"/>
                <w:highlight w:val="none"/>
              </w:rPr>
              <w:t>、上级环保专项资金</w:t>
            </w:r>
          </w:p>
        </w:tc>
        <w:tc>
          <w:tcPr>
            <w:tcW w:w="2038" w:type="dxa"/>
            <w:gridSpan w:val="2"/>
            <w:tcBorders>
              <w:top w:val="single" w:color="auto" w:sz="4" w:space="0"/>
              <w:left w:val="nil"/>
              <w:bottom w:val="single" w:color="auto" w:sz="4" w:space="0"/>
              <w:right w:val="single" w:color="000000" w:sz="4" w:space="0"/>
            </w:tcBorders>
            <w:noWrap w:val="0"/>
            <w:vAlign w:val="center"/>
          </w:tcPr>
          <w:p w14:paraId="0F4C29A6">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25.00</w:t>
            </w:r>
          </w:p>
        </w:tc>
        <w:tc>
          <w:tcPr>
            <w:tcW w:w="2240" w:type="dxa"/>
            <w:gridSpan w:val="2"/>
            <w:tcBorders>
              <w:top w:val="single" w:color="auto" w:sz="4" w:space="0"/>
              <w:left w:val="nil"/>
              <w:bottom w:val="single" w:color="auto" w:sz="4" w:space="0"/>
              <w:right w:val="single" w:color="000000" w:sz="4" w:space="0"/>
            </w:tcBorders>
            <w:noWrap w:val="0"/>
            <w:vAlign w:val="center"/>
          </w:tcPr>
          <w:p w14:paraId="2CF0D4C2">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5EAE8C83">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13.00</w:t>
            </w:r>
          </w:p>
        </w:tc>
      </w:tr>
      <w:tr w14:paraId="6E9E1F6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A41F864">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农村千人以上饮用水水源地保护</w:t>
            </w:r>
          </w:p>
        </w:tc>
        <w:tc>
          <w:tcPr>
            <w:tcW w:w="2038" w:type="dxa"/>
            <w:gridSpan w:val="2"/>
            <w:tcBorders>
              <w:top w:val="single" w:color="auto" w:sz="4" w:space="0"/>
              <w:left w:val="nil"/>
              <w:bottom w:val="single" w:color="auto" w:sz="4" w:space="0"/>
              <w:right w:val="single" w:color="000000" w:sz="4" w:space="0"/>
            </w:tcBorders>
            <w:noWrap w:val="0"/>
            <w:vAlign w:val="center"/>
          </w:tcPr>
          <w:p w14:paraId="6F7290F5">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5.00</w:t>
            </w:r>
          </w:p>
        </w:tc>
        <w:tc>
          <w:tcPr>
            <w:tcW w:w="2240" w:type="dxa"/>
            <w:gridSpan w:val="2"/>
            <w:tcBorders>
              <w:top w:val="single" w:color="auto" w:sz="4" w:space="0"/>
              <w:left w:val="nil"/>
              <w:bottom w:val="single" w:color="auto" w:sz="4" w:space="0"/>
              <w:right w:val="single" w:color="000000" w:sz="4" w:space="0"/>
            </w:tcBorders>
            <w:noWrap w:val="0"/>
            <w:vAlign w:val="center"/>
          </w:tcPr>
          <w:p w14:paraId="10E59AD2">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50AD7BC7">
            <w:pPr>
              <w:widowControl/>
              <w:spacing w:line="360" w:lineRule="exact"/>
              <w:jc w:val="center"/>
              <w:rPr>
                <w:rFonts w:hint="default" w:ascii="仿宋_GB2312" w:hAnsi="仿宋_GB2312" w:eastAsia="仿宋_GB2312" w:cs="仿宋_GB2312"/>
                <w:sz w:val="20"/>
                <w:szCs w:val="20"/>
                <w:highlight w:val="none"/>
                <w:lang w:val="en-US" w:eastAsia="zh-CN"/>
              </w:rPr>
            </w:pPr>
          </w:p>
        </w:tc>
      </w:tr>
      <w:tr w14:paraId="0D27566F">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22B19D4">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美丽河湖奖励资金</w:t>
            </w:r>
          </w:p>
        </w:tc>
        <w:tc>
          <w:tcPr>
            <w:tcW w:w="2038" w:type="dxa"/>
            <w:gridSpan w:val="2"/>
            <w:tcBorders>
              <w:top w:val="single" w:color="auto" w:sz="4" w:space="0"/>
              <w:left w:val="nil"/>
              <w:bottom w:val="single" w:color="auto" w:sz="4" w:space="0"/>
              <w:right w:val="single" w:color="000000" w:sz="4" w:space="0"/>
            </w:tcBorders>
            <w:noWrap w:val="0"/>
            <w:vAlign w:val="center"/>
          </w:tcPr>
          <w:p w14:paraId="3CB9C242">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20.00</w:t>
            </w:r>
          </w:p>
        </w:tc>
        <w:tc>
          <w:tcPr>
            <w:tcW w:w="2240" w:type="dxa"/>
            <w:gridSpan w:val="2"/>
            <w:tcBorders>
              <w:top w:val="single" w:color="auto" w:sz="4" w:space="0"/>
              <w:left w:val="nil"/>
              <w:bottom w:val="single" w:color="auto" w:sz="4" w:space="0"/>
              <w:right w:val="single" w:color="000000" w:sz="4" w:space="0"/>
            </w:tcBorders>
            <w:noWrap w:val="0"/>
            <w:vAlign w:val="center"/>
          </w:tcPr>
          <w:p w14:paraId="4C96753C">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792816D9">
            <w:pPr>
              <w:widowControl/>
              <w:spacing w:line="360" w:lineRule="exact"/>
              <w:jc w:val="center"/>
              <w:rPr>
                <w:rFonts w:hint="default" w:ascii="仿宋_GB2312" w:hAnsi="仿宋_GB2312" w:eastAsia="仿宋_GB2312" w:cs="仿宋_GB2312"/>
                <w:sz w:val="20"/>
                <w:szCs w:val="20"/>
                <w:highlight w:val="none"/>
                <w:lang w:val="en-US" w:eastAsia="zh-CN"/>
              </w:rPr>
            </w:pPr>
          </w:p>
        </w:tc>
      </w:tr>
      <w:tr w14:paraId="3E456E3E">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F107B45">
            <w:pPr>
              <w:widowControl/>
              <w:spacing w:line="36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sz w:val="20"/>
                <w:szCs w:val="20"/>
                <w:highlight w:val="none"/>
              </w:rPr>
              <w:t xml:space="preserve">   </w:t>
            </w:r>
            <w:r>
              <w:rPr>
                <w:rFonts w:hint="eastAsia" w:ascii="仿宋_GB2312" w:hAnsi="仿宋_GB2312" w:eastAsia="仿宋_GB2312" w:cs="仿宋_GB2312"/>
                <w:color w:val="000000"/>
                <w:sz w:val="20"/>
                <w:szCs w:val="20"/>
                <w:highlight w:val="none"/>
                <w:lang w:val="en-US" w:eastAsia="zh-CN"/>
              </w:rPr>
              <w:t>5、罚没收入返还</w:t>
            </w:r>
          </w:p>
        </w:tc>
        <w:tc>
          <w:tcPr>
            <w:tcW w:w="2038" w:type="dxa"/>
            <w:gridSpan w:val="2"/>
            <w:tcBorders>
              <w:top w:val="single" w:color="auto" w:sz="4" w:space="0"/>
              <w:left w:val="nil"/>
              <w:bottom w:val="single" w:color="auto" w:sz="4" w:space="0"/>
              <w:right w:val="single" w:color="000000" w:sz="4" w:space="0"/>
            </w:tcBorders>
            <w:noWrap w:val="0"/>
            <w:vAlign w:val="center"/>
          </w:tcPr>
          <w:p w14:paraId="7E130F5B">
            <w:pPr>
              <w:widowControl/>
              <w:spacing w:line="360" w:lineRule="exact"/>
              <w:jc w:val="center"/>
              <w:rPr>
                <w:rFonts w:hint="eastAsia" w:ascii="仿宋_GB2312" w:hAnsi="仿宋_GB2312" w:eastAsia="仿宋_GB2312" w:cs="仿宋_GB2312"/>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14:paraId="584E7440">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77407F97">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6.63</w:t>
            </w:r>
          </w:p>
        </w:tc>
      </w:tr>
      <w:tr w14:paraId="5E414B6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4085CE5">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308F14E0">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 xml:space="preserve"> 79.75 </w:t>
            </w:r>
          </w:p>
        </w:tc>
        <w:tc>
          <w:tcPr>
            <w:tcW w:w="2240" w:type="dxa"/>
            <w:gridSpan w:val="2"/>
            <w:tcBorders>
              <w:top w:val="single" w:color="auto" w:sz="4" w:space="0"/>
              <w:left w:val="nil"/>
              <w:bottom w:val="single" w:color="auto" w:sz="4" w:space="0"/>
              <w:right w:val="single" w:color="000000" w:sz="4" w:space="0"/>
            </w:tcBorders>
            <w:noWrap w:val="0"/>
            <w:vAlign w:val="center"/>
          </w:tcPr>
          <w:p w14:paraId="02C3C2A7">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29.37</w:t>
            </w:r>
          </w:p>
        </w:tc>
        <w:tc>
          <w:tcPr>
            <w:tcW w:w="2041" w:type="dxa"/>
            <w:gridSpan w:val="2"/>
            <w:tcBorders>
              <w:top w:val="single" w:color="auto" w:sz="4" w:space="0"/>
              <w:left w:val="nil"/>
              <w:bottom w:val="single" w:color="auto" w:sz="4" w:space="0"/>
              <w:right w:val="single" w:color="000000" w:sz="4" w:space="0"/>
            </w:tcBorders>
            <w:noWrap w:val="0"/>
            <w:vAlign w:val="center"/>
          </w:tcPr>
          <w:p w14:paraId="288938B1">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71.84</w:t>
            </w:r>
          </w:p>
        </w:tc>
      </w:tr>
      <w:tr w14:paraId="48A69A18">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D76F95C">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0326A362">
            <w:pPr>
              <w:widowControl/>
              <w:spacing w:line="36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 xml:space="preserve"> 18.81 </w:t>
            </w:r>
          </w:p>
        </w:tc>
        <w:tc>
          <w:tcPr>
            <w:tcW w:w="2240" w:type="dxa"/>
            <w:gridSpan w:val="2"/>
            <w:tcBorders>
              <w:top w:val="single" w:color="auto" w:sz="4" w:space="0"/>
              <w:left w:val="nil"/>
              <w:bottom w:val="single" w:color="auto" w:sz="4" w:space="0"/>
              <w:right w:val="single" w:color="000000" w:sz="4" w:space="0"/>
            </w:tcBorders>
            <w:noWrap w:val="0"/>
            <w:vAlign w:val="center"/>
          </w:tcPr>
          <w:p w14:paraId="103C3B39">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17.99</w:t>
            </w:r>
          </w:p>
        </w:tc>
        <w:tc>
          <w:tcPr>
            <w:tcW w:w="2041" w:type="dxa"/>
            <w:gridSpan w:val="2"/>
            <w:tcBorders>
              <w:top w:val="single" w:color="auto" w:sz="4" w:space="0"/>
              <w:left w:val="nil"/>
              <w:bottom w:val="single" w:color="auto" w:sz="4" w:space="0"/>
              <w:right w:val="single" w:color="000000" w:sz="4" w:space="0"/>
            </w:tcBorders>
            <w:noWrap w:val="0"/>
            <w:vAlign w:val="center"/>
          </w:tcPr>
          <w:p w14:paraId="688FB17C">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21.15</w:t>
            </w:r>
          </w:p>
        </w:tc>
      </w:tr>
      <w:tr w14:paraId="7FE7528F">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F10A902">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14:paraId="204D02FF">
            <w:pPr>
              <w:widowControl/>
              <w:spacing w:line="36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 xml:space="preserve"> 1.20 </w:t>
            </w:r>
          </w:p>
        </w:tc>
        <w:tc>
          <w:tcPr>
            <w:tcW w:w="2240" w:type="dxa"/>
            <w:gridSpan w:val="2"/>
            <w:tcBorders>
              <w:top w:val="single" w:color="auto" w:sz="4" w:space="0"/>
              <w:left w:val="nil"/>
              <w:bottom w:val="single" w:color="auto" w:sz="4" w:space="0"/>
              <w:right w:val="single" w:color="000000" w:sz="4" w:space="0"/>
            </w:tcBorders>
            <w:noWrap w:val="0"/>
            <w:vAlign w:val="center"/>
          </w:tcPr>
          <w:p w14:paraId="39439002">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0.80</w:t>
            </w:r>
          </w:p>
        </w:tc>
        <w:tc>
          <w:tcPr>
            <w:tcW w:w="2041" w:type="dxa"/>
            <w:gridSpan w:val="2"/>
            <w:tcBorders>
              <w:top w:val="single" w:color="auto" w:sz="4" w:space="0"/>
              <w:left w:val="nil"/>
              <w:bottom w:val="single" w:color="auto" w:sz="4" w:space="0"/>
              <w:right w:val="single" w:color="000000" w:sz="4" w:space="0"/>
            </w:tcBorders>
            <w:noWrap w:val="0"/>
            <w:vAlign w:val="center"/>
          </w:tcPr>
          <w:p w14:paraId="0B529867">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1.11</w:t>
            </w:r>
          </w:p>
        </w:tc>
      </w:tr>
      <w:tr w14:paraId="1393DA8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19F6126">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14:paraId="59E7DF0F">
            <w:pPr>
              <w:widowControl/>
              <w:spacing w:line="360" w:lineRule="exact"/>
              <w:jc w:val="center"/>
              <w:rPr>
                <w:rFonts w:hint="default" w:ascii="仿宋_GB2312" w:hAnsi="仿宋_GB2312" w:eastAsia="仿宋_GB2312" w:cs="仿宋_GB2312"/>
                <w:color w:val="auto"/>
                <w:kern w:val="0"/>
                <w:sz w:val="20"/>
                <w:szCs w:val="20"/>
                <w:lang w:val="en-US" w:eastAsia="zh-CN" w:bidi="ar-SA"/>
              </w:rPr>
            </w:pPr>
          </w:p>
        </w:tc>
        <w:tc>
          <w:tcPr>
            <w:tcW w:w="2240" w:type="dxa"/>
            <w:gridSpan w:val="2"/>
            <w:tcBorders>
              <w:top w:val="single" w:color="auto" w:sz="4" w:space="0"/>
              <w:left w:val="nil"/>
              <w:bottom w:val="single" w:color="auto" w:sz="4" w:space="0"/>
              <w:right w:val="single" w:color="000000" w:sz="4" w:space="0"/>
            </w:tcBorders>
            <w:noWrap w:val="0"/>
            <w:vAlign w:val="center"/>
          </w:tcPr>
          <w:p w14:paraId="2891004C">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0.00</w:t>
            </w:r>
          </w:p>
        </w:tc>
        <w:tc>
          <w:tcPr>
            <w:tcW w:w="2041" w:type="dxa"/>
            <w:gridSpan w:val="2"/>
            <w:tcBorders>
              <w:top w:val="single" w:color="auto" w:sz="4" w:space="0"/>
              <w:left w:val="nil"/>
              <w:bottom w:val="single" w:color="auto" w:sz="4" w:space="0"/>
              <w:right w:val="single" w:color="000000" w:sz="4" w:space="0"/>
            </w:tcBorders>
            <w:noWrap w:val="0"/>
            <w:vAlign w:val="center"/>
          </w:tcPr>
          <w:p w14:paraId="180B2026">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0.47</w:t>
            </w:r>
          </w:p>
        </w:tc>
      </w:tr>
      <w:tr w14:paraId="08414DE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C65B392">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14:paraId="4A238651">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color w:val="auto"/>
                <w:sz w:val="20"/>
                <w:szCs w:val="20"/>
                <w:highlight w:val="none"/>
                <w:lang w:val="en-US" w:eastAsia="zh-CN"/>
              </w:rPr>
              <w:t>105.71</w:t>
            </w:r>
            <w:r>
              <w:rPr>
                <w:rFonts w:hint="eastAsia" w:ascii="仿宋_GB2312" w:hAnsi="仿宋_GB2312" w:eastAsia="仿宋_GB2312" w:cs="仿宋_GB2312"/>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1C8FAC8E">
            <w:pPr>
              <w:widowControl/>
              <w:spacing w:line="360" w:lineRule="exact"/>
              <w:jc w:val="center"/>
              <w:rPr>
                <w:rFonts w:hint="default"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148.00</w:t>
            </w:r>
          </w:p>
        </w:tc>
        <w:tc>
          <w:tcPr>
            <w:tcW w:w="2041" w:type="dxa"/>
            <w:gridSpan w:val="2"/>
            <w:tcBorders>
              <w:top w:val="single" w:color="auto" w:sz="4" w:space="0"/>
              <w:left w:val="nil"/>
              <w:bottom w:val="single" w:color="auto" w:sz="4" w:space="0"/>
              <w:right w:val="single" w:color="000000" w:sz="4" w:space="0"/>
            </w:tcBorders>
            <w:noWrap w:val="0"/>
            <w:vAlign w:val="center"/>
          </w:tcPr>
          <w:p w14:paraId="0CA44E0C">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99.32</w:t>
            </w:r>
          </w:p>
        </w:tc>
      </w:tr>
      <w:tr w14:paraId="76085BDF">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923C84D">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14:paraId="1D0ABCEF">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6C2B6927">
            <w:pPr>
              <w:widowControl/>
              <w:spacing w:line="360" w:lineRule="exact"/>
              <w:jc w:val="center"/>
              <w:rPr>
                <w:rFonts w:hint="default"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90.32</w:t>
            </w:r>
          </w:p>
        </w:tc>
        <w:tc>
          <w:tcPr>
            <w:tcW w:w="2041" w:type="dxa"/>
            <w:gridSpan w:val="2"/>
            <w:tcBorders>
              <w:top w:val="single" w:color="auto" w:sz="4" w:space="0"/>
              <w:left w:val="nil"/>
              <w:bottom w:val="single" w:color="auto" w:sz="4" w:space="0"/>
              <w:right w:val="single" w:color="000000" w:sz="4" w:space="0"/>
            </w:tcBorders>
            <w:noWrap w:val="0"/>
            <w:vAlign w:val="center"/>
          </w:tcPr>
          <w:p w14:paraId="1E79DF62">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r>
      <w:tr w14:paraId="473EF34C">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14:paraId="4538C8B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4</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14:paraId="43CA42FF">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14:paraId="5EBF9669">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14:paraId="798AE239">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14:paraId="73433312">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14:paraId="1AC74937">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14:paraId="17DAE8EA">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14:paraId="5B265B73">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14:paraId="7B762E3E">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14:paraId="4086D16F">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849" w:type="dxa"/>
            <w:tcBorders>
              <w:top w:val="nil"/>
              <w:left w:val="nil"/>
              <w:bottom w:val="single" w:color="auto" w:sz="4" w:space="0"/>
              <w:right w:val="single" w:color="auto" w:sz="4" w:space="0"/>
            </w:tcBorders>
            <w:noWrap w:val="0"/>
            <w:vAlign w:val="center"/>
          </w:tcPr>
          <w:p w14:paraId="7435E406">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129" w:type="dxa"/>
            <w:tcBorders>
              <w:top w:val="nil"/>
              <w:left w:val="nil"/>
              <w:bottom w:val="single" w:color="auto" w:sz="4" w:space="0"/>
              <w:right w:val="single" w:color="auto" w:sz="4" w:space="0"/>
            </w:tcBorders>
            <w:noWrap w:val="0"/>
            <w:vAlign w:val="center"/>
          </w:tcPr>
          <w:p w14:paraId="69A9316E">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111" w:type="dxa"/>
            <w:tcBorders>
              <w:top w:val="nil"/>
              <w:left w:val="nil"/>
              <w:bottom w:val="single" w:color="auto" w:sz="4" w:space="0"/>
              <w:right w:val="single" w:color="auto" w:sz="4" w:space="0"/>
            </w:tcBorders>
            <w:noWrap w:val="0"/>
            <w:vAlign w:val="center"/>
          </w:tcPr>
          <w:p w14:paraId="758702E2">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081" w:type="dxa"/>
            <w:tcBorders>
              <w:top w:val="nil"/>
              <w:left w:val="nil"/>
              <w:bottom w:val="single" w:color="auto" w:sz="4" w:space="0"/>
              <w:right w:val="single" w:color="auto" w:sz="4" w:space="0"/>
            </w:tcBorders>
            <w:noWrap w:val="0"/>
            <w:vAlign w:val="center"/>
          </w:tcPr>
          <w:p w14:paraId="50F8963B">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960" w:type="dxa"/>
            <w:tcBorders>
              <w:top w:val="nil"/>
              <w:left w:val="nil"/>
              <w:bottom w:val="single" w:color="auto" w:sz="4" w:space="0"/>
              <w:right w:val="single" w:color="auto" w:sz="4" w:space="0"/>
            </w:tcBorders>
            <w:noWrap w:val="0"/>
            <w:vAlign w:val="center"/>
          </w:tcPr>
          <w:p w14:paraId="7F381EEB">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72E0F50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BC30726">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14:paraId="60B17A4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控制三公经费的支出　</w:t>
            </w:r>
          </w:p>
        </w:tc>
      </w:tr>
    </w:tbl>
    <w:p w14:paraId="6264F3A0">
      <w:pPr>
        <w:widowControl/>
        <w:spacing w:afterLines="0" w:line="400" w:lineRule="exact"/>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14:paraId="1C77273C">
      <w:pPr>
        <w:widowControl/>
        <w:spacing w:afterLines="0" w:line="400" w:lineRule="exact"/>
        <w:jc w:val="left"/>
        <w:rPr>
          <w:rFonts w:hint="default" w:ascii="Times New Roman" w:hAnsi="Times New Roman" w:eastAsia="仿宋_GB2312" w:cs="Times New Roman"/>
          <w:sz w:val="22"/>
          <w:highlight w:val="none"/>
        </w:rPr>
      </w:pPr>
    </w:p>
    <w:p w14:paraId="0930011E">
      <w:pPr>
        <w:widowControl/>
        <w:spacing w:after="0" w:afterLines="0" w:line="400" w:lineRule="exact"/>
        <w:jc w:val="left"/>
        <w:rPr>
          <w:rFonts w:hint="eastAsia" w:ascii="黑体" w:hAnsi="黑体" w:eastAsia="黑体" w:cs="黑体"/>
          <w:sz w:val="32"/>
          <w:szCs w:val="32"/>
          <w:highlight w:val="none"/>
          <w:lang w:eastAsia="zh-CN"/>
        </w:rPr>
      </w:pPr>
      <w:r>
        <w:rPr>
          <w:rFonts w:hint="default" w:ascii="Times New Roman" w:hAnsi="Times New Roman" w:eastAsia="仿宋_GB2312" w:cs="Times New Roman"/>
          <w:sz w:val="22"/>
          <w:highlight w:val="none"/>
        </w:rPr>
        <w:t>填表人：        填报日期：          联系电话：            单位负责人签字：</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14:paraId="2F3CA5E0">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7"/>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075"/>
        <w:gridCol w:w="1028"/>
        <w:gridCol w:w="1265"/>
        <w:gridCol w:w="1306"/>
        <w:gridCol w:w="1264"/>
        <w:gridCol w:w="714"/>
        <w:gridCol w:w="916"/>
        <w:gridCol w:w="1436"/>
      </w:tblGrid>
      <w:tr w14:paraId="11B94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14:paraId="0F1DB86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9004" w:type="dxa"/>
            <w:gridSpan w:val="8"/>
            <w:noWrap w:val="0"/>
            <w:vAlign w:val="center"/>
          </w:tcPr>
          <w:p w14:paraId="55A6154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岳阳市生态环境局南湖新区分局</w:t>
            </w:r>
          </w:p>
        </w:tc>
      </w:tr>
      <w:tr w14:paraId="051B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restart"/>
            <w:noWrap w:val="0"/>
            <w:vAlign w:val="center"/>
          </w:tcPr>
          <w:p w14:paraId="0EB6ADF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14:paraId="7F93E6C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03" w:type="dxa"/>
            <w:gridSpan w:val="2"/>
            <w:noWrap w:val="0"/>
            <w:vAlign w:val="center"/>
          </w:tcPr>
          <w:p w14:paraId="4655EEE7">
            <w:pPr>
              <w:spacing w:line="240" w:lineRule="exact"/>
              <w:jc w:val="center"/>
              <w:rPr>
                <w:rFonts w:hint="eastAsia" w:ascii="仿宋_GB2312" w:hAnsi="仿宋_GB2312" w:eastAsia="仿宋_GB2312" w:cs="仿宋_GB2312"/>
                <w:sz w:val="20"/>
                <w:szCs w:val="20"/>
                <w:highlight w:val="none"/>
              </w:rPr>
            </w:pPr>
          </w:p>
        </w:tc>
        <w:tc>
          <w:tcPr>
            <w:tcW w:w="1265" w:type="dxa"/>
            <w:noWrap w:val="0"/>
            <w:vAlign w:val="center"/>
          </w:tcPr>
          <w:p w14:paraId="3842F469">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06" w:type="dxa"/>
            <w:noWrap w:val="0"/>
            <w:vAlign w:val="center"/>
          </w:tcPr>
          <w:p w14:paraId="234A41FA">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4" w:type="dxa"/>
            <w:noWrap w:val="0"/>
            <w:vAlign w:val="center"/>
          </w:tcPr>
          <w:p w14:paraId="57171227">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4" w:type="dxa"/>
            <w:noWrap w:val="0"/>
            <w:vAlign w:val="center"/>
          </w:tcPr>
          <w:p w14:paraId="65A88914">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916" w:type="dxa"/>
            <w:noWrap w:val="0"/>
            <w:vAlign w:val="center"/>
          </w:tcPr>
          <w:p w14:paraId="668EBA1C">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36" w:type="dxa"/>
            <w:noWrap w:val="0"/>
            <w:vAlign w:val="center"/>
          </w:tcPr>
          <w:p w14:paraId="73D46A6A">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5CF3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598C96B2">
            <w:pPr>
              <w:widowControl/>
              <w:spacing w:line="240" w:lineRule="exact"/>
              <w:jc w:val="center"/>
              <w:rPr>
                <w:rFonts w:hint="eastAsia" w:ascii="仿宋_GB2312" w:hAnsi="仿宋_GB2312" w:eastAsia="仿宋_GB2312" w:cs="仿宋_GB2312"/>
                <w:color w:val="000000"/>
                <w:sz w:val="20"/>
                <w:szCs w:val="20"/>
                <w:highlight w:val="none"/>
              </w:rPr>
            </w:pPr>
          </w:p>
        </w:tc>
        <w:tc>
          <w:tcPr>
            <w:tcW w:w="2103" w:type="dxa"/>
            <w:gridSpan w:val="2"/>
            <w:noWrap w:val="0"/>
            <w:vAlign w:val="center"/>
          </w:tcPr>
          <w:p w14:paraId="6F6554A6">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65" w:type="dxa"/>
            <w:noWrap w:val="0"/>
            <w:vAlign w:val="center"/>
          </w:tcPr>
          <w:p w14:paraId="149CB6D0">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175.05</w:t>
            </w:r>
          </w:p>
        </w:tc>
        <w:tc>
          <w:tcPr>
            <w:tcW w:w="1306" w:type="dxa"/>
            <w:noWrap w:val="0"/>
            <w:vAlign w:val="center"/>
          </w:tcPr>
          <w:p w14:paraId="24F0CB25">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324.52</w:t>
            </w:r>
          </w:p>
        </w:tc>
        <w:tc>
          <w:tcPr>
            <w:tcW w:w="1264" w:type="dxa"/>
            <w:noWrap w:val="0"/>
            <w:vAlign w:val="center"/>
          </w:tcPr>
          <w:p w14:paraId="49B67386">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289.05</w:t>
            </w:r>
          </w:p>
        </w:tc>
        <w:tc>
          <w:tcPr>
            <w:tcW w:w="714" w:type="dxa"/>
            <w:noWrap w:val="0"/>
            <w:vAlign w:val="center"/>
          </w:tcPr>
          <w:p w14:paraId="043BA56D">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916" w:type="dxa"/>
            <w:noWrap w:val="0"/>
            <w:vAlign w:val="center"/>
          </w:tcPr>
          <w:p w14:paraId="22023F85">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89.07%</w:t>
            </w:r>
          </w:p>
        </w:tc>
        <w:tc>
          <w:tcPr>
            <w:tcW w:w="1436" w:type="dxa"/>
            <w:noWrap w:val="0"/>
            <w:vAlign w:val="center"/>
          </w:tcPr>
          <w:p w14:paraId="4B8AE769">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w:t>
            </w:r>
          </w:p>
        </w:tc>
      </w:tr>
      <w:tr w14:paraId="3798C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50C7BF4C">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4096CE5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30" w:type="dxa"/>
            <w:gridSpan w:val="4"/>
            <w:noWrap w:val="0"/>
            <w:vAlign w:val="center"/>
          </w:tcPr>
          <w:p w14:paraId="6934F7C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14:paraId="16C9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6908A7E5">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41078BE9">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246.53</w:t>
            </w:r>
          </w:p>
        </w:tc>
        <w:tc>
          <w:tcPr>
            <w:tcW w:w="4330" w:type="dxa"/>
            <w:gridSpan w:val="4"/>
            <w:noWrap w:val="0"/>
            <w:vAlign w:val="center"/>
          </w:tcPr>
          <w:p w14:paraId="278BF8CD">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229.40</w:t>
            </w:r>
          </w:p>
        </w:tc>
      </w:tr>
      <w:tr w14:paraId="704E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2F2031C8">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10E67516">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330" w:type="dxa"/>
            <w:gridSpan w:val="4"/>
            <w:noWrap w:val="0"/>
            <w:vAlign w:val="center"/>
          </w:tcPr>
          <w:p w14:paraId="0D856274">
            <w:pPr>
              <w:widowControl/>
              <w:spacing w:line="240" w:lineRule="exact"/>
              <w:ind w:firstLine="600" w:firstLineChars="3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r>
              <w:rPr>
                <w:rFonts w:hint="eastAsia" w:ascii="仿宋_GB2312" w:hAnsi="仿宋_GB2312" w:eastAsia="仿宋_GB2312" w:cs="仿宋_GB2312"/>
                <w:color w:val="000000"/>
                <w:sz w:val="20"/>
                <w:szCs w:val="20"/>
                <w:highlight w:val="none"/>
                <w:lang w:val="en-US" w:eastAsia="zh-CN"/>
              </w:rPr>
              <w:t>59.65</w:t>
            </w:r>
          </w:p>
        </w:tc>
      </w:tr>
      <w:tr w14:paraId="2DF0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6F4EB65F">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7685DBC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330" w:type="dxa"/>
            <w:gridSpan w:val="4"/>
            <w:noWrap w:val="0"/>
            <w:vAlign w:val="center"/>
          </w:tcPr>
          <w:p w14:paraId="36163F35">
            <w:pPr>
              <w:widowControl/>
              <w:spacing w:line="240" w:lineRule="exact"/>
              <w:jc w:val="left"/>
              <w:rPr>
                <w:rFonts w:hint="eastAsia" w:ascii="仿宋_GB2312" w:hAnsi="仿宋_GB2312" w:eastAsia="仿宋_GB2312" w:cs="仿宋_GB2312"/>
                <w:color w:val="000000"/>
                <w:sz w:val="20"/>
                <w:szCs w:val="20"/>
                <w:highlight w:val="none"/>
              </w:rPr>
            </w:pPr>
          </w:p>
        </w:tc>
      </w:tr>
      <w:tr w14:paraId="2520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7BD070E0">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53C92A87">
            <w:pPr>
              <w:widowControl/>
              <w:spacing w:line="240" w:lineRule="exact"/>
              <w:ind w:firstLine="1400" w:firstLineChars="7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w:t>
            </w:r>
            <w:r>
              <w:rPr>
                <w:rFonts w:hint="eastAsia" w:ascii="仿宋_GB2312" w:hAnsi="仿宋_GB2312" w:eastAsia="仿宋_GB2312" w:cs="仿宋_GB2312"/>
                <w:color w:val="000000"/>
                <w:sz w:val="20"/>
                <w:szCs w:val="20"/>
                <w:highlight w:val="none"/>
                <w:lang w:val="en-US" w:eastAsia="zh-CN"/>
              </w:rPr>
              <w:t>77.99</w:t>
            </w:r>
          </w:p>
        </w:tc>
        <w:tc>
          <w:tcPr>
            <w:tcW w:w="4330" w:type="dxa"/>
            <w:gridSpan w:val="4"/>
            <w:noWrap w:val="0"/>
            <w:vAlign w:val="center"/>
          </w:tcPr>
          <w:p w14:paraId="34D3631C">
            <w:pPr>
              <w:widowControl/>
              <w:spacing w:line="240" w:lineRule="exact"/>
              <w:jc w:val="left"/>
              <w:rPr>
                <w:rFonts w:hint="eastAsia" w:ascii="仿宋_GB2312" w:hAnsi="仿宋_GB2312" w:eastAsia="仿宋_GB2312" w:cs="仿宋_GB2312"/>
                <w:color w:val="000000"/>
                <w:sz w:val="20"/>
                <w:szCs w:val="20"/>
                <w:highlight w:val="none"/>
              </w:rPr>
            </w:pPr>
          </w:p>
        </w:tc>
      </w:tr>
      <w:tr w14:paraId="26D44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restart"/>
            <w:noWrap w:val="0"/>
            <w:vAlign w:val="center"/>
          </w:tcPr>
          <w:p w14:paraId="69E2A8E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74" w:type="dxa"/>
            <w:gridSpan w:val="4"/>
            <w:noWrap w:val="0"/>
            <w:vAlign w:val="center"/>
          </w:tcPr>
          <w:p w14:paraId="40E12D9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30" w:type="dxa"/>
            <w:gridSpan w:val="4"/>
            <w:noWrap w:val="0"/>
            <w:vAlign w:val="center"/>
          </w:tcPr>
          <w:p w14:paraId="1F95189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0E36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0C5003CA">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627D4822">
            <w:pPr>
              <w:keepNext w:val="0"/>
              <w:keepLines w:val="0"/>
              <w:pageBreakBefore w:val="0"/>
              <w:widowControl/>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任务1.抓好“污染防治攻坚战”“夏季攻势”行动。</w:t>
            </w:r>
          </w:p>
          <w:p w14:paraId="0D1A5991">
            <w:pPr>
              <w:keepNext w:val="0"/>
              <w:keepLines w:val="0"/>
              <w:pageBreakBefore w:val="0"/>
              <w:widowControl/>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任务2.持续做好水环境、大气污染防治、土壤污染防治管控工作。</w:t>
            </w:r>
          </w:p>
          <w:p w14:paraId="59D3D901">
            <w:pPr>
              <w:keepNext w:val="0"/>
              <w:keepLines w:val="0"/>
              <w:pageBreakBefore w:val="0"/>
              <w:widowControl/>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任务3.加强项目资金监管。</w:t>
            </w:r>
          </w:p>
          <w:p w14:paraId="0ABD9F4E">
            <w:pPr>
              <w:keepNext w:val="0"/>
              <w:keepLines w:val="0"/>
              <w:pageBreakBefore w:val="0"/>
              <w:widowControl/>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任务4.做好企业服务工作。　</w:t>
            </w:r>
          </w:p>
        </w:tc>
        <w:tc>
          <w:tcPr>
            <w:tcW w:w="4330" w:type="dxa"/>
            <w:gridSpan w:val="4"/>
            <w:noWrap w:val="0"/>
            <w:vAlign w:val="center"/>
          </w:tcPr>
          <w:p w14:paraId="546FE5A9">
            <w:pPr>
              <w:widowControl/>
              <w:numPr>
                <w:ilvl w:val="0"/>
                <w:numId w:val="0"/>
              </w:numPr>
              <w:spacing w:line="240" w:lineRule="exact"/>
              <w:jc w:val="left"/>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1.积极开展水污染防治工作。持续开展南湖水环境综合整治工作，坚持湖面巡查密切关注南湖水质变化情况，对南湖断面水质进行一周一次监测，分析水质状况，并针对性做好南湖治理工作。</w:t>
            </w:r>
          </w:p>
          <w:p w14:paraId="1CE87DF0">
            <w:pPr>
              <w:widowControl/>
              <w:numPr>
                <w:ilvl w:val="0"/>
                <w:numId w:val="0"/>
              </w:numPr>
              <w:spacing w:line="240" w:lineRule="exact"/>
              <w:jc w:val="left"/>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2.开展大气污染防治攻坚。一是承担区蓝天办日常工作。二是开展空气质量数据分析。三是开展机动车路检路查专项行动。四是开展秸秆禁焚工作。</w:t>
            </w:r>
          </w:p>
          <w:p w14:paraId="51ABAE76">
            <w:pPr>
              <w:widowControl/>
              <w:numPr>
                <w:ilvl w:val="0"/>
                <w:numId w:val="0"/>
              </w:numPr>
              <w:spacing w:line="240" w:lineRule="exact"/>
              <w:jc w:val="left"/>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3.开展土壤污染防治工作，协助月山管理处提交蓝天冶炼厂土壤污染防治项目相关资料。</w:t>
            </w:r>
          </w:p>
          <w:p w14:paraId="39F9E189">
            <w:pPr>
              <w:widowControl/>
              <w:numPr>
                <w:ilvl w:val="0"/>
                <w:numId w:val="0"/>
              </w:numPr>
              <w:spacing w:line="240" w:lineRule="exact"/>
              <w:jc w:val="left"/>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4.今年以来，我区环境质量稳中向好，1-11月南湖水质总体达到Ⅲ类，南湖水质连续四年总体达标Ⅲ类。空气质量优良率为86.5%，相比去年同期提升1.5% ，综合指数3.36 ，同比去年同期下降6.9%，PM2.5浓度为31.5，同比下降8%，PM10浓度为44，同比下降17%，SO2浓度为7，同比下降22%，NO2浓度为18，同比下降10%，各项大气污染物浓度指标均有较大幅度下调。</w:t>
            </w:r>
          </w:p>
          <w:p w14:paraId="5E77BC89">
            <w:pPr>
              <w:pStyle w:val="2"/>
              <w:numPr>
                <w:ilvl w:val="0"/>
                <w:numId w:val="0"/>
              </w:numPr>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5.开展日常环境执法监管。大队加强环境执法监管，严厉打击环境违法行为，开展现场执法83家次，立案查处8起环境违法行为，罚款5.632万元，免罚3起。</w:t>
            </w:r>
          </w:p>
          <w:p w14:paraId="66329AB6">
            <w:pPr>
              <w:pStyle w:val="3"/>
              <w:ind w:left="0" w:leftChars="0" w:firstLine="0" w:firstLineChars="0"/>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6.协助企业办理辐射安全许可证2家次。开展辐射安全检查8家次，发现和督促相关单位整改问题14条。</w:t>
            </w:r>
          </w:p>
          <w:p w14:paraId="6AF73566">
            <w:pPr>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7.办结各类生态环境相关投诉17件次。</w:t>
            </w:r>
          </w:p>
        </w:tc>
      </w:tr>
      <w:tr w14:paraId="31A76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restart"/>
            <w:noWrap w:val="0"/>
            <w:vAlign w:val="center"/>
          </w:tcPr>
          <w:p w14:paraId="0253664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37898B0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7774B39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57AA210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14:paraId="60DD12D3">
            <w:pPr>
              <w:widowControl/>
              <w:spacing w:line="240" w:lineRule="exact"/>
              <w:jc w:val="center"/>
              <w:rPr>
                <w:rFonts w:hint="eastAsia" w:ascii="仿宋_GB2312" w:hAnsi="仿宋_GB2312" w:eastAsia="仿宋_GB2312" w:cs="仿宋_GB2312"/>
                <w:color w:val="000000"/>
                <w:sz w:val="20"/>
                <w:szCs w:val="20"/>
                <w:highlight w:val="none"/>
              </w:rPr>
            </w:pPr>
          </w:p>
        </w:tc>
        <w:tc>
          <w:tcPr>
            <w:tcW w:w="1075" w:type="dxa"/>
            <w:noWrap w:val="0"/>
            <w:vAlign w:val="center"/>
          </w:tcPr>
          <w:p w14:paraId="30437F4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28" w:type="dxa"/>
            <w:noWrap w:val="0"/>
            <w:vAlign w:val="center"/>
          </w:tcPr>
          <w:p w14:paraId="6A7CA13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65" w:type="dxa"/>
            <w:noWrap w:val="0"/>
            <w:vAlign w:val="center"/>
          </w:tcPr>
          <w:p w14:paraId="717DEB4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06" w:type="dxa"/>
            <w:noWrap w:val="0"/>
            <w:vAlign w:val="center"/>
          </w:tcPr>
          <w:p w14:paraId="5EC15EC6">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4" w:type="dxa"/>
            <w:noWrap w:val="0"/>
            <w:vAlign w:val="center"/>
          </w:tcPr>
          <w:p w14:paraId="37C54D56">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4" w:type="dxa"/>
            <w:noWrap w:val="0"/>
            <w:vAlign w:val="center"/>
          </w:tcPr>
          <w:p w14:paraId="0C40FF5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916" w:type="dxa"/>
            <w:noWrap w:val="0"/>
            <w:vAlign w:val="center"/>
          </w:tcPr>
          <w:p w14:paraId="5DFBB65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36" w:type="dxa"/>
            <w:noWrap w:val="0"/>
            <w:vAlign w:val="center"/>
          </w:tcPr>
          <w:p w14:paraId="056AC4CF">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0E7E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14A32968">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restart"/>
            <w:noWrap w:val="0"/>
            <w:vAlign w:val="center"/>
          </w:tcPr>
          <w:p w14:paraId="3B04DB4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75B88E01">
            <w:pPr>
              <w:widowControl/>
              <w:spacing w:line="240" w:lineRule="exact"/>
              <w:jc w:val="center"/>
              <w:rPr>
                <w:rFonts w:hint="eastAsia" w:ascii="仿宋_GB2312" w:hAnsi="仿宋_GB2312" w:eastAsia="仿宋_GB2312" w:cs="仿宋_GB2312"/>
                <w:color w:val="000000"/>
                <w:sz w:val="20"/>
                <w:szCs w:val="20"/>
                <w:highlight w:val="none"/>
              </w:rPr>
            </w:pPr>
          </w:p>
          <w:p w14:paraId="164D8B1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28" w:type="dxa"/>
            <w:vMerge w:val="restart"/>
            <w:noWrap w:val="0"/>
            <w:vAlign w:val="center"/>
          </w:tcPr>
          <w:p w14:paraId="3FCF04D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65" w:type="dxa"/>
            <w:noWrap w:val="0"/>
            <w:vAlign w:val="center"/>
          </w:tcPr>
          <w:p w14:paraId="00519C24">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完成罚没款征缴任务</w:t>
            </w:r>
          </w:p>
        </w:tc>
        <w:tc>
          <w:tcPr>
            <w:tcW w:w="1306" w:type="dxa"/>
            <w:noWrap w:val="0"/>
            <w:vAlign w:val="center"/>
          </w:tcPr>
          <w:p w14:paraId="3FEAF7F3">
            <w:pPr>
              <w:widowControl/>
              <w:spacing w:line="240" w:lineRule="exact"/>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highlight w:val="none"/>
                <w:lang w:val="en-US" w:eastAsia="zh-CN"/>
              </w:rPr>
              <w:t>≥5万元</w:t>
            </w:r>
          </w:p>
        </w:tc>
        <w:tc>
          <w:tcPr>
            <w:tcW w:w="1264" w:type="dxa"/>
            <w:noWrap w:val="0"/>
            <w:vAlign w:val="center"/>
          </w:tcPr>
          <w:p w14:paraId="1BBE7BC4">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已超额完成</w:t>
            </w:r>
          </w:p>
        </w:tc>
        <w:tc>
          <w:tcPr>
            <w:tcW w:w="714" w:type="dxa"/>
            <w:noWrap w:val="0"/>
            <w:vAlign w:val="center"/>
          </w:tcPr>
          <w:p w14:paraId="1EF8F486">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5118E2C1">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021856D6">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14:paraId="2B2B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1F887688">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58259DBB">
            <w:pPr>
              <w:spacing w:line="240" w:lineRule="exact"/>
              <w:jc w:val="left"/>
              <w:rPr>
                <w:rFonts w:hint="eastAsia" w:ascii="仿宋_GB2312" w:hAnsi="仿宋_GB2312" w:eastAsia="仿宋_GB2312" w:cs="仿宋_GB2312"/>
                <w:color w:val="000000"/>
                <w:sz w:val="20"/>
                <w:szCs w:val="20"/>
                <w:highlight w:val="none"/>
              </w:rPr>
            </w:pPr>
          </w:p>
        </w:tc>
        <w:tc>
          <w:tcPr>
            <w:tcW w:w="1028" w:type="dxa"/>
            <w:vMerge w:val="continue"/>
            <w:noWrap w:val="0"/>
            <w:vAlign w:val="center"/>
          </w:tcPr>
          <w:p w14:paraId="02A88B71">
            <w:pPr>
              <w:spacing w:line="240" w:lineRule="exact"/>
              <w:jc w:val="center"/>
              <w:rPr>
                <w:rFonts w:hint="eastAsia" w:ascii="仿宋_GB2312" w:hAnsi="仿宋_GB2312" w:eastAsia="仿宋_GB2312" w:cs="仿宋_GB2312"/>
                <w:color w:val="000000"/>
                <w:sz w:val="20"/>
                <w:szCs w:val="20"/>
                <w:highlight w:val="none"/>
              </w:rPr>
            </w:pPr>
          </w:p>
        </w:tc>
        <w:tc>
          <w:tcPr>
            <w:tcW w:w="1265" w:type="dxa"/>
            <w:noWrap w:val="0"/>
            <w:vAlign w:val="center"/>
          </w:tcPr>
          <w:p w14:paraId="34FFE036">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计划查处环境违法案件</w:t>
            </w:r>
          </w:p>
        </w:tc>
        <w:tc>
          <w:tcPr>
            <w:tcW w:w="1306" w:type="dxa"/>
            <w:noWrap w:val="0"/>
            <w:vAlign w:val="center"/>
          </w:tcPr>
          <w:p w14:paraId="4315B3A5">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highlight w:val="none"/>
                <w:lang w:val="en-US" w:eastAsia="zh-CN"/>
              </w:rPr>
              <w:t>≥10件</w:t>
            </w:r>
          </w:p>
        </w:tc>
        <w:tc>
          <w:tcPr>
            <w:tcW w:w="1264" w:type="dxa"/>
            <w:noWrap w:val="0"/>
            <w:vAlign w:val="center"/>
          </w:tcPr>
          <w:p w14:paraId="119382D8">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已全部达标</w:t>
            </w:r>
          </w:p>
        </w:tc>
        <w:tc>
          <w:tcPr>
            <w:tcW w:w="714" w:type="dxa"/>
            <w:noWrap w:val="0"/>
            <w:vAlign w:val="center"/>
          </w:tcPr>
          <w:p w14:paraId="1857E498">
            <w:pPr>
              <w:widowControl/>
              <w:spacing w:line="240" w:lineRule="exact"/>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6BB9A55A">
            <w:pPr>
              <w:widowControl/>
              <w:spacing w:line="240" w:lineRule="exact"/>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5</w:t>
            </w:r>
          </w:p>
        </w:tc>
        <w:tc>
          <w:tcPr>
            <w:tcW w:w="1436" w:type="dxa"/>
            <w:noWrap w:val="0"/>
            <w:vAlign w:val="center"/>
          </w:tcPr>
          <w:p w14:paraId="0ABE702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FC3A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72F29F7F">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09F95FE2">
            <w:pPr>
              <w:spacing w:line="240" w:lineRule="exact"/>
              <w:jc w:val="left"/>
              <w:rPr>
                <w:rFonts w:hint="eastAsia" w:ascii="仿宋_GB2312" w:hAnsi="仿宋_GB2312" w:eastAsia="仿宋_GB2312" w:cs="仿宋_GB2312"/>
                <w:color w:val="000000"/>
                <w:sz w:val="20"/>
                <w:szCs w:val="20"/>
                <w:highlight w:val="none"/>
              </w:rPr>
            </w:pPr>
          </w:p>
        </w:tc>
        <w:tc>
          <w:tcPr>
            <w:tcW w:w="1028" w:type="dxa"/>
            <w:vMerge w:val="restart"/>
            <w:noWrap w:val="0"/>
            <w:vAlign w:val="center"/>
          </w:tcPr>
          <w:p w14:paraId="6D50794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65" w:type="dxa"/>
            <w:noWrap w:val="0"/>
            <w:vAlign w:val="center"/>
          </w:tcPr>
          <w:p w14:paraId="26C1A8F8">
            <w:pPr>
              <w:widowControl/>
              <w:spacing w:line="240" w:lineRule="exact"/>
              <w:jc w:val="both"/>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信访投诉处理率</w:t>
            </w:r>
          </w:p>
        </w:tc>
        <w:tc>
          <w:tcPr>
            <w:tcW w:w="1306" w:type="dxa"/>
            <w:noWrap w:val="0"/>
            <w:vAlign w:val="center"/>
          </w:tcPr>
          <w:p w14:paraId="19A4EC1A">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100%</w:t>
            </w:r>
          </w:p>
        </w:tc>
        <w:tc>
          <w:tcPr>
            <w:tcW w:w="1264" w:type="dxa"/>
            <w:noWrap w:val="0"/>
            <w:vAlign w:val="center"/>
          </w:tcPr>
          <w:p w14:paraId="2F576CDD">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100%</w:t>
            </w:r>
          </w:p>
        </w:tc>
        <w:tc>
          <w:tcPr>
            <w:tcW w:w="714" w:type="dxa"/>
            <w:noWrap w:val="0"/>
            <w:vAlign w:val="center"/>
          </w:tcPr>
          <w:p w14:paraId="0561AC34">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048C0100">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4</w:t>
            </w:r>
          </w:p>
        </w:tc>
        <w:tc>
          <w:tcPr>
            <w:tcW w:w="1436" w:type="dxa"/>
            <w:noWrap w:val="0"/>
            <w:vAlign w:val="center"/>
          </w:tcPr>
          <w:p w14:paraId="71D95EE4">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18"/>
                <w:szCs w:val="18"/>
                <w:highlight w:val="none"/>
              </w:rPr>
              <w:t>中央环保督察组交办的信访问题8件</w:t>
            </w:r>
            <w:r>
              <w:rPr>
                <w:rFonts w:hint="eastAsia" w:ascii="仿宋_GB2312" w:hAnsi="仿宋_GB2312" w:eastAsia="仿宋_GB2312" w:cs="仿宋_GB2312"/>
                <w:color w:val="000000"/>
                <w:sz w:val="18"/>
                <w:szCs w:val="18"/>
                <w:highlight w:val="none"/>
                <w:lang w:val="en-US" w:eastAsia="zh-CN"/>
              </w:rPr>
              <w:t>,</w:t>
            </w:r>
            <w:r>
              <w:rPr>
                <w:rFonts w:hint="eastAsia" w:ascii="仿宋_GB2312" w:hAnsi="仿宋_GB2312" w:eastAsia="仿宋_GB2312" w:cs="仿宋_GB2312"/>
                <w:color w:val="000000"/>
                <w:sz w:val="18"/>
                <w:szCs w:val="18"/>
                <w:highlight w:val="none"/>
              </w:rPr>
              <w:t>已办结6件</w:t>
            </w:r>
            <w:r>
              <w:rPr>
                <w:rFonts w:hint="eastAsia" w:ascii="仿宋_GB2312" w:hAnsi="仿宋_GB2312" w:eastAsia="仿宋_GB2312" w:cs="仿宋_GB2312"/>
                <w:color w:val="000000"/>
                <w:sz w:val="18"/>
                <w:szCs w:val="18"/>
                <w:highlight w:val="none"/>
                <w:lang w:eastAsia="zh-CN"/>
              </w:rPr>
              <w:t>。</w:t>
            </w:r>
          </w:p>
        </w:tc>
      </w:tr>
      <w:tr w14:paraId="3863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48582DFD">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7C40ACDC">
            <w:pPr>
              <w:spacing w:line="240" w:lineRule="exact"/>
              <w:jc w:val="left"/>
              <w:rPr>
                <w:rFonts w:hint="eastAsia" w:ascii="仿宋_GB2312" w:hAnsi="仿宋_GB2312" w:eastAsia="仿宋_GB2312" w:cs="仿宋_GB2312"/>
                <w:color w:val="000000"/>
                <w:sz w:val="20"/>
                <w:szCs w:val="20"/>
                <w:highlight w:val="none"/>
              </w:rPr>
            </w:pPr>
          </w:p>
        </w:tc>
        <w:tc>
          <w:tcPr>
            <w:tcW w:w="1028" w:type="dxa"/>
            <w:vMerge w:val="continue"/>
            <w:noWrap w:val="0"/>
            <w:vAlign w:val="center"/>
          </w:tcPr>
          <w:p w14:paraId="0A2DDF55">
            <w:pPr>
              <w:widowControl/>
              <w:spacing w:line="240" w:lineRule="exact"/>
              <w:jc w:val="center"/>
              <w:rPr>
                <w:rFonts w:hint="eastAsia" w:ascii="仿宋_GB2312" w:hAnsi="仿宋_GB2312" w:eastAsia="仿宋_GB2312" w:cs="仿宋_GB2312"/>
                <w:color w:val="000000"/>
                <w:sz w:val="20"/>
                <w:szCs w:val="20"/>
                <w:highlight w:val="none"/>
              </w:rPr>
            </w:pPr>
          </w:p>
        </w:tc>
        <w:tc>
          <w:tcPr>
            <w:tcW w:w="1265" w:type="dxa"/>
            <w:noWrap w:val="0"/>
            <w:vAlign w:val="center"/>
          </w:tcPr>
          <w:p w14:paraId="48CCA7AB">
            <w:pPr>
              <w:widowControl/>
              <w:spacing w:line="240" w:lineRule="exact"/>
              <w:jc w:val="both"/>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无较大污染事件发生</w:t>
            </w:r>
          </w:p>
        </w:tc>
        <w:tc>
          <w:tcPr>
            <w:tcW w:w="1306" w:type="dxa"/>
            <w:noWrap w:val="0"/>
            <w:vAlign w:val="center"/>
          </w:tcPr>
          <w:p w14:paraId="60A48E95">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争取0发生</w:t>
            </w:r>
          </w:p>
        </w:tc>
        <w:tc>
          <w:tcPr>
            <w:tcW w:w="1264" w:type="dxa"/>
            <w:noWrap w:val="0"/>
            <w:vAlign w:val="center"/>
          </w:tcPr>
          <w:p w14:paraId="0C8651DD">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0发生</w:t>
            </w:r>
          </w:p>
        </w:tc>
        <w:tc>
          <w:tcPr>
            <w:tcW w:w="714" w:type="dxa"/>
            <w:noWrap w:val="0"/>
            <w:vAlign w:val="center"/>
          </w:tcPr>
          <w:p w14:paraId="3872B0A7">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11951424">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551F6B2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3BD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091ECB30">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70F186F1">
            <w:pPr>
              <w:spacing w:line="240" w:lineRule="exact"/>
              <w:jc w:val="left"/>
              <w:rPr>
                <w:rFonts w:hint="eastAsia" w:ascii="仿宋_GB2312" w:hAnsi="仿宋_GB2312" w:eastAsia="仿宋_GB2312" w:cs="仿宋_GB2312"/>
                <w:color w:val="000000"/>
                <w:sz w:val="20"/>
                <w:szCs w:val="20"/>
                <w:highlight w:val="none"/>
              </w:rPr>
            </w:pPr>
          </w:p>
        </w:tc>
        <w:tc>
          <w:tcPr>
            <w:tcW w:w="1028" w:type="dxa"/>
            <w:vMerge w:val="continue"/>
            <w:noWrap w:val="0"/>
            <w:vAlign w:val="center"/>
          </w:tcPr>
          <w:p w14:paraId="7D991BF0">
            <w:pPr>
              <w:widowControl/>
              <w:spacing w:line="240" w:lineRule="exact"/>
              <w:jc w:val="center"/>
              <w:rPr>
                <w:rFonts w:hint="eastAsia" w:ascii="仿宋_GB2312" w:hAnsi="仿宋_GB2312" w:eastAsia="仿宋_GB2312" w:cs="仿宋_GB2312"/>
                <w:color w:val="000000"/>
                <w:sz w:val="20"/>
                <w:szCs w:val="20"/>
                <w:highlight w:val="none"/>
              </w:rPr>
            </w:pPr>
          </w:p>
        </w:tc>
        <w:tc>
          <w:tcPr>
            <w:tcW w:w="1265" w:type="dxa"/>
            <w:noWrap w:val="0"/>
            <w:vAlign w:val="center"/>
          </w:tcPr>
          <w:p w14:paraId="12EC325F">
            <w:pPr>
              <w:widowControl/>
              <w:spacing w:line="240" w:lineRule="exact"/>
              <w:jc w:val="both"/>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空气环境质量达标</w:t>
            </w:r>
          </w:p>
        </w:tc>
        <w:tc>
          <w:tcPr>
            <w:tcW w:w="1306" w:type="dxa"/>
            <w:noWrap w:val="0"/>
            <w:vAlign w:val="center"/>
          </w:tcPr>
          <w:p w14:paraId="6403CB59">
            <w:pPr>
              <w:widowControl/>
              <w:spacing w:line="240" w:lineRule="exact"/>
              <w:jc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2级</w:t>
            </w:r>
          </w:p>
        </w:tc>
        <w:tc>
          <w:tcPr>
            <w:tcW w:w="1264" w:type="dxa"/>
            <w:noWrap w:val="0"/>
            <w:vAlign w:val="center"/>
          </w:tcPr>
          <w:p w14:paraId="5677E1B5">
            <w:pPr>
              <w:widowControl/>
              <w:spacing w:line="240" w:lineRule="exact"/>
              <w:jc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sz w:val="20"/>
                <w:szCs w:val="20"/>
                <w:lang w:val="en-US" w:eastAsia="zh-CN"/>
              </w:rPr>
              <w:t>达标</w:t>
            </w:r>
          </w:p>
        </w:tc>
        <w:tc>
          <w:tcPr>
            <w:tcW w:w="714" w:type="dxa"/>
            <w:noWrap w:val="0"/>
            <w:vAlign w:val="center"/>
          </w:tcPr>
          <w:p w14:paraId="05F000C1">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370A0360">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3119C3AD">
            <w:pPr>
              <w:widowControl/>
              <w:spacing w:line="240" w:lineRule="exact"/>
              <w:jc w:val="left"/>
              <w:rPr>
                <w:rFonts w:hint="eastAsia" w:ascii="仿宋_GB2312" w:hAnsi="仿宋_GB2312" w:eastAsia="仿宋_GB2312" w:cs="仿宋_GB2312"/>
                <w:color w:val="000000"/>
                <w:sz w:val="20"/>
                <w:szCs w:val="20"/>
                <w:highlight w:val="none"/>
              </w:rPr>
            </w:pPr>
          </w:p>
        </w:tc>
      </w:tr>
      <w:tr w14:paraId="5510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7930B203">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398ACA18">
            <w:pPr>
              <w:spacing w:line="240" w:lineRule="exact"/>
              <w:jc w:val="left"/>
              <w:rPr>
                <w:rFonts w:hint="eastAsia" w:ascii="仿宋_GB2312" w:hAnsi="仿宋_GB2312" w:eastAsia="仿宋_GB2312" w:cs="仿宋_GB2312"/>
                <w:color w:val="000000"/>
                <w:sz w:val="20"/>
                <w:szCs w:val="20"/>
                <w:highlight w:val="none"/>
              </w:rPr>
            </w:pPr>
          </w:p>
        </w:tc>
        <w:tc>
          <w:tcPr>
            <w:tcW w:w="1028" w:type="dxa"/>
            <w:vMerge w:val="continue"/>
            <w:noWrap w:val="0"/>
            <w:vAlign w:val="center"/>
          </w:tcPr>
          <w:p w14:paraId="6AB44811">
            <w:pPr>
              <w:widowControl/>
              <w:spacing w:line="240" w:lineRule="exact"/>
              <w:jc w:val="center"/>
              <w:rPr>
                <w:rFonts w:hint="eastAsia" w:ascii="仿宋_GB2312" w:hAnsi="仿宋_GB2312" w:eastAsia="仿宋_GB2312" w:cs="仿宋_GB2312"/>
                <w:color w:val="000000"/>
                <w:sz w:val="20"/>
                <w:szCs w:val="20"/>
                <w:highlight w:val="none"/>
              </w:rPr>
            </w:pPr>
          </w:p>
        </w:tc>
        <w:tc>
          <w:tcPr>
            <w:tcW w:w="1265" w:type="dxa"/>
            <w:noWrap w:val="0"/>
            <w:vAlign w:val="center"/>
          </w:tcPr>
          <w:p w14:paraId="692D4DE7">
            <w:pPr>
              <w:widowControl/>
              <w:spacing w:line="240" w:lineRule="exact"/>
              <w:jc w:val="both"/>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水环境质量达标</w:t>
            </w:r>
          </w:p>
        </w:tc>
        <w:tc>
          <w:tcPr>
            <w:tcW w:w="1306" w:type="dxa"/>
            <w:noWrap w:val="0"/>
            <w:vAlign w:val="center"/>
          </w:tcPr>
          <w:p w14:paraId="1BB13C03">
            <w:pPr>
              <w:widowControl/>
              <w:spacing w:line="240" w:lineRule="exact"/>
              <w:jc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3类</w:t>
            </w:r>
          </w:p>
        </w:tc>
        <w:tc>
          <w:tcPr>
            <w:tcW w:w="1264" w:type="dxa"/>
            <w:noWrap w:val="0"/>
            <w:vAlign w:val="center"/>
          </w:tcPr>
          <w:p w14:paraId="5677C65D">
            <w:pPr>
              <w:widowControl/>
              <w:spacing w:line="240" w:lineRule="exact"/>
              <w:jc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sz w:val="20"/>
                <w:szCs w:val="20"/>
                <w:lang w:val="en-US" w:eastAsia="zh-CN"/>
              </w:rPr>
              <w:t>达标</w:t>
            </w:r>
          </w:p>
        </w:tc>
        <w:tc>
          <w:tcPr>
            <w:tcW w:w="714" w:type="dxa"/>
            <w:noWrap w:val="0"/>
            <w:vAlign w:val="center"/>
          </w:tcPr>
          <w:p w14:paraId="6A8FA569">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6E5AB816">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28C6A0F2">
            <w:pPr>
              <w:widowControl/>
              <w:spacing w:line="240" w:lineRule="exact"/>
              <w:jc w:val="left"/>
              <w:rPr>
                <w:rFonts w:hint="eastAsia" w:ascii="仿宋_GB2312" w:hAnsi="仿宋_GB2312" w:eastAsia="仿宋_GB2312" w:cs="仿宋_GB2312"/>
                <w:color w:val="000000"/>
                <w:sz w:val="20"/>
                <w:szCs w:val="20"/>
                <w:highlight w:val="none"/>
              </w:rPr>
            </w:pPr>
          </w:p>
        </w:tc>
      </w:tr>
      <w:tr w14:paraId="2280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42459B09">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351D4987">
            <w:pPr>
              <w:spacing w:line="240" w:lineRule="exact"/>
              <w:jc w:val="left"/>
              <w:rPr>
                <w:rFonts w:hint="eastAsia" w:ascii="仿宋_GB2312" w:hAnsi="仿宋_GB2312" w:eastAsia="仿宋_GB2312" w:cs="仿宋_GB2312"/>
                <w:color w:val="000000"/>
                <w:sz w:val="20"/>
                <w:szCs w:val="20"/>
                <w:highlight w:val="none"/>
              </w:rPr>
            </w:pPr>
          </w:p>
        </w:tc>
        <w:tc>
          <w:tcPr>
            <w:tcW w:w="1028" w:type="dxa"/>
            <w:vMerge w:val="restart"/>
            <w:noWrap w:val="0"/>
            <w:vAlign w:val="center"/>
          </w:tcPr>
          <w:p w14:paraId="7A13998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65" w:type="dxa"/>
            <w:noWrap w:val="0"/>
            <w:vAlign w:val="center"/>
          </w:tcPr>
          <w:p w14:paraId="01CAFAD5">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按时完成各项指标任务</w:t>
            </w:r>
          </w:p>
        </w:tc>
        <w:tc>
          <w:tcPr>
            <w:tcW w:w="1306" w:type="dxa"/>
            <w:noWrap w:val="0"/>
            <w:vAlign w:val="center"/>
          </w:tcPr>
          <w:p w14:paraId="5DAAE383">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2024年12月31日</w:t>
            </w:r>
          </w:p>
        </w:tc>
        <w:tc>
          <w:tcPr>
            <w:tcW w:w="1264" w:type="dxa"/>
            <w:noWrap w:val="0"/>
            <w:vAlign w:val="center"/>
          </w:tcPr>
          <w:p w14:paraId="4C2D9A61">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2024年12月31日</w:t>
            </w:r>
          </w:p>
        </w:tc>
        <w:tc>
          <w:tcPr>
            <w:tcW w:w="714" w:type="dxa"/>
            <w:noWrap w:val="0"/>
            <w:vAlign w:val="center"/>
          </w:tcPr>
          <w:p w14:paraId="78E86C31">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5E79598A">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63D3D1A6">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14:paraId="2DC60859">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14:paraId="527E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6F3ADB95">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703B807D">
            <w:pPr>
              <w:spacing w:line="240" w:lineRule="exact"/>
              <w:jc w:val="left"/>
              <w:rPr>
                <w:rFonts w:hint="eastAsia" w:ascii="仿宋_GB2312" w:hAnsi="仿宋_GB2312" w:eastAsia="仿宋_GB2312" w:cs="仿宋_GB2312"/>
                <w:color w:val="000000"/>
                <w:sz w:val="20"/>
                <w:szCs w:val="20"/>
                <w:highlight w:val="none"/>
              </w:rPr>
            </w:pPr>
          </w:p>
        </w:tc>
        <w:tc>
          <w:tcPr>
            <w:tcW w:w="1028" w:type="dxa"/>
            <w:vMerge w:val="continue"/>
            <w:noWrap w:val="0"/>
            <w:vAlign w:val="center"/>
          </w:tcPr>
          <w:p w14:paraId="3F8A3ED3">
            <w:pPr>
              <w:widowControl/>
              <w:spacing w:line="240" w:lineRule="exact"/>
              <w:jc w:val="center"/>
              <w:rPr>
                <w:rFonts w:hint="eastAsia" w:ascii="仿宋_GB2312" w:hAnsi="仿宋_GB2312" w:eastAsia="仿宋_GB2312" w:cs="仿宋_GB2312"/>
                <w:color w:val="000000"/>
                <w:sz w:val="20"/>
                <w:szCs w:val="20"/>
                <w:highlight w:val="none"/>
              </w:rPr>
            </w:pPr>
          </w:p>
        </w:tc>
        <w:tc>
          <w:tcPr>
            <w:tcW w:w="1265" w:type="dxa"/>
            <w:noWrap w:val="0"/>
            <w:vAlign w:val="center"/>
          </w:tcPr>
          <w:p w14:paraId="69D6342F">
            <w:pPr>
              <w:widowControl/>
              <w:spacing w:line="240" w:lineRule="exact"/>
              <w:jc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突发任务及时处理</w:t>
            </w:r>
          </w:p>
        </w:tc>
        <w:tc>
          <w:tcPr>
            <w:tcW w:w="1306" w:type="dxa"/>
            <w:noWrap w:val="0"/>
            <w:vAlign w:val="center"/>
          </w:tcPr>
          <w:p w14:paraId="5E992F28">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即时</w:t>
            </w:r>
          </w:p>
        </w:tc>
        <w:tc>
          <w:tcPr>
            <w:tcW w:w="1264" w:type="dxa"/>
            <w:noWrap w:val="0"/>
            <w:vAlign w:val="center"/>
          </w:tcPr>
          <w:p w14:paraId="0B2227DE">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即时</w:t>
            </w:r>
          </w:p>
        </w:tc>
        <w:tc>
          <w:tcPr>
            <w:tcW w:w="714" w:type="dxa"/>
            <w:noWrap w:val="0"/>
            <w:vAlign w:val="center"/>
          </w:tcPr>
          <w:p w14:paraId="19BA6E9F">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3EF56485">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1A288D32">
            <w:pPr>
              <w:widowControl/>
              <w:spacing w:line="240" w:lineRule="exact"/>
              <w:jc w:val="left"/>
              <w:rPr>
                <w:rFonts w:hint="eastAsia" w:ascii="仿宋_GB2312" w:hAnsi="仿宋_GB2312" w:eastAsia="仿宋_GB2312" w:cs="仿宋_GB2312"/>
                <w:color w:val="000000"/>
                <w:sz w:val="20"/>
                <w:szCs w:val="20"/>
              </w:rPr>
            </w:pPr>
          </w:p>
        </w:tc>
      </w:tr>
      <w:tr w14:paraId="0F55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4D181C19">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5CE58CD2">
            <w:pPr>
              <w:spacing w:line="240" w:lineRule="exact"/>
              <w:jc w:val="left"/>
              <w:rPr>
                <w:rFonts w:hint="eastAsia" w:ascii="仿宋_GB2312" w:hAnsi="仿宋_GB2312" w:eastAsia="仿宋_GB2312" w:cs="仿宋_GB2312"/>
                <w:color w:val="000000"/>
                <w:sz w:val="20"/>
                <w:szCs w:val="20"/>
                <w:highlight w:val="none"/>
              </w:rPr>
            </w:pPr>
          </w:p>
        </w:tc>
        <w:tc>
          <w:tcPr>
            <w:tcW w:w="1028" w:type="dxa"/>
            <w:noWrap w:val="0"/>
            <w:vAlign w:val="center"/>
          </w:tcPr>
          <w:p w14:paraId="527188F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65" w:type="dxa"/>
            <w:noWrap w:val="0"/>
            <w:vAlign w:val="center"/>
          </w:tcPr>
          <w:p w14:paraId="7E0A5CD5">
            <w:pPr>
              <w:widowControl/>
              <w:spacing w:line="240" w:lineRule="exact"/>
              <w:jc w:val="both"/>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所有的支出控制在预算内</w:t>
            </w:r>
          </w:p>
        </w:tc>
        <w:tc>
          <w:tcPr>
            <w:tcW w:w="1306" w:type="dxa"/>
            <w:noWrap w:val="0"/>
            <w:vAlign w:val="center"/>
          </w:tcPr>
          <w:p w14:paraId="0E3EFEE3">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sz w:val="20"/>
                <w:szCs w:val="20"/>
                <w:highlight w:val="none"/>
                <w:lang w:val="en-US" w:eastAsia="zh-CN"/>
              </w:rPr>
              <w:t>324.52</w:t>
            </w:r>
            <w:r>
              <w:rPr>
                <w:rFonts w:hint="eastAsia" w:ascii="仿宋_GB2312" w:hAnsi="仿宋_GB2312" w:eastAsia="仿宋_GB2312" w:cs="仿宋_GB2312"/>
                <w:color w:val="000000"/>
                <w:sz w:val="20"/>
                <w:szCs w:val="20"/>
                <w:lang w:val="en-US" w:eastAsia="zh-CN"/>
              </w:rPr>
              <w:t>万元</w:t>
            </w:r>
          </w:p>
        </w:tc>
        <w:tc>
          <w:tcPr>
            <w:tcW w:w="1264" w:type="dxa"/>
            <w:noWrap w:val="0"/>
            <w:vAlign w:val="center"/>
          </w:tcPr>
          <w:p w14:paraId="242FB499">
            <w:pPr>
              <w:widowControl/>
              <w:spacing w:line="240" w:lineRule="exact"/>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289.05万元</w:t>
            </w:r>
          </w:p>
        </w:tc>
        <w:tc>
          <w:tcPr>
            <w:tcW w:w="714" w:type="dxa"/>
            <w:noWrap w:val="0"/>
            <w:vAlign w:val="center"/>
          </w:tcPr>
          <w:p w14:paraId="5BCBE402">
            <w:pPr>
              <w:widowControl/>
              <w:spacing w:line="240" w:lineRule="exact"/>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916" w:type="dxa"/>
            <w:noWrap w:val="0"/>
            <w:vAlign w:val="center"/>
          </w:tcPr>
          <w:p w14:paraId="2766614D">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36" w:type="dxa"/>
            <w:noWrap w:val="0"/>
            <w:vAlign w:val="center"/>
          </w:tcPr>
          <w:p w14:paraId="6E098A2D">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14:paraId="4797C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1A27F422">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restart"/>
            <w:noWrap w:val="0"/>
            <w:vAlign w:val="center"/>
          </w:tcPr>
          <w:p w14:paraId="65D926F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7810B73E">
            <w:pPr>
              <w:widowControl/>
              <w:spacing w:line="240" w:lineRule="exact"/>
              <w:jc w:val="left"/>
              <w:rPr>
                <w:rFonts w:hint="eastAsia" w:ascii="仿宋_GB2312" w:hAnsi="仿宋_GB2312" w:eastAsia="仿宋_GB2312" w:cs="仿宋_GB2312"/>
                <w:color w:val="000000"/>
                <w:sz w:val="20"/>
                <w:szCs w:val="20"/>
                <w:highlight w:val="none"/>
              </w:rPr>
            </w:pPr>
          </w:p>
          <w:p w14:paraId="79BD2F1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3E70D8B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8" w:type="dxa"/>
            <w:noWrap w:val="0"/>
            <w:vAlign w:val="center"/>
          </w:tcPr>
          <w:p w14:paraId="22917E0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5F2B2CE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65" w:type="dxa"/>
            <w:noWrap w:val="0"/>
            <w:vAlign w:val="center"/>
          </w:tcPr>
          <w:p w14:paraId="619361F2">
            <w:pPr>
              <w:widowControl/>
              <w:spacing w:line="240" w:lineRule="exact"/>
              <w:jc w:val="both"/>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实现节能减排，减少环保治理经费</w:t>
            </w:r>
          </w:p>
        </w:tc>
        <w:tc>
          <w:tcPr>
            <w:tcW w:w="1306" w:type="dxa"/>
            <w:noWrap w:val="0"/>
            <w:vAlign w:val="center"/>
          </w:tcPr>
          <w:p w14:paraId="547A4ADD">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经济效益较好</w:t>
            </w:r>
          </w:p>
        </w:tc>
        <w:tc>
          <w:tcPr>
            <w:tcW w:w="1264" w:type="dxa"/>
            <w:noWrap w:val="0"/>
            <w:vAlign w:val="center"/>
          </w:tcPr>
          <w:p w14:paraId="7A1D3F29">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经济效益较好</w:t>
            </w:r>
          </w:p>
        </w:tc>
        <w:tc>
          <w:tcPr>
            <w:tcW w:w="714" w:type="dxa"/>
            <w:noWrap w:val="0"/>
            <w:vAlign w:val="center"/>
          </w:tcPr>
          <w:p w14:paraId="1261961F">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239A7F41">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380DBAD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9D82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6C4AA505">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196727DD">
            <w:pPr>
              <w:spacing w:line="240" w:lineRule="exact"/>
              <w:jc w:val="left"/>
              <w:rPr>
                <w:rFonts w:hint="eastAsia" w:ascii="仿宋_GB2312" w:hAnsi="仿宋_GB2312" w:eastAsia="仿宋_GB2312" w:cs="仿宋_GB2312"/>
                <w:color w:val="000000"/>
                <w:sz w:val="20"/>
                <w:szCs w:val="20"/>
                <w:highlight w:val="none"/>
              </w:rPr>
            </w:pPr>
          </w:p>
        </w:tc>
        <w:tc>
          <w:tcPr>
            <w:tcW w:w="1028" w:type="dxa"/>
            <w:noWrap w:val="0"/>
            <w:vAlign w:val="center"/>
          </w:tcPr>
          <w:p w14:paraId="510874D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2F1C86A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65" w:type="dxa"/>
            <w:noWrap w:val="0"/>
            <w:vAlign w:val="center"/>
          </w:tcPr>
          <w:p w14:paraId="3153BB0A">
            <w:pPr>
              <w:widowControl/>
              <w:spacing w:line="240" w:lineRule="exact"/>
              <w:jc w:val="both"/>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改善辖区环境质量及群众生产生活环境</w:t>
            </w:r>
          </w:p>
        </w:tc>
        <w:tc>
          <w:tcPr>
            <w:tcW w:w="1306" w:type="dxa"/>
            <w:noWrap w:val="0"/>
            <w:vAlign w:val="center"/>
          </w:tcPr>
          <w:p w14:paraId="4E8F6777">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社会效益好</w:t>
            </w:r>
          </w:p>
        </w:tc>
        <w:tc>
          <w:tcPr>
            <w:tcW w:w="1264" w:type="dxa"/>
            <w:noWrap w:val="0"/>
            <w:vAlign w:val="center"/>
          </w:tcPr>
          <w:p w14:paraId="79C35065">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社会效益好</w:t>
            </w:r>
          </w:p>
        </w:tc>
        <w:tc>
          <w:tcPr>
            <w:tcW w:w="714" w:type="dxa"/>
            <w:noWrap w:val="0"/>
            <w:vAlign w:val="center"/>
          </w:tcPr>
          <w:p w14:paraId="764F7200">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916" w:type="dxa"/>
            <w:noWrap w:val="0"/>
            <w:vAlign w:val="center"/>
          </w:tcPr>
          <w:p w14:paraId="6628D07A">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36" w:type="dxa"/>
            <w:noWrap w:val="0"/>
            <w:vAlign w:val="center"/>
          </w:tcPr>
          <w:p w14:paraId="0129A50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8AC8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48B06875">
            <w:pPr>
              <w:spacing w:line="240" w:lineRule="exact"/>
              <w:jc w:val="left"/>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20219336">
            <w:pPr>
              <w:spacing w:line="240" w:lineRule="exact"/>
              <w:jc w:val="left"/>
              <w:rPr>
                <w:rFonts w:hint="eastAsia" w:ascii="仿宋_GB2312" w:hAnsi="仿宋_GB2312" w:eastAsia="仿宋_GB2312" w:cs="仿宋_GB2312"/>
                <w:color w:val="000000"/>
                <w:sz w:val="20"/>
                <w:szCs w:val="20"/>
                <w:highlight w:val="none"/>
              </w:rPr>
            </w:pPr>
          </w:p>
        </w:tc>
        <w:tc>
          <w:tcPr>
            <w:tcW w:w="1028" w:type="dxa"/>
            <w:noWrap w:val="0"/>
            <w:vAlign w:val="center"/>
          </w:tcPr>
          <w:p w14:paraId="63920EA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727B00F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65" w:type="dxa"/>
            <w:noWrap w:val="0"/>
            <w:vAlign w:val="center"/>
          </w:tcPr>
          <w:p w14:paraId="0C0C636C">
            <w:pPr>
              <w:widowControl/>
              <w:spacing w:line="240" w:lineRule="exact"/>
              <w:jc w:val="both"/>
              <w:rPr>
                <w:rFonts w:hint="eastAsia" w:ascii="仿宋_GB2312" w:hAnsi="仿宋_GB2312" w:eastAsia="仿宋_GB2312" w:cs="仿宋_GB2312"/>
                <w:color w:val="000000"/>
                <w:kern w:val="0"/>
                <w:sz w:val="20"/>
                <w:szCs w:val="20"/>
                <w:lang w:val="en-US" w:eastAsia="zh-CN" w:bidi="ar-SA"/>
              </w:rPr>
            </w:pPr>
            <w:r>
              <w:rPr>
                <w:rFonts w:hint="eastAsia" w:eastAsia="仿宋_GB2312"/>
                <w:kern w:val="0"/>
                <w:sz w:val="20"/>
                <w:szCs w:val="20"/>
                <w:lang w:eastAsia="zh-CN"/>
              </w:rPr>
              <w:t>治理重点污染城市环境</w:t>
            </w:r>
          </w:p>
        </w:tc>
        <w:tc>
          <w:tcPr>
            <w:tcW w:w="1306" w:type="dxa"/>
            <w:noWrap w:val="0"/>
            <w:vAlign w:val="center"/>
          </w:tcPr>
          <w:p w14:paraId="23144FD8">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eastAsia="仿宋_GB2312"/>
                <w:kern w:val="0"/>
                <w:sz w:val="20"/>
                <w:szCs w:val="20"/>
                <w:lang w:eastAsia="zh-CN"/>
              </w:rPr>
              <w:t>有所改善</w:t>
            </w:r>
          </w:p>
        </w:tc>
        <w:tc>
          <w:tcPr>
            <w:tcW w:w="1264" w:type="dxa"/>
            <w:noWrap w:val="0"/>
            <w:vAlign w:val="center"/>
          </w:tcPr>
          <w:p w14:paraId="25387F66">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eastAsia="仿宋_GB2312"/>
                <w:kern w:val="0"/>
                <w:sz w:val="20"/>
                <w:szCs w:val="20"/>
                <w:lang w:eastAsia="zh-CN"/>
              </w:rPr>
              <w:t>有所改善</w:t>
            </w:r>
          </w:p>
        </w:tc>
        <w:tc>
          <w:tcPr>
            <w:tcW w:w="714" w:type="dxa"/>
            <w:noWrap w:val="0"/>
            <w:vAlign w:val="center"/>
          </w:tcPr>
          <w:p w14:paraId="5EF86624">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12F95EAD">
            <w:pPr>
              <w:widowControl/>
              <w:spacing w:line="240" w:lineRule="exact"/>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5</w:t>
            </w:r>
          </w:p>
        </w:tc>
        <w:tc>
          <w:tcPr>
            <w:tcW w:w="1436" w:type="dxa"/>
            <w:noWrap w:val="0"/>
            <w:vAlign w:val="center"/>
          </w:tcPr>
          <w:p w14:paraId="30981451">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14:paraId="5DD5E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75" w:type="dxa"/>
            <w:vMerge w:val="continue"/>
            <w:noWrap w:val="0"/>
            <w:vAlign w:val="center"/>
          </w:tcPr>
          <w:p w14:paraId="765145E4">
            <w:pPr>
              <w:widowControl/>
              <w:spacing w:line="240" w:lineRule="exact"/>
              <w:jc w:val="center"/>
              <w:rPr>
                <w:rFonts w:hint="eastAsia" w:ascii="仿宋_GB2312" w:hAnsi="仿宋_GB2312" w:eastAsia="仿宋_GB2312" w:cs="仿宋_GB2312"/>
                <w:color w:val="000000"/>
                <w:sz w:val="20"/>
                <w:szCs w:val="20"/>
                <w:highlight w:val="none"/>
              </w:rPr>
            </w:pPr>
          </w:p>
        </w:tc>
        <w:tc>
          <w:tcPr>
            <w:tcW w:w="1075" w:type="dxa"/>
            <w:vMerge w:val="continue"/>
            <w:noWrap w:val="0"/>
            <w:vAlign w:val="center"/>
          </w:tcPr>
          <w:p w14:paraId="23BF5BD8">
            <w:pPr>
              <w:widowControl/>
              <w:spacing w:line="240" w:lineRule="exact"/>
              <w:jc w:val="left"/>
              <w:rPr>
                <w:rFonts w:hint="eastAsia" w:ascii="仿宋_GB2312" w:hAnsi="仿宋_GB2312" w:eastAsia="仿宋_GB2312" w:cs="仿宋_GB2312"/>
                <w:color w:val="000000"/>
                <w:sz w:val="20"/>
                <w:szCs w:val="20"/>
                <w:highlight w:val="none"/>
              </w:rPr>
            </w:pPr>
          </w:p>
        </w:tc>
        <w:tc>
          <w:tcPr>
            <w:tcW w:w="1028" w:type="dxa"/>
            <w:noWrap w:val="0"/>
            <w:vAlign w:val="center"/>
          </w:tcPr>
          <w:p w14:paraId="4833BF6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65" w:type="dxa"/>
            <w:noWrap w:val="0"/>
            <w:vAlign w:val="center"/>
          </w:tcPr>
          <w:p w14:paraId="669E8AA5">
            <w:pPr>
              <w:widowControl/>
              <w:spacing w:line="240" w:lineRule="exact"/>
              <w:jc w:val="both"/>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1306" w:type="dxa"/>
            <w:noWrap w:val="0"/>
            <w:vAlign w:val="center"/>
          </w:tcPr>
          <w:p w14:paraId="2ADAE031">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有可持续影响</w:t>
            </w:r>
          </w:p>
        </w:tc>
        <w:tc>
          <w:tcPr>
            <w:tcW w:w="1264" w:type="dxa"/>
            <w:noWrap w:val="0"/>
            <w:vAlign w:val="center"/>
          </w:tcPr>
          <w:p w14:paraId="218CD87E">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714" w:type="dxa"/>
            <w:noWrap w:val="0"/>
            <w:vAlign w:val="center"/>
          </w:tcPr>
          <w:p w14:paraId="66C7CE92">
            <w:pPr>
              <w:widowControl/>
              <w:spacing w:line="240" w:lineRule="exact"/>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916" w:type="dxa"/>
            <w:noWrap w:val="0"/>
            <w:vAlign w:val="center"/>
          </w:tcPr>
          <w:p w14:paraId="66D04A80">
            <w:pPr>
              <w:widowControl/>
              <w:spacing w:line="240" w:lineRule="exact"/>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36" w:type="dxa"/>
            <w:noWrap w:val="0"/>
            <w:vAlign w:val="center"/>
          </w:tcPr>
          <w:p w14:paraId="091ACB4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AF4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75" w:type="dxa"/>
            <w:vMerge w:val="continue"/>
            <w:noWrap w:val="0"/>
            <w:vAlign w:val="center"/>
          </w:tcPr>
          <w:p w14:paraId="3E25F0C9">
            <w:pPr>
              <w:spacing w:line="240" w:lineRule="exact"/>
              <w:jc w:val="left"/>
              <w:rPr>
                <w:rFonts w:hint="eastAsia" w:ascii="仿宋_GB2312" w:hAnsi="仿宋_GB2312" w:eastAsia="仿宋_GB2312" w:cs="仿宋_GB2312"/>
                <w:color w:val="000000"/>
                <w:sz w:val="20"/>
                <w:szCs w:val="20"/>
                <w:highlight w:val="none"/>
              </w:rPr>
            </w:pPr>
          </w:p>
        </w:tc>
        <w:tc>
          <w:tcPr>
            <w:tcW w:w="1075" w:type="dxa"/>
            <w:noWrap w:val="0"/>
            <w:vAlign w:val="center"/>
          </w:tcPr>
          <w:p w14:paraId="2C3FA6A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28313DB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7CF9D65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28" w:type="dxa"/>
            <w:noWrap w:val="0"/>
            <w:vAlign w:val="center"/>
          </w:tcPr>
          <w:p w14:paraId="2247953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65" w:type="dxa"/>
            <w:noWrap w:val="0"/>
            <w:vAlign w:val="center"/>
          </w:tcPr>
          <w:p w14:paraId="665220E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社会公众满意率</w:t>
            </w:r>
          </w:p>
        </w:tc>
        <w:tc>
          <w:tcPr>
            <w:tcW w:w="1306" w:type="dxa"/>
            <w:noWrap w:val="0"/>
            <w:vAlign w:val="center"/>
          </w:tcPr>
          <w:p w14:paraId="017D81F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1264" w:type="dxa"/>
            <w:noWrap w:val="0"/>
            <w:vAlign w:val="center"/>
          </w:tcPr>
          <w:p w14:paraId="2B36293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95%</w:t>
            </w:r>
          </w:p>
        </w:tc>
        <w:tc>
          <w:tcPr>
            <w:tcW w:w="714" w:type="dxa"/>
            <w:noWrap w:val="0"/>
            <w:vAlign w:val="center"/>
          </w:tcPr>
          <w:p w14:paraId="781D2988">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916" w:type="dxa"/>
            <w:noWrap w:val="0"/>
            <w:vAlign w:val="center"/>
          </w:tcPr>
          <w:p w14:paraId="03B39626">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36" w:type="dxa"/>
            <w:noWrap w:val="0"/>
            <w:vAlign w:val="center"/>
          </w:tcPr>
          <w:p w14:paraId="33D4068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AEB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13" w:type="dxa"/>
            <w:gridSpan w:val="6"/>
            <w:noWrap w:val="0"/>
            <w:vAlign w:val="center"/>
          </w:tcPr>
          <w:p w14:paraId="645B519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4" w:type="dxa"/>
            <w:noWrap w:val="0"/>
            <w:vAlign w:val="center"/>
          </w:tcPr>
          <w:p w14:paraId="008EDA0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916" w:type="dxa"/>
            <w:noWrap w:val="0"/>
            <w:vAlign w:val="center"/>
          </w:tcPr>
          <w:p w14:paraId="04D42A5F">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w:t>
            </w:r>
          </w:p>
        </w:tc>
        <w:tc>
          <w:tcPr>
            <w:tcW w:w="1436" w:type="dxa"/>
            <w:noWrap w:val="0"/>
            <w:vAlign w:val="center"/>
          </w:tcPr>
          <w:p w14:paraId="2989802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4E831F30">
      <w:pPr>
        <w:widowControl/>
        <w:spacing w:line="600" w:lineRule="exact"/>
        <w:jc w:val="left"/>
        <w:rPr>
          <w:rFonts w:hint="eastAsia" w:ascii="Times New Roman" w:hAnsi="Times New Roman" w:eastAsia="黑体" w:cs="Times New Roman"/>
          <w:sz w:val="32"/>
          <w:szCs w:val="32"/>
          <w:highlight w:val="none"/>
          <w:lang w:eastAsia="zh-CN"/>
        </w:rPr>
      </w:pPr>
      <w:r>
        <w:rPr>
          <w:rFonts w:hint="default" w:ascii="Times New Roman" w:hAnsi="Times New Roman" w:eastAsia="仿宋_GB2312" w:cs="Times New Roman"/>
          <w:sz w:val="22"/>
          <w:szCs w:val="22"/>
          <w:highlight w:val="none"/>
        </w:rPr>
        <w:t xml:space="preserve">填表人：      填报日期：         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14:paraId="15D09616">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7"/>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753F0454">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23F92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4FA936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055CD6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办案费</w:t>
            </w:r>
            <w:r>
              <w:rPr>
                <w:rFonts w:hint="eastAsia" w:ascii="仿宋_GB2312" w:hAnsi="仿宋_GB2312" w:eastAsia="仿宋_GB2312" w:cs="仿宋_GB2312"/>
                <w:color w:val="000000"/>
                <w:sz w:val="20"/>
                <w:szCs w:val="20"/>
                <w:highlight w:val="none"/>
              </w:rPr>
              <w:t>　</w:t>
            </w:r>
          </w:p>
        </w:tc>
      </w:tr>
      <w:tr w14:paraId="3977B800">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5B32AB8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0DE56BA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岳阳市生态环境局</w:t>
            </w:r>
          </w:p>
        </w:tc>
        <w:tc>
          <w:tcPr>
            <w:tcW w:w="1134" w:type="dxa"/>
            <w:tcBorders>
              <w:top w:val="single" w:color="auto" w:sz="4" w:space="0"/>
              <w:left w:val="nil"/>
              <w:bottom w:val="single" w:color="auto" w:sz="4" w:space="0"/>
              <w:right w:val="single" w:color="000000" w:sz="4" w:space="0"/>
            </w:tcBorders>
            <w:noWrap w:val="0"/>
            <w:vAlign w:val="center"/>
          </w:tcPr>
          <w:p w14:paraId="171981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494A6F7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岳阳市生态环境局南湖新区分局</w:t>
            </w:r>
          </w:p>
        </w:tc>
      </w:tr>
      <w:tr w14:paraId="4EB6A588">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45FE5B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2585148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4D424B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1016E5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49AE9E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17504E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4E0D805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4CBB139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1D1ABBE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257D1542">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7E32232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651DD41A">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D319CE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24859F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2B791177">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kern w:val="0"/>
                <w:sz w:val="20"/>
                <w:szCs w:val="20"/>
                <w:highlight w:val="none"/>
                <w:lang w:val="en-US" w:eastAsia="zh-CN" w:bidi="ar-SA"/>
              </w:rPr>
              <w:t>0.50</w:t>
            </w:r>
          </w:p>
        </w:tc>
        <w:tc>
          <w:tcPr>
            <w:tcW w:w="1134" w:type="dxa"/>
            <w:tcBorders>
              <w:top w:val="nil"/>
              <w:left w:val="nil"/>
              <w:bottom w:val="single" w:color="auto" w:sz="4" w:space="0"/>
              <w:right w:val="single" w:color="auto" w:sz="4" w:space="0"/>
            </w:tcBorders>
            <w:noWrap w:val="0"/>
            <w:vAlign w:val="center"/>
          </w:tcPr>
          <w:p w14:paraId="30863203">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1.55</w:t>
            </w:r>
          </w:p>
        </w:tc>
        <w:tc>
          <w:tcPr>
            <w:tcW w:w="1134" w:type="dxa"/>
            <w:tcBorders>
              <w:top w:val="nil"/>
              <w:left w:val="nil"/>
              <w:bottom w:val="single" w:color="auto" w:sz="4" w:space="0"/>
              <w:right w:val="single" w:color="auto" w:sz="4" w:space="0"/>
            </w:tcBorders>
            <w:noWrap w:val="0"/>
            <w:vAlign w:val="center"/>
          </w:tcPr>
          <w:p w14:paraId="4B6F1F58">
            <w:pPr>
              <w:widowControl/>
              <w:spacing w:line="360" w:lineRule="exact"/>
              <w:jc w:val="center"/>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sz w:val="20"/>
                <w:szCs w:val="20"/>
                <w:highlight w:val="none"/>
                <w:lang w:val="en-US" w:eastAsia="zh-CN"/>
              </w:rPr>
              <w:t>1.55</w:t>
            </w:r>
          </w:p>
        </w:tc>
        <w:tc>
          <w:tcPr>
            <w:tcW w:w="828" w:type="dxa"/>
            <w:tcBorders>
              <w:top w:val="nil"/>
              <w:left w:val="nil"/>
              <w:bottom w:val="single" w:color="auto" w:sz="4" w:space="0"/>
              <w:right w:val="single" w:color="auto" w:sz="4" w:space="0"/>
            </w:tcBorders>
            <w:noWrap w:val="0"/>
            <w:vAlign w:val="center"/>
          </w:tcPr>
          <w:p w14:paraId="6CBE91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14:paraId="7E8B98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47FD6C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0BCD076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D76EBC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19602E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63CF6ED8">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kern w:val="0"/>
                <w:sz w:val="20"/>
                <w:szCs w:val="20"/>
                <w:highlight w:val="none"/>
                <w:lang w:val="en-US" w:eastAsia="zh-CN" w:bidi="ar-SA"/>
              </w:rPr>
              <w:t>0.50</w:t>
            </w:r>
          </w:p>
        </w:tc>
        <w:tc>
          <w:tcPr>
            <w:tcW w:w="1134" w:type="dxa"/>
            <w:tcBorders>
              <w:top w:val="nil"/>
              <w:left w:val="nil"/>
              <w:bottom w:val="single" w:color="auto" w:sz="4" w:space="0"/>
              <w:right w:val="single" w:color="auto" w:sz="4" w:space="0"/>
            </w:tcBorders>
            <w:noWrap w:val="0"/>
            <w:vAlign w:val="center"/>
          </w:tcPr>
          <w:p w14:paraId="48B586E7">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1.55</w:t>
            </w:r>
          </w:p>
        </w:tc>
        <w:tc>
          <w:tcPr>
            <w:tcW w:w="1134" w:type="dxa"/>
            <w:tcBorders>
              <w:top w:val="nil"/>
              <w:left w:val="nil"/>
              <w:bottom w:val="single" w:color="auto" w:sz="4" w:space="0"/>
              <w:right w:val="single" w:color="auto" w:sz="4" w:space="0"/>
            </w:tcBorders>
            <w:noWrap w:val="0"/>
            <w:vAlign w:val="center"/>
          </w:tcPr>
          <w:p w14:paraId="5F3D83B6">
            <w:pPr>
              <w:widowControl/>
              <w:spacing w:line="360" w:lineRule="exact"/>
              <w:jc w:val="center"/>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1.55</w:t>
            </w:r>
          </w:p>
        </w:tc>
        <w:tc>
          <w:tcPr>
            <w:tcW w:w="828" w:type="dxa"/>
            <w:tcBorders>
              <w:top w:val="nil"/>
              <w:left w:val="nil"/>
              <w:bottom w:val="single" w:color="auto" w:sz="4" w:space="0"/>
              <w:right w:val="single" w:color="auto" w:sz="4" w:space="0"/>
            </w:tcBorders>
            <w:noWrap w:val="0"/>
            <w:vAlign w:val="center"/>
          </w:tcPr>
          <w:p w14:paraId="2FF837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5102335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0847C36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86F2F0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507FDC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23969D4">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1DD368A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6EEF25C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319A0B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5F0C6FE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2293BA9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1417FA6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1BE00B7">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AD051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5605EF7E">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1566F3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05C952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718A920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5D2F38A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04394D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1876A48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B572787">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4E7C29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799FF3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041E3A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78EFCBB3">
        <w:tblPrEx>
          <w:tblCellMar>
            <w:top w:w="0" w:type="dxa"/>
            <w:left w:w="108" w:type="dxa"/>
            <w:bottom w:w="0" w:type="dxa"/>
            <w:right w:w="108" w:type="dxa"/>
          </w:tblCellMar>
        </w:tblPrEx>
        <w:trPr>
          <w:trHeight w:val="9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262167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431518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完成执收目标5万元</w:t>
            </w:r>
          </w:p>
        </w:tc>
        <w:tc>
          <w:tcPr>
            <w:tcW w:w="4253" w:type="dxa"/>
            <w:gridSpan w:val="4"/>
            <w:tcBorders>
              <w:top w:val="single" w:color="auto" w:sz="4" w:space="0"/>
              <w:left w:val="nil"/>
              <w:bottom w:val="single" w:color="auto" w:sz="4" w:space="0"/>
              <w:right w:val="single" w:color="auto" w:sz="4" w:space="0"/>
            </w:tcBorders>
            <w:noWrap w:val="0"/>
            <w:vAlign w:val="center"/>
          </w:tcPr>
          <w:p w14:paraId="6E00B6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完成执收目标</w:t>
            </w:r>
            <w:r>
              <w:rPr>
                <w:rFonts w:hint="eastAsia" w:ascii="仿宋_GB2312" w:hAnsi="仿宋_GB2312" w:eastAsia="仿宋_GB2312" w:cs="仿宋_GB2312"/>
                <w:color w:val="000000"/>
                <w:kern w:val="0"/>
                <w:sz w:val="20"/>
                <w:szCs w:val="20"/>
                <w:highlight w:val="none"/>
                <w:lang w:val="en-US" w:eastAsia="zh-CN" w:bidi="ar-SA"/>
              </w:rPr>
              <w:t>5.632万元</w:t>
            </w:r>
            <w:r>
              <w:rPr>
                <w:rFonts w:hint="eastAsia" w:ascii="仿宋_GB2312" w:hAnsi="仿宋_GB2312" w:eastAsia="仿宋_GB2312" w:cs="仿宋_GB2312"/>
                <w:color w:val="000000"/>
                <w:sz w:val="20"/>
                <w:szCs w:val="20"/>
                <w:highlight w:val="none"/>
                <w:lang w:eastAsia="zh-CN"/>
              </w:rPr>
              <w:t>。</w:t>
            </w:r>
          </w:p>
        </w:tc>
      </w:tr>
      <w:tr w14:paraId="73C066EC">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3DE4F6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5D91D9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1BE256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70C192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6DC4B9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76E3AF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4196C3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481D6B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2B291D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50D150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067E27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179BBB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1ADC20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0BF7152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747B587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31BE9B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01DDB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066D04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11A185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nil"/>
              <w:left w:val="nil"/>
              <w:right w:val="single" w:color="auto" w:sz="4" w:space="0"/>
            </w:tcBorders>
            <w:noWrap w:val="0"/>
            <w:vAlign w:val="center"/>
          </w:tcPr>
          <w:p w14:paraId="7DBC9D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14:paraId="6D5F40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2024年罚没征收任务</w:t>
            </w:r>
          </w:p>
        </w:tc>
        <w:tc>
          <w:tcPr>
            <w:tcW w:w="1134" w:type="dxa"/>
            <w:tcBorders>
              <w:top w:val="nil"/>
              <w:left w:val="nil"/>
              <w:bottom w:val="single" w:color="auto" w:sz="4" w:space="0"/>
              <w:right w:val="single" w:color="auto" w:sz="4" w:space="0"/>
            </w:tcBorders>
            <w:noWrap w:val="0"/>
            <w:vAlign w:val="center"/>
          </w:tcPr>
          <w:p w14:paraId="6AE2E7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5万元</w:t>
            </w:r>
          </w:p>
        </w:tc>
        <w:tc>
          <w:tcPr>
            <w:tcW w:w="1134" w:type="dxa"/>
            <w:tcBorders>
              <w:top w:val="nil"/>
              <w:left w:val="nil"/>
              <w:bottom w:val="single" w:color="auto" w:sz="4" w:space="0"/>
              <w:right w:val="single" w:color="auto" w:sz="4" w:space="0"/>
            </w:tcBorders>
            <w:noWrap w:val="0"/>
            <w:vAlign w:val="center"/>
          </w:tcPr>
          <w:p w14:paraId="366067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5.63万元</w:t>
            </w:r>
          </w:p>
        </w:tc>
        <w:tc>
          <w:tcPr>
            <w:tcW w:w="828" w:type="dxa"/>
            <w:tcBorders>
              <w:top w:val="nil"/>
              <w:left w:val="nil"/>
              <w:bottom w:val="single" w:color="auto" w:sz="4" w:space="0"/>
              <w:right w:val="single" w:color="auto" w:sz="4" w:space="0"/>
            </w:tcBorders>
            <w:noWrap w:val="0"/>
            <w:vAlign w:val="center"/>
          </w:tcPr>
          <w:p w14:paraId="60C836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003A4E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7E909EA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342005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6A854B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2E6637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EF7DF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14:paraId="00DC519D">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确实罚没收入完成任务</w:t>
            </w:r>
          </w:p>
        </w:tc>
        <w:tc>
          <w:tcPr>
            <w:tcW w:w="1134" w:type="dxa"/>
            <w:tcBorders>
              <w:top w:val="nil"/>
              <w:left w:val="nil"/>
              <w:bottom w:val="single" w:color="auto" w:sz="4" w:space="0"/>
              <w:right w:val="single" w:color="auto" w:sz="4" w:space="0"/>
            </w:tcBorders>
            <w:noWrap w:val="0"/>
            <w:vAlign w:val="center"/>
          </w:tcPr>
          <w:p w14:paraId="601A4E30">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罚没任务100%完成</w:t>
            </w:r>
          </w:p>
        </w:tc>
        <w:tc>
          <w:tcPr>
            <w:tcW w:w="1134" w:type="dxa"/>
            <w:tcBorders>
              <w:top w:val="nil"/>
              <w:left w:val="nil"/>
              <w:bottom w:val="single" w:color="auto" w:sz="4" w:space="0"/>
              <w:right w:val="single" w:color="auto" w:sz="4" w:space="0"/>
            </w:tcBorders>
            <w:noWrap w:val="0"/>
            <w:vAlign w:val="center"/>
          </w:tcPr>
          <w:p w14:paraId="1E70D7A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宋体" w:eastAsia="仿宋_GB2312" w:cs="仿宋_GB2312"/>
                <w:i w:val="0"/>
                <w:iCs w:val="0"/>
                <w:color w:val="000000"/>
                <w:kern w:val="0"/>
                <w:sz w:val="20"/>
                <w:szCs w:val="20"/>
                <w:u w:val="none"/>
                <w:lang w:val="en-US" w:eastAsia="zh-CN" w:bidi="ar"/>
              </w:rPr>
              <w:t>100%完成</w:t>
            </w:r>
          </w:p>
        </w:tc>
        <w:tc>
          <w:tcPr>
            <w:tcW w:w="828" w:type="dxa"/>
            <w:tcBorders>
              <w:top w:val="nil"/>
              <w:left w:val="nil"/>
              <w:bottom w:val="single" w:color="auto" w:sz="4" w:space="0"/>
              <w:right w:val="single" w:color="auto" w:sz="4" w:space="0"/>
            </w:tcBorders>
            <w:noWrap w:val="0"/>
            <w:vAlign w:val="center"/>
          </w:tcPr>
          <w:p w14:paraId="6FE13D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7D58AF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42660D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F5A1FB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B9ABB4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00A1D4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8AEF4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14:paraId="4A9E214C">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按时完成各项指标任务</w:t>
            </w:r>
          </w:p>
        </w:tc>
        <w:tc>
          <w:tcPr>
            <w:tcW w:w="1134" w:type="dxa"/>
            <w:tcBorders>
              <w:top w:val="nil"/>
              <w:left w:val="nil"/>
              <w:bottom w:val="single" w:color="auto" w:sz="4" w:space="0"/>
              <w:right w:val="single" w:color="auto" w:sz="4" w:space="0"/>
            </w:tcBorders>
            <w:noWrap w:val="0"/>
            <w:vAlign w:val="center"/>
          </w:tcPr>
          <w:p w14:paraId="3F3ECC2D">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2024年12月31日</w:t>
            </w:r>
          </w:p>
        </w:tc>
        <w:tc>
          <w:tcPr>
            <w:tcW w:w="1134" w:type="dxa"/>
            <w:tcBorders>
              <w:top w:val="nil"/>
              <w:left w:val="nil"/>
              <w:bottom w:val="single" w:color="auto" w:sz="4" w:space="0"/>
              <w:right w:val="single" w:color="auto" w:sz="4" w:space="0"/>
            </w:tcBorders>
            <w:noWrap w:val="0"/>
            <w:vAlign w:val="center"/>
          </w:tcPr>
          <w:p w14:paraId="50007077">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2024年12月31日</w:t>
            </w:r>
          </w:p>
        </w:tc>
        <w:tc>
          <w:tcPr>
            <w:tcW w:w="828" w:type="dxa"/>
            <w:tcBorders>
              <w:top w:val="nil"/>
              <w:left w:val="nil"/>
              <w:bottom w:val="single" w:color="auto" w:sz="4" w:space="0"/>
              <w:right w:val="single" w:color="auto" w:sz="4" w:space="0"/>
            </w:tcBorders>
            <w:noWrap w:val="0"/>
            <w:vAlign w:val="center"/>
          </w:tcPr>
          <w:p w14:paraId="1DFC14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10FE12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347B37C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87B692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FCED88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0358BA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right w:val="single" w:color="auto" w:sz="4" w:space="0"/>
            </w:tcBorders>
            <w:noWrap w:val="0"/>
            <w:vAlign w:val="center"/>
          </w:tcPr>
          <w:p w14:paraId="7AB027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nil"/>
              <w:left w:val="nil"/>
              <w:bottom w:val="single" w:color="auto" w:sz="4" w:space="0"/>
              <w:right w:val="single" w:color="auto" w:sz="4" w:space="0"/>
            </w:tcBorders>
            <w:noWrap w:val="0"/>
            <w:vAlign w:val="center"/>
          </w:tcPr>
          <w:p w14:paraId="0A088319">
            <w:pPr>
              <w:widowControl/>
              <w:spacing w:line="240" w:lineRule="exact"/>
              <w:jc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社会成本指标</w:t>
            </w:r>
          </w:p>
        </w:tc>
        <w:tc>
          <w:tcPr>
            <w:tcW w:w="1134" w:type="dxa"/>
            <w:tcBorders>
              <w:top w:val="nil"/>
              <w:left w:val="nil"/>
              <w:bottom w:val="single" w:color="auto" w:sz="4" w:space="0"/>
              <w:right w:val="single" w:color="auto" w:sz="4" w:space="0"/>
            </w:tcBorders>
            <w:noWrap w:val="0"/>
            <w:vAlign w:val="center"/>
          </w:tcPr>
          <w:p w14:paraId="0EF65DA6">
            <w:pPr>
              <w:widowControl/>
              <w:spacing w:line="240" w:lineRule="exact"/>
              <w:jc w:val="center"/>
              <w:rPr>
                <w:rFonts w:hint="eastAsia" w:eastAsia="仿宋_GB2312"/>
                <w:kern w:val="0"/>
                <w:sz w:val="20"/>
                <w:szCs w:val="20"/>
                <w:lang w:val="en-US" w:eastAsia="zh-CN"/>
              </w:rPr>
            </w:pPr>
            <w:r>
              <w:rPr>
                <w:rFonts w:hint="eastAsia" w:eastAsia="仿宋_GB2312"/>
                <w:kern w:val="0"/>
                <w:sz w:val="20"/>
                <w:szCs w:val="20"/>
                <w:lang w:val="en-US" w:eastAsia="zh-CN"/>
              </w:rPr>
              <w:t>对社会发展问题可造成的负面影响</w:t>
            </w:r>
          </w:p>
        </w:tc>
        <w:tc>
          <w:tcPr>
            <w:tcW w:w="1134" w:type="dxa"/>
            <w:tcBorders>
              <w:top w:val="nil"/>
              <w:left w:val="nil"/>
              <w:bottom w:val="single" w:color="auto" w:sz="4" w:space="0"/>
              <w:right w:val="single" w:color="auto" w:sz="4" w:space="0"/>
            </w:tcBorders>
            <w:noWrap w:val="0"/>
            <w:vAlign w:val="center"/>
          </w:tcPr>
          <w:p w14:paraId="48A000A8">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无负面影响</w:t>
            </w:r>
          </w:p>
        </w:tc>
        <w:tc>
          <w:tcPr>
            <w:tcW w:w="828" w:type="dxa"/>
            <w:tcBorders>
              <w:top w:val="nil"/>
              <w:left w:val="nil"/>
              <w:bottom w:val="single" w:color="auto" w:sz="4" w:space="0"/>
              <w:right w:val="single" w:color="auto" w:sz="4" w:space="0"/>
            </w:tcBorders>
            <w:noWrap w:val="0"/>
            <w:vAlign w:val="center"/>
          </w:tcPr>
          <w:p w14:paraId="024790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5A27BE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690E767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4947434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DFE787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4DFFA3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bottom w:val="single" w:color="auto" w:sz="4" w:space="0"/>
              <w:right w:val="single" w:color="auto" w:sz="4" w:space="0"/>
            </w:tcBorders>
            <w:noWrap w:val="0"/>
            <w:vAlign w:val="center"/>
          </w:tcPr>
          <w:p w14:paraId="59FBCF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14:paraId="391C3B1A">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所有的支出控制在预算内</w:t>
            </w:r>
          </w:p>
        </w:tc>
        <w:tc>
          <w:tcPr>
            <w:tcW w:w="1134" w:type="dxa"/>
            <w:tcBorders>
              <w:top w:val="nil"/>
              <w:left w:val="nil"/>
              <w:bottom w:val="single" w:color="auto" w:sz="4" w:space="0"/>
              <w:right w:val="single" w:color="auto" w:sz="4" w:space="0"/>
            </w:tcBorders>
            <w:noWrap w:val="0"/>
            <w:vAlign w:val="center"/>
          </w:tcPr>
          <w:p w14:paraId="206DE584">
            <w:pPr>
              <w:widowControl/>
              <w:spacing w:line="240" w:lineRule="exact"/>
              <w:jc w:val="center"/>
              <w:rPr>
                <w:rFonts w:hint="default" w:ascii="仿宋_GB2312" w:hAnsi="仿宋_GB2312" w:eastAsia="仿宋_GB2312" w:cs="仿宋_GB2312"/>
                <w:color w:val="000000"/>
                <w:kern w:val="2"/>
                <w:sz w:val="20"/>
                <w:szCs w:val="20"/>
                <w:lang w:val="en-US" w:eastAsia="zh-CN" w:bidi="ar-SA"/>
              </w:rPr>
            </w:pPr>
            <w:r>
              <w:rPr>
                <w:rFonts w:hint="eastAsia" w:eastAsia="仿宋_GB2312"/>
                <w:kern w:val="0"/>
                <w:sz w:val="20"/>
                <w:szCs w:val="20"/>
                <w:lang w:val="en-US" w:eastAsia="zh-CN"/>
              </w:rPr>
              <w:t>≤1.55万元</w:t>
            </w:r>
          </w:p>
        </w:tc>
        <w:tc>
          <w:tcPr>
            <w:tcW w:w="1134" w:type="dxa"/>
            <w:tcBorders>
              <w:top w:val="nil"/>
              <w:left w:val="nil"/>
              <w:bottom w:val="single" w:color="auto" w:sz="4" w:space="0"/>
              <w:right w:val="single" w:color="auto" w:sz="4" w:space="0"/>
            </w:tcBorders>
            <w:noWrap w:val="0"/>
            <w:vAlign w:val="center"/>
          </w:tcPr>
          <w:p w14:paraId="6BD41236">
            <w:pPr>
              <w:widowControl/>
              <w:spacing w:line="240" w:lineRule="exact"/>
              <w:jc w:val="center"/>
              <w:rPr>
                <w:rFonts w:hint="default"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1.55万元</w:t>
            </w:r>
          </w:p>
        </w:tc>
        <w:tc>
          <w:tcPr>
            <w:tcW w:w="828" w:type="dxa"/>
            <w:tcBorders>
              <w:top w:val="nil"/>
              <w:left w:val="nil"/>
              <w:bottom w:val="single" w:color="auto" w:sz="4" w:space="0"/>
              <w:right w:val="single" w:color="auto" w:sz="4" w:space="0"/>
            </w:tcBorders>
            <w:noWrap w:val="0"/>
            <w:vAlign w:val="center"/>
          </w:tcPr>
          <w:p w14:paraId="450388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3FD055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71DE268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9A7318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4C55CB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1BE9659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4372E2E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42CD66F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4552CA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nil"/>
              <w:bottom w:val="single" w:color="auto" w:sz="4" w:space="0"/>
              <w:right w:val="single" w:color="auto" w:sz="4" w:space="0"/>
            </w:tcBorders>
            <w:noWrap w:val="0"/>
            <w:vAlign w:val="center"/>
          </w:tcPr>
          <w:p w14:paraId="7E53AE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667964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117E6D75">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促进经济发展</w:t>
            </w:r>
          </w:p>
        </w:tc>
        <w:tc>
          <w:tcPr>
            <w:tcW w:w="1134" w:type="dxa"/>
            <w:tcBorders>
              <w:top w:val="nil"/>
              <w:left w:val="nil"/>
              <w:bottom w:val="single" w:color="auto" w:sz="4" w:space="0"/>
              <w:right w:val="single" w:color="auto" w:sz="4" w:space="0"/>
            </w:tcBorders>
            <w:noWrap w:val="0"/>
            <w:vAlign w:val="center"/>
          </w:tcPr>
          <w:p w14:paraId="67C05598">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经济平稳发展</w:t>
            </w:r>
          </w:p>
        </w:tc>
        <w:tc>
          <w:tcPr>
            <w:tcW w:w="1134" w:type="dxa"/>
            <w:tcBorders>
              <w:top w:val="nil"/>
              <w:left w:val="nil"/>
              <w:bottom w:val="single" w:color="auto" w:sz="4" w:space="0"/>
              <w:right w:val="single" w:color="auto" w:sz="4" w:space="0"/>
            </w:tcBorders>
            <w:noWrap w:val="0"/>
            <w:vAlign w:val="center"/>
          </w:tcPr>
          <w:p w14:paraId="0A0AE12E">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经济得以保持稳定并有所提高</w:t>
            </w:r>
          </w:p>
        </w:tc>
        <w:tc>
          <w:tcPr>
            <w:tcW w:w="828" w:type="dxa"/>
            <w:tcBorders>
              <w:top w:val="nil"/>
              <w:left w:val="nil"/>
              <w:bottom w:val="single" w:color="auto" w:sz="4" w:space="0"/>
              <w:right w:val="single" w:color="auto" w:sz="4" w:space="0"/>
            </w:tcBorders>
            <w:noWrap w:val="0"/>
            <w:vAlign w:val="center"/>
          </w:tcPr>
          <w:p w14:paraId="545B12B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66D20D3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32348B9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FD4EF93">
        <w:trPr>
          <w:jc w:val="center"/>
        </w:trPr>
        <w:tc>
          <w:tcPr>
            <w:tcW w:w="1080" w:type="dxa"/>
            <w:vMerge w:val="continue"/>
            <w:tcBorders>
              <w:left w:val="single" w:color="auto" w:sz="4" w:space="0"/>
              <w:right w:val="single" w:color="auto" w:sz="4" w:space="0"/>
            </w:tcBorders>
            <w:noWrap w:val="0"/>
            <w:vAlign w:val="center"/>
          </w:tcPr>
          <w:p w14:paraId="6CD764B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009876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14:paraId="758258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1D783F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0AED6F24">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改善居民生产、生活环境</w:t>
            </w:r>
          </w:p>
        </w:tc>
        <w:tc>
          <w:tcPr>
            <w:tcW w:w="1134" w:type="dxa"/>
            <w:tcBorders>
              <w:top w:val="nil"/>
              <w:left w:val="nil"/>
              <w:bottom w:val="single" w:color="auto" w:sz="4" w:space="0"/>
              <w:right w:val="single" w:color="auto" w:sz="4" w:space="0"/>
            </w:tcBorders>
            <w:noWrap w:val="0"/>
            <w:vAlign w:val="center"/>
          </w:tcPr>
          <w:p w14:paraId="250039CF">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有所改善</w:t>
            </w:r>
          </w:p>
        </w:tc>
        <w:tc>
          <w:tcPr>
            <w:tcW w:w="1134" w:type="dxa"/>
            <w:tcBorders>
              <w:top w:val="nil"/>
              <w:left w:val="nil"/>
              <w:bottom w:val="single" w:color="auto" w:sz="4" w:space="0"/>
              <w:right w:val="single" w:color="auto" w:sz="4" w:space="0"/>
            </w:tcBorders>
            <w:noWrap w:val="0"/>
            <w:vAlign w:val="center"/>
          </w:tcPr>
          <w:p w14:paraId="166BEDCE">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有所改善</w:t>
            </w:r>
          </w:p>
        </w:tc>
        <w:tc>
          <w:tcPr>
            <w:tcW w:w="828" w:type="dxa"/>
            <w:tcBorders>
              <w:top w:val="nil"/>
              <w:left w:val="nil"/>
              <w:bottom w:val="single" w:color="auto" w:sz="4" w:space="0"/>
              <w:right w:val="single" w:color="auto" w:sz="4" w:space="0"/>
            </w:tcBorders>
            <w:noWrap w:val="0"/>
            <w:vAlign w:val="center"/>
          </w:tcPr>
          <w:p w14:paraId="3AC5D6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4377EF8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69BF0B6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1F1509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289592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280149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14:paraId="10ABF2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17B596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0670860D">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eastAsia="仿宋_GB2312"/>
                <w:kern w:val="0"/>
                <w:sz w:val="20"/>
                <w:szCs w:val="20"/>
                <w:lang w:eastAsia="zh-CN"/>
              </w:rPr>
              <w:t>城区空气质量优良率</w:t>
            </w:r>
          </w:p>
        </w:tc>
        <w:tc>
          <w:tcPr>
            <w:tcW w:w="1134" w:type="dxa"/>
            <w:tcBorders>
              <w:top w:val="nil"/>
              <w:left w:val="nil"/>
              <w:bottom w:val="single" w:color="auto" w:sz="4" w:space="0"/>
              <w:right w:val="single" w:color="auto" w:sz="4" w:space="0"/>
            </w:tcBorders>
            <w:noWrap w:val="0"/>
            <w:vAlign w:val="center"/>
          </w:tcPr>
          <w:p w14:paraId="47CF8EC7">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1134" w:type="dxa"/>
            <w:tcBorders>
              <w:top w:val="nil"/>
              <w:left w:val="nil"/>
              <w:bottom w:val="single" w:color="auto" w:sz="4" w:space="0"/>
              <w:right w:val="single" w:color="auto" w:sz="4" w:space="0"/>
            </w:tcBorders>
            <w:noWrap w:val="0"/>
            <w:vAlign w:val="center"/>
          </w:tcPr>
          <w:p w14:paraId="1169C1F6">
            <w:pPr>
              <w:widowControl/>
              <w:spacing w:line="240" w:lineRule="exact"/>
              <w:jc w:val="center"/>
              <w:rPr>
                <w:rFonts w:hint="default" w:ascii="仿宋_GB2312" w:hAnsi="仿宋_GB2312" w:eastAsia="仿宋_GB2312" w:cs="仿宋_GB2312"/>
                <w:color w:val="000000"/>
                <w:kern w:val="2"/>
                <w:sz w:val="20"/>
                <w:szCs w:val="20"/>
                <w:lang w:val="en-US" w:eastAsia="zh-CN" w:bidi="ar-SA"/>
              </w:rPr>
            </w:pPr>
            <w:r>
              <w:rPr>
                <w:rFonts w:hint="eastAsia" w:eastAsia="仿宋_GB2312"/>
                <w:kern w:val="0"/>
                <w:sz w:val="20"/>
                <w:szCs w:val="20"/>
                <w:lang w:val="en-US" w:eastAsia="zh-CN"/>
              </w:rPr>
              <w:t>86.5%</w:t>
            </w:r>
          </w:p>
        </w:tc>
        <w:tc>
          <w:tcPr>
            <w:tcW w:w="828" w:type="dxa"/>
            <w:tcBorders>
              <w:top w:val="nil"/>
              <w:left w:val="nil"/>
              <w:bottom w:val="single" w:color="auto" w:sz="4" w:space="0"/>
              <w:right w:val="single" w:color="auto" w:sz="4" w:space="0"/>
            </w:tcBorders>
            <w:noWrap w:val="0"/>
            <w:vAlign w:val="center"/>
          </w:tcPr>
          <w:p w14:paraId="5B6DA7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702B67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nil"/>
              <w:left w:val="nil"/>
              <w:bottom w:val="single" w:color="auto" w:sz="4" w:space="0"/>
              <w:right w:val="single" w:color="auto" w:sz="4" w:space="0"/>
            </w:tcBorders>
            <w:noWrap w:val="0"/>
            <w:vAlign w:val="center"/>
          </w:tcPr>
          <w:p w14:paraId="572B933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836A22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5B24E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2DF345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593BF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93045C0">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2D51ECB">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有可持续影响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0947924">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A3FAE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E4E3C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B857C6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E9C468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710E1A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5731C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418088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47173B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nil"/>
              <w:bottom w:val="single" w:color="auto" w:sz="4" w:space="0"/>
              <w:right w:val="single" w:color="auto" w:sz="4" w:space="0"/>
            </w:tcBorders>
            <w:noWrap w:val="0"/>
            <w:vAlign w:val="center"/>
          </w:tcPr>
          <w:p w14:paraId="1C6EAB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13DB04D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南湖新区全体人民群众</w:t>
            </w:r>
          </w:p>
        </w:tc>
        <w:tc>
          <w:tcPr>
            <w:tcW w:w="1134" w:type="dxa"/>
            <w:tcBorders>
              <w:top w:val="nil"/>
              <w:left w:val="nil"/>
              <w:bottom w:val="single" w:color="auto" w:sz="4" w:space="0"/>
              <w:right w:val="single" w:color="auto" w:sz="4" w:space="0"/>
            </w:tcBorders>
            <w:noWrap w:val="0"/>
            <w:vAlign w:val="center"/>
          </w:tcPr>
          <w:p w14:paraId="7499E6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≥95%</w:t>
            </w:r>
          </w:p>
        </w:tc>
        <w:tc>
          <w:tcPr>
            <w:tcW w:w="1134" w:type="dxa"/>
            <w:tcBorders>
              <w:top w:val="nil"/>
              <w:left w:val="nil"/>
              <w:bottom w:val="single" w:color="auto" w:sz="4" w:space="0"/>
              <w:right w:val="single" w:color="auto" w:sz="4" w:space="0"/>
            </w:tcBorders>
            <w:noWrap w:val="0"/>
            <w:vAlign w:val="center"/>
          </w:tcPr>
          <w:p w14:paraId="55BD02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95%</w:t>
            </w:r>
          </w:p>
        </w:tc>
        <w:tc>
          <w:tcPr>
            <w:tcW w:w="828" w:type="dxa"/>
            <w:tcBorders>
              <w:top w:val="nil"/>
              <w:left w:val="nil"/>
              <w:bottom w:val="single" w:color="auto" w:sz="4" w:space="0"/>
              <w:right w:val="single" w:color="auto" w:sz="4" w:space="0"/>
            </w:tcBorders>
            <w:noWrap w:val="0"/>
            <w:vAlign w:val="center"/>
          </w:tcPr>
          <w:p w14:paraId="0BF18E8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06FC51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3D6FECD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5B726EE">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358958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710A0E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16B5DF4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w:t>
            </w:r>
          </w:p>
        </w:tc>
        <w:tc>
          <w:tcPr>
            <w:tcW w:w="1418" w:type="dxa"/>
            <w:tcBorders>
              <w:top w:val="nil"/>
              <w:left w:val="nil"/>
              <w:bottom w:val="single" w:color="auto" w:sz="4" w:space="0"/>
              <w:right w:val="single" w:color="auto" w:sz="4" w:space="0"/>
            </w:tcBorders>
            <w:noWrap w:val="0"/>
            <w:vAlign w:val="center"/>
          </w:tcPr>
          <w:p w14:paraId="3119CA1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64D42B60">
      <w:pPr>
        <w:rPr>
          <w:rFonts w:hint="default" w:ascii="Times New Roman" w:hAnsi="Times New Roman" w:eastAsia="仿宋_GB2312" w:cs="Times New Roman"/>
          <w:sz w:val="18"/>
          <w:szCs w:val="18"/>
          <w:highlight w:val="none"/>
        </w:rPr>
      </w:pPr>
    </w:p>
    <w:p w14:paraId="6783A19A">
      <w:pPr>
        <w:widowControl/>
        <w:spacing w:line="600" w:lineRule="exact"/>
        <w:jc w:val="left"/>
        <w:rPr>
          <w:rFonts w:hint="eastAsia" w:ascii="Times New Roman" w:hAnsi="Times New Roman" w:eastAsia="黑体" w:cs="Times New Roman"/>
          <w:sz w:val="32"/>
          <w:szCs w:val="32"/>
          <w:highlight w:val="none"/>
          <w:lang w:eastAsia="zh-CN"/>
        </w:rPr>
      </w:pPr>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14:paraId="11A9F1F8">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7"/>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3367BE90">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22A1D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6845FD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5FD7C1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lang w:val="en-US" w:eastAsia="zh-CN"/>
              </w:rPr>
              <w:t>环境监察、监测等运行经费</w:t>
            </w:r>
            <w:r>
              <w:rPr>
                <w:rFonts w:hint="eastAsia" w:ascii="仿宋_GB2312" w:hAnsi="仿宋_GB2312" w:eastAsia="仿宋_GB2312" w:cs="仿宋_GB2312"/>
                <w:color w:val="000000"/>
                <w:sz w:val="20"/>
                <w:szCs w:val="20"/>
                <w:highlight w:val="none"/>
              </w:rPr>
              <w:t>　</w:t>
            </w:r>
          </w:p>
        </w:tc>
      </w:tr>
      <w:tr w14:paraId="41452DEE">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7C76248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7B047D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岳阳市生态环境局</w:t>
            </w:r>
          </w:p>
        </w:tc>
        <w:tc>
          <w:tcPr>
            <w:tcW w:w="1134" w:type="dxa"/>
            <w:tcBorders>
              <w:top w:val="single" w:color="auto" w:sz="4" w:space="0"/>
              <w:left w:val="nil"/>
              <w:bottom w:val="single" w:color="auto" w:sz="4" w:space="0"/>
              <w:right w:val="single" w:color="000000" w:sz="4" w:space="0"/>
            </w:tcBorders>
            <w:noWrap w:val="0"/>
            <w:vAlign w:val="center"/>
          </w:tcPr>
          <w:p w14:paraId="1A1538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135F264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岳阳市生态环境局南湖新区分局</w:t>
            </w:r>
          </w:p>
        </w:tc>
      </w:tr>
      <w:tr w14:paraId="3C27D335">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67BF8F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5CEBBE6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1451EF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3808A7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799B9C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294AAD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1F751D0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64FE3EE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5FADC66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2C0B5BA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1B44A2E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73BD5E7A">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2145B61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312666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68AB8E1E">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kern w:val="0"/>
                <w:sz w:val="20"/>
                <w:szCs w:val="20"/>
                <w:highlight w:val="none"/>
                <w:lang w:val="en-US" w:eastAsia="zh-CN" w:bidi="ar-SA"/>
              </w:rPr>
              <w:t>0</w:t>
            </w:r>
          </w:p>
        </w:tc>
        <w:tc>
          <w:tcPr>
            <w:tcW w:w="1134" w:type="dxa"/>
            <w:tcBorders>
              <w:top w:val="nil"/>
              <w:left w:val="nil"/>
              <w:bottom w:val="single" w:color="auto" w:sz="4" w:space="0"/>
              <w:right w:val="single" w:color="auto" w:sz="4" w:space="0"/>
            </w:tcBorders>
            <w:noWrap w:val="0"/>
            <w:vAlign w:val="center"/>
          </w:tcPr>
          <w:p w14:paraId="67A20347">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38.47</w:t>
            </w:r>
          </w:p>
        </w:tc>
        <w:tc>
          <w:tcPr>
            <w:tcW w:w="1134" w:type="dxa"/>
            <w:tcBorders>
              <w:top w:val="nil"/>
              <w:left w:val="nil"/>
              <w:bottom w:val="single" w:color="auto" w:sz="4" w:space="0"/>
              <w:right w:val="single" w:color="auto" w:sz="4" w:space="0"/>
            </w:tcBorders>
            <w:noWrap w:val="0"/>
            <w:vAlign w:val="center"/>
          </w:tcPr>
          <w:p w14:paraId="0F8CD0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sz w:val="20"/>
                <w:szCs w:val="20"/>
                <w:highlight w:val="none"/>
                <w:lang w:val="en-US" w:eastAsia="zh-CN"/>
              </w:rPr>
              <w:t>38.47</w:t>
            </w:r>
          </w:p>
        </w:tc>
        <w:tc>
          <w:tcPr>
            <w:tcW w:w="828" w:type="dxa"/>
            <w:tcBorders>
              <w:top w:val="nil"/>
              <w:left w:val="nil"/>
              <w:bottom w:val="single" w:color="auto" w:sz="4" w:space="0"/>
              <w:right w:val="single" w:color="auto" w:sz="4" w:space="0"/>
            </w:tcBorders>
            <w:noWrap w:val="0"/>
            <w:vAlign w:val="center"/>
          </w:tcPr>
          <w:p w14:paraId="291E068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14:paraId="4B83A96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57F96E0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14:paraId="68512931">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01D161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4607C5B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13BB34B8">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kern w:val="0"/>
                <w:sz w:val="20"/>
                <w:szCs w:val="20"/>
                <w:highlight w:val="none"/>
                <w:lang w:val="en-US" w:eastAsia="zh-CN" w:bidi="ar-SA"/>
              </w:rPr>
              <w:t>0</w:t>
            </w:r>
          </w:p>
        </w:tc>
        <w:tc>
          <w:tcPr>
            <w:tcW w:w="1134" w:type="dxa"/>
            <w:tcBorders>
              <w:top w:val="nil"/>
              <w:left w:val="nil"/>
              <w:bottom w:val="single" w:color="auto" w:sz="4" w:space="0"/>
              <w:right w:val="single" w:color="auto" w:sz="4" w:space="0"/>
            </w:tcBorders>
            <w:noWrap w:val="0"/>
            <w:vAlign w:val="center"/>
          </w:tcPr>
          <w:p w14:paraId="381D16A7">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38.47</w:t>
            </w:r>
          </w:p>
        </w:tc>
        <w:tc>
          <w:tcPr>
            <w:tcW w:w="1134" w:type="dxa"/>
            <w:tcBorders>
              <w:top w:val="nil"/>
              <w:left w:val="nil"/>
              <w:bottom w:val="single" w:color="auto" w:sz="4" w:space="0"/>
              <w:right w:val="single" w:color="auto" w:sz="4" w:space="0"/>
            </w:tcBorders>
            <w:noWrap w:val="0"/>
            <w:vAlign w:val="center"/>
          </w:tcPr>
          <w:p w14:paraId="5503E8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sz w:val="20"/>
                <w:szCs w:val="20"/>
                <w:highlight w:val="none"/>
                <w:lang w:val="en-US" w:eastAsia="zh-CN"/>
              </w:rPr>
              <w:t>38.47</w:t>
            </w:r>
          </w:p>
        </w:tc>
        <w:tc>
          <w:tcPr>
            <w:tcW w:w="828" w:type="dxa"/>
            <w:tcBorders>
              <w:top w:val="nil"/>
              <w:left w:val="nil"/>
              <w:bottom w:val="single" w:color="auto" w:sz="4" w:space="0"/>
              <w:right w:val="single" w:color="auto" w:sz="4" w:space="0"/>
            </w:tcBorders>
            <w:noWrap w:val="0"/>
            <w:vAlign w:val="center"/>
          </w:tcPr>
          <w:p w14:paraId="37199D7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0A930C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23A987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6CB16D4">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271BA32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4967CC5E">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7FD4D3C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66D13C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114D03A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0B12164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5A027CD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2DD8DBD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D3781D9">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3498BF5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557C941F">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56AE00C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237C638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6F428BA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3A139CB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2559B96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5C9E6BB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242D3C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433362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5C69FA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3AD78F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3915F6A7">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4E1F92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239A9A6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目标1、日常环境监管、执法工作；</w:t>
            </w:r>
          </w:p>
          <w:p w14:paraId="4FECB94A">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目标2、委托第三方进行执法性监督监测；</w:t>
            </w:r>
          </w:p>
          <w:p w14:paraId="3BC11655">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目标3、环保迎检、应急处置经费；</w:t>
            </w:r>
          </w:p>
          <w:p w14:paraId="4024BD93">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目标4、节能环保宣传费用。</w:t>
            </w:r>
          </w:p>
        </w:tc>
        <w:tc>
          <w:tcPr>
            <w:tcW w:w="4253" w:type="dxa"/>
            <w:gridSpan w:val="4"/>
            <w:tcBorders>
              <w:top w:val="single" w:color="auto" w:sz="4" w:space="0"/>
              <w:left w:val="nil"/>
              <w:bottom w:val="single" w:color="auto" w:sz="4" w:space="0"/>
              <w:right w:val="single" w:color="auto" w:sz="4" w:space="0"/>
            </w:tcBorders>
            <w:noWrap w:val="0"/>
            <w:vAlign w:val="center"/>
          </w:tcPr>
          <w:p w14:paraId="13BDB63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已完成预期目标。</w:t>
            </w:r>
          </w:p>
        </w:tc>
      </w:tr>
      <w:tr w14:paraId="1D69B107">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1C43A6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CDE1D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8ECE2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434876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27AB77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0C9170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2F12D3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6CE73A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4E423A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3FF5B2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329EB3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27FFAF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440374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7D878E62">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42E825F6">
        <w:tblPrEx>
          <w:tblCellMar>
            <w:top w:w="0" w:type="dxa"/>
            <w:left w:w="108" w:type="dxa"/>
            <w:bottom w:w="0" w:type="dxa"/>
            <w:right w:w="108" w:type="dxa"/>
          </w:tblCellMar>
        </w:tblPrEx>
        <w:trPr>
          <w:trHeight w:val="603" w:hRule="atLeast"/>
          <w:jc w:val="center"/>
        </w:trPr>
        <w:tc>
          <w:tcPr>
            <w:tcW w:w="1080" w:type="dxa"/>
            <w:vMerge w:val="continue"/>
            <w:tcBorders>
              <w:left w:val="single" w:color="auto" w:sz="4" w:space="0"/>
              <w:right w:val="single" w:color="auto" w:sz="4" w:space="0"/>
            </w:tcBorders>
            <w:noWrap w:val="0"/>
            <w:vAlign w:val="center"/>
          </w:tcPr>
          <w:p w14:paraId="6D18463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14:paraId="58B0D5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4171A5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F0F90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right w:val="single" w:color="auto" w:sz="4" w:space="0"/>
            </w:tcBorders>
            <w:noWrap w:val="0"/>
            <w:vAlign w:val="center"/>
          </w:tcPr>
          <w:p w14:paraId="5BE1B4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477986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南湖断面水质</w:t>
            </w:r>
            <w:r>
              <w:rPr>
                <w:rFonts w:hint="default" w:ascii="仿宋_GB2312" w:hAnsi="仿宋_GB2312" w:eastAsia="仿宋_GB2312" w:cs="仿宋_GB2312"/>
                <w:color w:val="000000"/>
                <w:sz w:val="20"/>
                <w:szCs w:val="20"/>
                <w:highlight w:val="none"/>
                <w:lang w:val="en-US" w:eastAsia="zh-CN"/>
              </w:rPr>
              <w:t>监测频次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4ACAED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一周一次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B4A6F5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一周一次</w:t>
            </w:r>
          </w:p>
        </w:tc>
        <w:tc>
          <w:tcPr>
            <w:tcW w:w="828" w:type="dxa"/>
            <w:tcBorders>
              <w:top w:val="nil"/>
              <w:left w:val="nil"/>
              <w:bottom w:val="single" w:color="auto" w:sz="4" w:space="0"/>
              <w:right w:val="single" w:color="auto" w:sz="4" w:space="0"/>
            </w:tcBorders>
            <w:noWrap w:val="0"/>
            <w:vAlign w:val="center"/>
          </w:tcPr>
          <w:p w14:paraId="76DC8E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594968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40B915E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ACADFDE">
        <w:tblPrEx>
          <w:tblCellMar>
            <w:top w:w="0" w:type="dxa"/>
            <w:left w:w="108" w:type="dxa"/>
            <w:bottom w:w="0" w:type="dxa"/>
            <w:right w:w="108" w:type="dxa"/>
          </w:tblCellMar>
        </w:tblPrEx>
        <w:trPr>
          <w:trHeight w:val="603" w:hRule="atLeast"/>
          <w:jc w:val="center"/>
        </w:trPr>
        <w:tc>
          <w:tcPr>
            <w:tcW w:w="1080" w:type="dxa"/>
            <w:vMerge w:val="continue"/>
            <w:tcBorders>
              <w:left w:val="single" w:color="auto" w:sz="4" w:space="0"/>
              <w:right w:val="single" w:color="auto" w:sz="4" w:space="0"/>
            </w:tcBorders>
            <w:noWrap w:val="0"/>
            <w:vAlign w:val="center"/>
          </w:tcPr>
          <w:p w14:paraId="2DBCAE4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195AAB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bottom w:val="single" w:color="auto" w:sz="4" w:space="0"/>
              <w:right w:val="single" w:color="auto" w:sz="4" w:space="0"/>
            </w:tcBorders>
            <w:noWrap w:val="0"/>
            <w:vAlign w:val="center"/>
          </w:tcPr>
          <w:p w14:paraId="34B42C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D7E99D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机动车路检路查专项行动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B4AD0B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每月一次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BF9B3D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每月一次</w:t>
            </w:r>
          </w:p>
        </w:tc>
        <w:tc>
          <w:tcPr>
            <w:tcW w:w="828" w:type="dxa"/>
            <w:tcBorders>
              <w:top w:val="nil"/>
              <w:left w:val="nil"/>
              <w:bottom w:val="single" w:color="auto" w:sz="4" w:space="0"/>
              <w:right w:val="single" w:color="auto" w:sz="4" w:space="0"/>
            </w:tcBorders>
            <w:noWrap w:val="0"/>
            <w:vAlign w:val="center"/>
          </w:tcPr>
          <w:p w14:paraId="5AB749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7B852D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6092BAB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2B45F222">
        <w:trPr>
          <w:jc w:val="center"/>
        </w:trPr>
        <w:tc>
          <w:tcPr>
            <w:tcW w:w="1080" w:type="dxa"/>
            <w:vMerge w:val="continue"/>
            <w:tcBorders>
              <w:left w:val="single" w:color="auto" w:sz="4" w:space="0"/>
              <w:right w:val="single" w:color="auto" w:sz="4" w:space="0"/>
            </w:tcBorders>
            <w:noWrap w:val="0"/>
            <w:vAlign w:val="center"/>
          </w:tcPr>
          <w:p w14:paraId="420DCBF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51B52FB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AF046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D5C565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各种整治符合环保标准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AD0DBC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完成主要污染物减排目标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2E129C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完成主要污染物减排目标</w:t>
            </w:r>
          </w:p>
        </w:tc>
        <w:tc>
          <w:tcPr>
            <w:tcW w:w="828" w:type="dxa"/>
            <w:tcBorders>
              <w:top w:val="nil"/>
              <w:left w:val="nil"/>
              <w:bottom w:val="single" w:color="auto" w:sz="4" w:space="0"/>
              <w:right w:val="single" w:color="auto" w:sz="4" w:space="0"/>
            </w:tcBorders>
            <w:noWrap w:val="0"/>
            <w:vAlign w:val="center"/>
          </w:tcPr>
          <w:p w14:paraId="3FB4D8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0AA380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76DF52F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D8DB43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7B6D7F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4C6B0AE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AEA52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BEECAF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工作按计划完成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BDFDB4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宋体" w:eastAsia="仿宋_GB2312" w:cs="仿宋_GB2312"/>
                <w:i w:val="0"/>
                <w:iCs w:val="0"/>
                <w:color w:val="000000"/>
                <w:kern w:val="0"/>
                <w:sz w:val="20"/>
                <w:szCs w:val="20"/>
                <w:u w:val="none"/>
                <w:lang w:val="en-US" w:eastAsia="zh-CN" w:bidi="ar"/>
              </w:rPr>
              <w:t>2024年12月31日</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32EEDB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宋体" w:eastAsia="仿宋_GB2312" w:cs="仿宋_GB2312"/>
                <w:i w:val="0"/>
                <w:iCs w:val="0"/>
                <w:color w:val="000000"/>
                <w:kern w:val="0"/>
                <w:sz w:val="20"/>
                <w:szCs w:val="20"/>
                <w:u w:val="none"/>
                <w:lang w:val="en-US" w:eastAsia="zh-CN" w:bidi="ar"/>
              </w:rPr>
              <w:t>2024年12月31日</w:t>
            </w:r>
          </w:p>
        </w:tc>
        <w:tc>
          <w:tcPr>
            <w:tcW w:w="828" w:type="dxa"/>
            <w:tcBorders>
              <w:top w:val="nil"/>
              <w:left w:val="nil"/>
              <w:bottom w:val="single" w:color="auto" w:sz="4" w:space="0"/>
              <w:right w:val="single" w:color="auto" w:sz="4" w:space="0"/>
            </w:tcBorders>
            <w:noWrap w:val="0"/>
            <w:vAlign w:val="center"/>
          </w:tcPr>
          <w:p w14:paraId="1E6492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66E1DD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4CA1C5D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6EDA02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0C844E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14:paraId="1B35A57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48559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0B20CC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所有的支出控制在预算内</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3DBC44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eastAsia="仿宋_GB2312"/>
                <w:kern w:val="0"/>
                <w:sz w:val="20"/>
                <w:szCs w:val="20"/>
                <w:lang w:val="en-US" w:eastAsia="zh-CN"/>
              </w:rPr>
              <w:t>≤38.47万元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AF6E9A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执行率为100%</w:t>
            </w:r>
          </w:p>
        </w:tc>
        <w:tc>
          <w:tcPr>
            <w:tcW w:w="828" w:type="dxa"/>
            <w:tcBorders>
              <w:top w:val="nil"/>
              <w:left w:val="nil"/>
              <w:bottom w:val="single" w:color="auto" w:sz="4" w:space="0"/>
              <w:right w:val="single" w:color="auto" w:sz="4" w:space="0"/>
            </w:tcBorders>
            <w:noWrap w:val="0"/>
            <w:vAlign w:val="center"/>
          </w:tcPr>
          <w:p w14:paraId="7F01BC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0B4CD2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4D7486F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FDBFD6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655D02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0FCC88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69C79B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789B328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4CC8C8B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C3AF9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03211E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D6FA0C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实现节能减排，减少环保治理经费</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FA7337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宋体" w:eastAsia="仿宋_GB2312" w:cs="仿宋_GB2312"/>
                <w:i w:val="0"/>
                <w:iCs w:val="0"/>
                <w:color w:val="000000"/>
                <w:kern w:val="0"/>
                <w:sz w:val="20"/>
                <w:szCs w:val="20"/>
                <w:u w:val="none"/>
                <w:lang w:val="en-US" w:eastAsia="zh-CN" w:bidi="ar"/>
              </w:rPr>
              <w:t>经济平稳发展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BBFD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宋体" w:eastAsia="仿宋_GB2312" w:cs="仿宋_GB2312"/>
                <w:i w:val="0"/>
                <w:iCs w:val="0"/>
                <w:color w:val="000000"/>
                <w:kern w:val="0"/>
                <w:sz w:val="20"/>
                <w:szCs w:val="20"/>
                <w:u w:val="none"/>
                <w:lang w:val="en-US" w:eastAsia="zh-CN" w:bidi="ar"/>
              </w:rPr>
              <w:t>经济平稳发展</w:t>
            </w:r>
          </w:p>
        </w:tc>
        <w:tc>
          <w:tcPr>
            <w:tcW w:w="828" w:type="dxa"/>
            <w:tcBorders>
              <w:top w:val="nil"/>
              <w:left w:val="nil"/>
              <w:bottom w:val="single" w:color="auto" w:sz="4" w:space="0"/>
              <w:right w:val="single" w:color="auto" w:sz="4" w:space="0"/>
            </w:tcBorders>
            <w:noWrap w:val="0"/>
            <w:vAlign w:val="center"/>
          </w:tcPr>
          <w:p w14:paraId="2FD87A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152429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7F81DDD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B11CD1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FF719C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398744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28223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046B42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5406BA6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宋体" w:eastAsia="仿宋_GB2312" w:cs="仿宋_GB2312"/>
                <w:i w:val="0"/>
                <w:iCs w:val="0"/>
                <w:color w:val="000000"/>
                <w:kern w:val="0"/>
                <w:sz w:val="20"/>
                <w:szCs w:val="20"/>
                <w:u w:val="none"/>
                <w:lang w:val="en-US" w:eastAsia="zh-CN" w:bidi="ar"/>
              </w:rPr>
              <w:t>改善居民生产、生活环境</w:t>
            </w:r>
          </w:p>
        </w:tc>
        <w:tc>
          <w:tcPr>
            <w:tcW w:w="1134" w:type="dxa"/>
            <w:tcBorders>
              <w:top w:val="nil"/>
              <w:left w:val="nil"/>
              <w:bottom w:val="single" w:color="auto" w:sz="4" w:space="0"/>
              <w:right w:val="single" w:color="auto" w:sz="4" w:space="0"/>
            </w:tcBorders>
            <w:noWrap w:val="0"/>
            <w:vAlign w:val="center"/>
          </w:tcPr>
          <w:p w14:paraId="43DA580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宋体" w:eastAsia="仿宋_GB2312" w:cs="仿宋_GB2312"/>
                <w:i w:val="0"/>
                <w:iCs w:val="0"/>
                <w:color w:val="000000"/>
                <w:kern w:val="0"/>
                <w:sz w:val="20"/>
                <w:szCs w:val="20"/>
                <w:u w:val="none"/>
                <w:lang w:val="en-US" w:eastAsia="zh-CN" w:bidi="ar"/>
              </w:rPr>
              <w:t>有所改善</w:t>
            </w:r>
          </w:p>
        </w:tc>
        <w:tc>
          <w:tcPr>
            <w:tcW w:w="1134" w:type="dxa"/>
            <w:tcBorders>
              <w:top w:val="nil"/>
              <w:left w:val="nil"/>
              <w:bottom w:val="single" w:color="auto" w:sz="4" w:space="0"/>
              <w:right w:val="single" w:color="auto" w:sz="4" w:space="0"/>
            </w:tcBorders>
            <w:noWrap w:val="0"/>
            <w:vAlign w:val="center"/>
          </w:tcPr>
          <w:p w14:paraId="0553E7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宋体" w:eastAsia="仿宋_GB2312" w:cs="仿宋_GB2312"/>
                <w:i w:val="0"/>
                <w:iCs w:val="0"/>
                <w:color w:val="000000"/>
                <w:kern w:val="0"/>
                <w:sz w:val="20"/>
                <w:szCs w:val="20"/>
                <w:u w:val="none"/>
                <w:lang w:val="en-US" w:eastAsia="zh-CN" w:bidi="ar"/>
              </w:rPr>
              <w:t>有所改善</w:t>
            </w:r>
          </w:p>
        </w:tc>
        <w:tc>
          <w:tcPr>
            <w:tcW w:w="828" w:type="dxa"/>
            <w:tcBorders>
              <w:top w:val="nil"/>
              <w:left w:val="nil"/>
              <w:bottom w:val="single" w:color="auto" w:sz="4" w:space="0"/>
              <w:right w:val="single" w:color="auto" w:sz="4" w:space="0"/>
            </w:tcBorders>
            <w:noWrap w:val="0"/>
            <w:vAlign w:val="center"/>
          </w:tcPr>
          <w:p w14:paraId="7DD474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7D04F7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5C413A3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D0745BA">
        <w:trPr>
          <w:jc w:val="center"/>
        </w:trPr>
        <w:tc>
          <w:tcPr>
            <w:tcW w:w="1080" w:type="dxa"/>
            <w:vMerge w:val="continue"/>
            <w:tcBorders>
              <w:left w:val="single" w:color="auto" w:sz="4" w:space="0"/>
              <w:right w:val="single" w:color="auto" w:sz="4" w:space="0"/>
            </w:tcBorders>
            <w:noWrap w:val="0"/>
            <w:vAlign w:val="center"/>
          </w:tcPr>
          <w:p w14:paraId="473D1A3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4208CD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A1760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17F377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6BE652B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促进环境质量认知度</w:t>
            </w:r>
          </w:p>
        </w:tc>
        <w:tc>
          <w:tcPr>
            <w:tcW w:w="1134" w:type="dxa"/>
            <w:tcBorders>
              <w:top w:val="nil"/>
              <w:left w:val="nil"/>
              <w:bottom w:val="single" w:color="auto" w:sz="4" w:space="0"/>
              <w:right w:val="single" w:color="auto" w:sz="4" w:space="0"/>
            </w:tcBorders>
            <w:noWrap w:val="0"/>
            <w:vAlign w:val="center"/>
          </w:tcPr>
          <w:p w14:paraId="43B0086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有所改善</w:t>
            </w:r>
          </w:p>
        </w:tc>
        <w:tc>
          <w:tcPr>
            <w:tcW w:w="1134" w:type="dxa"/>
            <w:tcBorders>
              <w:top w:val="nil"/>
              <w:left w:val="nil"/>
              <w:bottom w:val="single" w:color="auto" w:sz="4" w:space="0"/>
              <w:right w:val="single" w:color="auto" w:sz="4" w:space="0"/>
            </w:tcBorders>
            <w:noWrap w:val="0"/>
            <w:vAlign w:val="center"/>
          </w:tcPr>
          <w:p w14:paraId="452C792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有所改善</w:t>
            </w:r>
          </w:p>
        </w:tc>
        <w:tc>
          <w:tcPr>
            <w:tcW w:w="828" w:type="dxa"/>
            <w:tcBorders>
              <w:top w:val="nil"/>
              <w:left w:val="nil"/>
              <w:bottom w:val="single" w:color="auto" w:sz="4" w:space="0"/>
              <w:right w:val="single" w:color="auto" w:sz="4" w:space="0"/>
            </w:tcBorders>
            <w:noWrap w:val="0"/>
            <w:vAlign w:val="center"/>
          </w:tcPr>
          <w:p w14:paraId="0C6862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39904C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3A89AB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7B22DD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949CF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56687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24AC1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BD3143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水质、土地、环境污染指数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AA09D2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稳定</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36CC5B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稳定</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9FC71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46189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7F0086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37F2FC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DC5BC7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14:paraId="12B466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5AFFA9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15E4D5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right w:val="single" w:color="auto" w:sz="4" w:space="0"/>
            </w:tcBorders>
            <w:noWrap w:val="0"/>
            <w:vAlign w:val="center"/>
          </w:tcPr>
          <w:p w14:paraId="6163CD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1ADF794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社会公众满意率</w:t>
            </w:r>
          </w:p>
        </w:tc>
        <w:tc>
          <w:tcPr>
            <w:tcW w:w="1134" w:type="dxa"/>
            <w:tcBorders>
              <w:top w:val="nil"/>
              <w:left w:val="nil"/>
              <w:bottom w:val="single" w:color="auto" w:sz="4" w:space="0"/>
              <w:right w:val="single" w:color="auto" w:sz="4" w:space="0"/>
            </w:tcBorders>
            <w:noWrap w:val="0"/>
            <w:vAlign w:val="center"/>
          </w:tcPr>
          <w:p w14:paraId="1A25D5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134" w:type="dxa"/>
            <w:tcBorders>
              <w:top w:val="nil"/>
              <w:left w:val="nil"/>
              <w:bottom w:val="single" w:color="auto" w:sz="4" w:space="0"/>
              <w:right w:val="single" w:color="auto" w:sz="4" w:space="0"/>
            </w:tcBorders>
            <w:noWrap w:val="0"/>
            <w:vAlign w:val="center"/>
          </w:tcPr>
          <w:p w14:paraId="60AB8B5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93%</w:t>
            </w:r>
          </w:p>
        </w:tc>
        <w:tc>
          <w:tcPr>
            <w:tcW w:w="828" w:type="dxa"/>
            <w:tcBorders>
              <w:top w:val="nil"/>
              <w:left w:val="nil"/>
              <w:bottom w:val="single" w:color="auto" w:sz="4" w:space="0"/>
              <w:right w:val="single" w:color="auto" w:sz="4" w:space="0"/>
            </w:tcBorders>
            <w:noWrap w:val="0"/>
            <w:vAlign w:val="center"/>
          </w:tcPr>
          <w:p w14:paraId="656D58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556DB4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8</w:t>
            </w:r>
          </w:p>
        </w:tc>
        <w:tc>
          <w:tcPr>
            <w:tcW w:w="1418" w:type="dxa"/>
            <w:tcBorders>
              <w:top w:val="nil"/>
              <w:left w:val="nil"/>
              <w:bottom w:val="single" w:color="auto" w:sz="4" w:space="0"/>
              <w:right w:val="single" w:color="auto" w:sz="4" w:space="0"/>
            </w:tcBorders>
            <w:noWrap w:val="0"/>
            <w:vAlign w:val="center"/>
          </w:tcPr>
          <w:p w14:paraId="41C56D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黄梅港治理成效较差</w:t>
            </w:r>
          </w:p>
        </w:tc>
      </w:tr>
      <w:tr w14:paraId="61DA3B76">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3D2870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3616AF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1FC11D7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98</w:t>
            </w:r>
          </w:p>
        </w:tc>
        <w:tc>
          <w:tcPr>
            <w:tcW w:w="1418" w:type="dxa"/>
            <w:tcBorders>
              <w:top w:val="nil"/>
              <w:left w:val="nil"/>
              <w:bottom w:val="single" w:color="auto" w:sz="4" w:space="0"/>
              <w:right w:val="single" w:color="auto" w:sz="4" w:space="0"/>
            </w:tcBorders>
            <w:noWrap w:val="0"/>
            <w:vAlign w:val="center"/>
          </w:tcPr>
          <w:p w14:paraId="7923CE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06BA91A1">
      <w:pPr>
        <w:rPr>
          <w:rFonts w:hint="default" w:ascii="Times New Roman" w:hAnsi="Times New Roman" w:eastAsia="仿宋_GB2312" w:cs="Times New Roman"/>
          <w:sz w:val="18"/>
          <w:szCs w:val="18"/>
          <w:highlight w:val="none"/>
        </w:rPr>
      </w:pPr>
    </w:p>
    <w:p w14:paraId="76AE5CB0">
      <w:pPr>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14:paraId="05380AE4">
      <w:pPr>
        <w:jc w:val="center"/>
        <w:rPr>
          <w:rFonts w:hint="default" w:ascii="Times New Roman" w:hAnsi="Times New Roman" w:eastAsia="方正小标宋_GBK" w:cs="Times New Roman"/>
          <w:sz w:val="52"/>
          <w:szCs w:val="52"/>
          <w:highlight w:val="none"/>
        </w:rPr>
      </w:pPr>
    </w:p>
    <w:p w14:paraId="30F6B05D">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年度岳阳市生态环境局南湖新区分局整体支出绩效自评报告</w:t>
      </w:r>
    </w:p>
    <w:p w14:paraId="78C62CA6">
      <w:pPr>
        <w:jc w:val="center"/>
        <w:rPr>
          <w:rFonts w:hint="default" w:ascii="Times New Roman" w:hAnsi="Times New Roman" w:eastAsia="方正小标宋_GBK" w:cs="Times New Roman"/>
          <w:b/>
          <w:sz w:val="52"/>
          <w:szCs w:val="52"/>
          <w:highlight w:val="none"/>
        </w:rPr>
      </w:pPr>
    </w:p>
    <w:p w14:paraId="461D7C21">
      <w:pPr>
        <w:jc w:val="center"/>
        <w:rPr>
          <w:rFonts w:hint="default" w:ascii="Times New Roman" w:hAnsi="Times New Roman" w:eastAsia="楷体_GB2312" w:cs="Times New Roman"/>
          <w:b/>
          <w:sz w:val="32"/>
          <w:szCs w:val="32"/>
          <w:highlight w:val="none"/>
        </w:rPr>
      </w:pPr>
    </w:p>
    <w:p w14:paraId="50116227">
      <w:pPr>
        <w:jc w:val="center"/>
        <w:rPr>
          <w:rFonts w:hint="default" w:ascii="Times New Roman" w:hAnsi="Times New Roman" w:eastAsia="楷体_GB2312" w:cs="Times New Roman"/>
          <w:b/>
          <w:sz w:val="32"/>
          <w:szCs w:val="32"/>
          <w:highlight w:val="none"/>
        </w:rPr>
      </w:pPr>
    </w:p>
    <w:p w14:paraId="14FDC871">
      <w:pPr>
        <w:jc w:val="center"/>
        <w:rPr>
          <w:rFonts w:hint="default" w:ascii="Times New Roman" w:hAnsi="Times New Roman" w:eastAsia="楷体_GB2312" w:cs="Times New Roman"/>
          <w:b/>
          <w:sz w:val="32"/>
          <w:szCs w:val="32"/>
          <w:highlight w:val="none"/>
        </w:rPr>
      </w:pPr>
    </w:p>
    <w:p w14:paraId="0D0DA204">
      <w:pPr>
        <w:jc w:val="center"/>
        <w:rPr>
          <w:rFonts w:hint="default" w:ascii="Times New Roman" w:hAnsi="Times New Roman" w:eastAsia="楷体_GB2312" w:cs="Times New Roman"/>
          <w:b/>
          <w:sz w:val="32"/>
          <w:szCs w:val="32"/>
          <w:highlight w:val="none"/>
        </w:rPr>
      </w:pPr>
    </w:p>
    <w:p w14:paraId="2D6E3EA4">
      <w:pPr>
        <w:jc w:val="center"/>
        <w:rPr>
          <w:rFonts w:hint="default" w:ascii="Times New Roman" w:hAnsi="Times New Roman" w:eastAsia="楷体_GB2312" w:cs="Times New Roman"/>
          <w:b/>
          <w:sz w:val="32"/>
          <w:szCs w:val="32"/>
          <w:highlight w:val="none"/>
        </w:rPr>
      </w:pPr>
    </w:p>
    <w:p w14:paraId="031E96BC">
      <w:pPr>
        <w:jc w:val="center"/>
        <w:rPr>
          <w:rFonts w:hint="default" w:ascii="Times New Roman" w:hAnsi="Times New Roman" w:eastAsia="楷体_GB2312" w:cs="Times New Roman"/>
          <w:b/>
          <w:sz w:val="32"/>
          <w:szCs w:val="32"/>
          <w:highlight w:val="none"/>
        </w:rPr>
      </w:pPr>
    </w:p>
    <w:p w14:paraId="303A8F57">
      <w:pPr>
        <w:jc w:val="center"/>
        <w:rPr>
          <w:rFonts w:hint="default" w:ascii="Times New Roman" w:hAnsi="Times New Roman" w:eastAsia="黑体" w:cs="Times New Roman"/>
          <w:sz w:val="32"/>
          <w:szCs w:val="32"/>
          <w:highlight w:val="none"/>
        </w:rPr>
      </w:pPr>
    </w:p>
    <w:p w14:paraId="2CD66E0F">
      <w:pPr>
        <w:jc w:val="center"/>
        <w:rPr>
          <w:rFonts w:hint="default" w:ascii="Times New Roman" w:hAnsi="Times New Roman" w:eastAsia="黑体" w:cs="Times New Roman"/>
          <w:sz w:val="32"/>
          <w:szCs w:val="32"/>
          <w:highlight w:val="none"/>
        </w:rPr>
      </w:pPr>
    </w:p>
    <w:p w14:paraId="28ACF126">
      <w:pPr>
        <w:jc w:val="center"/>
        <w:rPr>
          <w:rFonts w:hint="default" w:ascii="Times New Roman" w:hAnsi="Times New Roman" w:eastAsia="黑体" w:cs="Times New Roman"/>
          <w:sz w:val="32"/>
          <w:szCs w:val="32"/>
          <w:highlight w:val="none"/>
        </w:rPr>
      </w:pPr>
    </w:p>
    <w:p w14:paraId="1437F60E">
      <w:pPr>
        <w:jc w:val="both"/>
        <w:rPr>
          <w:rFonts w:hint="default" w:ascii="Times New Roman" w:hAnsi="Times New Roman" w:eastAsia="黑体" w:cs="Times New Roman"/>
          <w:sz w:val="32"/>
          <w:szCs w:val="32"/>
          <w:highlight w:val="none"/>
        </w:rPr>
      </w:pPr>
    </w:p>
    <w:p w14:paraId="45DF059A">
      <w:pPr>
        <w:jc w:val="center"/>
        <w:rPr>
          <w:rFonts w:hint="default" w:ascii="Times New Roman" w:hAnsi="Times New Roman" w:eastAsia="黑体" w:cs="Times New Roman"/>
          <w:sz w:val="32"/>
          <w:szCs w:val="32"/>
          <w:highlight w:val="none"/>
        </w:rPr>
      </w:pPr>
    </w:p>
    <w:p w14:paraId="1A4657D0">
      <w:pPr>
        <w:jc w:val="center"/>
        <w:rPr>
          <w:rFonts w:hint="default" w:ascii="Times New Roman" w:hAnsi="Times New Roman" w:eastAsia="黑体" w:cs="Times New Roman"/>
          <w:sz w:val="32"/>
          <w:szCs w:val="32"/>
          <w:highlight w:val="none"/>
        </w:rPr>
      </w:pPr>
    </w:p>
    <w:p w14:paraId="6C41E5AA">
      <w:pPr>
        <w:jc w:val="center"/>
        <w:rPr>
          <w:rFonts w:hint="default" w:ascii="Times New Roman" w:hAnsi="Times New Roman" w:eastAsia="黑体" w:cs="Times New Roman"/>
          <w:sz w:val="32"/>
          <w:szCs w:val="32"/>
          <w:highlight w:val="none"/>
        </w:rPr>
      </w:pPr>
    </w:p>
    <w:p w14:paraId="4FE5CE4F">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6C5C2BBB">
      <w:pPr>
        <w:spacing w:line="600" w:lineRule="exact"/>
        <w:jc w:val="center"/>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年  月  日</w:t>
      </w:r>
    </w:p>
    <w:p w14:paraId="0BB5DB73">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3BF8A47D">
      <w:pPr>
        <w:jc w:val="center"/>
        <w:rPr>
          <w:rFonts w:hint="eastAsia" w:ascii="方正小标宋简体" w:hAnsi="方正小标宋简体" w:eastAsia="方正小标宋简体" w:cs="方正小标宋简体"/>
          <w:sz w:val="44"/>
          <w:szCs w:val="44"/>
          <w:highlight w:val="none"/>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年度岳阳市生态环境局南湖新区分局整体支出绩效自评报告</w:t>
      </w:r>
    </w:p>
    <w:p w14:paraId="090BF758">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778B5362">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14:paraId="7330C413">
      <w:pPr>
        <w:pStyle w:val="2"/>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rPr>
      </w:pPr>
      <w:r>
        <w:rPr>
          <w:rFonts w:hint="default"/>
        </w:rPr>
        <w:t>（一）职能职责</w:t>
      </w:r>
    </w:p>
    <w:p w14:paraId="38A1B1ED">
      <w:pPr>
        <w:pStyle w:val="2"/>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rPr>
      </w:pPr>
      <w:r>
        <w:rPr>
          <w:rFonts w:hint="default"/>
        </w:rPr>
        <w:t>1.受市生态环境局委托，承担辖区内的生态环境相关工作；承担市生态环境局和区管委会交办的其他任务。</w:t>
      </w:r>
    </w:p>
    <w:p w14:paraId="4653EF51">
      <w:pPr>
        <w:pStyle w:val="2"/>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rPr>
      </w:pPr>
      <w:r>
        <w:rPr>
          <w:rFonts w:hint="default"/>
        </w:rPr>
        <w:t>2.负责本辖区内重点污染源在线监控系统现场监督管理；负责受理和办理生态环境保护举报（信访），负责生态环境信访维稳事件的现场调查处置工作，负责本辖区生态环境质量监测、执法监测、污染源监测和应急监测；负责辖区内生态文明示范区创建。</w:t>
      </w:r>
    </w:p>
    <w:p w14:paraId="2778D5B4">
      <w:pPr>
        <w:pStyle w:val="2"/>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rPr>
      </w:pPr>
      <w:r>
        <w:rPr>
          <w:rFonts w:hint="default"/>
        </w:rPr>
        <w:t>（二）机构设置</w:t>
      </w:r>
    </w:p>
    <w:p w14:paraId="6B0AB443">
      <w:pPr>
        <w:pStyle w:val="2"/>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rPr>
      </w:pPr>
      <w:r>
        <w:rPr>
          <w:rFonts w:hint="default"/>
        </w:rPr>
        <w:t>南湖新区生态环境分局属岳阳市生态环境局二级机构。根据分局的整体情况，下设三个股室（办公室、监察大队、管理股）。分局目前共有工作人员</w:t>
      </w:r>
      <w:r>
        <w:rPr>
          <w:rFonts w:hint="eastAsia"/>
          <w:lang w:val="en-US" w:eastAsia="zh-CN"/>
        </w:rPr>
        <w:t>11</w:t>
      </w:r>
      <w:r>
        <w:rPr>
          <w:rFonts w:hint="default"/>
        </w:rPr>
        <w:t>人，其中在编人员</w:t>
      </w:r>
      <w:r>
        <w:rPr>
          <w:rFonts w:hint="eastAsia"/>
          <w:lang w:val="en-US" w:eastAsia="zh-CN"/>
        </w:rPr>
        <w:t>9</w:t>
      </w:r>
      <w:r>
        <w:rPr>
          <w:rFonts w:hint="default"/>
        </w:rPr>
        <w:t>人，退休2人，本科及以上学历为90%以上。</w:t>
      </w:r>
    </w:p>
    <w:p w14:paraId="126EA7CB">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082CACC1">
      <w:pPr>
        <w:pStyle w:val="10"/>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14:paraId="375BD60B">
      <w:pPr>
        <w:keepNext w:val="0"/>
        <w:keepLines w:val="0"/>
        <w:pageBreakBefore w:val="0"/>
        <w:widowControl/>
        <w:kinsoku/>
        <w:wordWrap w:val="0"/>
        <w:overflowPunct/>
        <w:topLinePunct w:val="0"/>
        <w:autoSpaceDE/>
        <w:autoSpaceDN/>
        <w:bidi w:val="0"/>
        <w:adjustRightInd/>
        <w:snapToGrid w:val="0"/>
        <w:spacing w:before="150" w:after="150" w:line="580" w:lineRule="exact"/>
        <w:ind w:firstLine="640" w:firstLineChars="200"/>
        <w:jc w:val="left"/>
        <w:textAlignment w:val="auto"/>
        <w:rPr>
          <w:rFonts w:hint="eastAsia" w:ascii="仿宋_GB2312" w:hAnsi="仿宋_GB2312" w:eastAsia="仿宋_GB2312" w:cs="仿宋_GB2312"/>
          <w:spacing w:val="-20"/>
          <w:kern w:val="0"/>
          <w:sz w:val="32"/>
          <w:szCs w:val="32"/>
          <w:lang w:val="en-US" w:eastAsia="zh-CN" w:bidi="ar-SA"/>
        </w:rPr>
      </w:pP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rPr>
        <w:t>我分局基本支出主要用于人员经费和环境宣传、固定资产采购、“三公”经费等公用支出。</w:t>
      </w:r>
      <w:r>
        <w:rPr>
          <w:rFonts w:ascii="仿宋_GB2312" w:hAnsi="仿宋_GB2312" w:eastAsia="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024年度基本支出229.40万元，其中：人员经费支出</w:t>
      </w:r>
      <w:r>
        <w:rPr>
          <w:rFonts w:hint="eastAsia" w:ascii="仿宋_GB2312" w:hAnsi="仿宋_GB2312" w:eastAsia="仿宋_GB2312" w:cs="仿宋_GB2312"/>
          <w:spacing w:val="-20"/>
          <w:kern w:val="0"/>
          <w:sz w:val="32"/>
          <w:szCs w:val="32"/>
          <w:lang w:val="en-US" w:eastAsia="zh-CN" w:bidi="ar-SA"/>
        </w:rPr>
        <w:t>157.55万元</w:t>
      </w:r>
      <w:r>
        <w:rPr>
          <w:rFonts w:hint="eastAsia" w:ascii="仿宋_GB2312" w:hAnsi="仿宋_GB2312" w:eastAsia="仿宋_GB2312" w:cs="仿宋_GB2312"/>
          <w:spacing w:val="0"/>
          <w:kern w:val="0"/>
          <w:sz w:val="32"/>
          <w:szCs w:val="32"/>
          <w:lang w:val="en-US" w:eastAsia="zh-CN" w:bidi="ar-SA"/>
        </w:rPr>
        <w:t>；公用经费支出71.85万元</w:t>
      </w:r>
      <w:r>
        <w:rPr>
          <w:rFonts w:hint="eastAsia" w:ascii="仿宋_GB2312" w:hAnsi="仿宋_GB2312" w:eastAsia="仿宋_GB2312" w:cs="仿宋_GB2312"/>
          <w:spacing w:val="-20"/>
          <w:kern w:val="0"/>
          <w:sz w:val="32"/>
          <w:szCs w:val="32"/>
          <w:lang w:val="en-US" w:eastAsia="zh-CN" w:bidi="ar-SA"/>
        </w:rPr>
        <w:t>。</w:t>
      </w:r>
    </w:p>
    <w:p w14:paraId="299DDF55">
      <w:pPr>
        <w:keepNext w:val="0"/>
        <w:keepLines w:val="0"/>
        <w:pageBreakBefore w:val="0"/>
        <w:widowControl/>
        <w:kinsoku/>
        <w:wordWrap w:val="0"/>
        <w:overflowPunct/>
        <w:topLinePunct w:val="0"/>
        <w:autoSpaceDE/>
        <w:autoSpaceDN/>
        <w:bidi w:val="0"/>
        <w:adjustRightInd/>
        <w:snapToGrid w:val="0"/>
        <w:spacing w:before="150" w:after="150" w:line="560" w:lineRule="exact"/>
        <w:ind w:firstLine="560" w:firstLineChars="200"/>
        <w:jc w:val="left"/>
        <w:textAlignment w:val="auto"/>
        <w:rPr>
          <w:rFonts w:hint="eastAsia" w:ascii="Times New Roman" w:hAnsi="Times New Roman" w:eastAsia="楷体_GB2312" w:cs="Times New Roman"/>
          <w:b/>
          <w:sz w:val="32"/>
          <w:szCs w:val="32"/>
          <w:highlight w:val="none"/>
          <w:lang w:eastAsia="zh-CN"/>
        </w:rPr>
      </w:pPr>
      <w:r>
        <w:rPr>
          <w:rFonts w:hint="eastAsia" w:ascii="仿宋_GB2312" w:hAnsi="仿宋_GB2312" w:eastAsia="仿宋_GB2312" w:cs="仿宋_GB2312"/>
          <w:spacing w:val="-20"/>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“三公”经费公务用车运行维护费2.38万元较上年度1.85万元增加了0.53万元，主要是因为2024年中央环保督察、省级环保督察、省厅专项巡察增加。公务接待费0.00万元，</w:t>
      </w:r>
      <w:r>
        <w:rPr>
          <w:rFonts w:hint="eastAsia" w:ascii="仿宋_GB2312" w:hAnsi="仿宋_GB2312" w:eastAsia="仿宋_GB2312" w:cs="仿宋_GB2312"/>
          <w:b w:val="0"/>
          <w:bCs/>
          <w:kern w:val="0"/>
          <w:sz w:val="32"/>
          <w:szCs w:val="32"/>
          <w:lang w:val="en-US" w:eastAsia="zh-CN" w:bidi="ar-SA"/>
        </w:rPr>
        <w:t>公务用车购置费0.00万元；因公出国费0.00万元。</w:t>
      </w:r>
    </w:p>
    <w:p w14:paraId="2FE5B8D4">
      <w:pPr>
        <w:pStyle w:val="10"/>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（二）项目支出情况</w:t>
      </w:r>
    </w:p>
    <w:p w14:paraId="7CB73760">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我分局</w:t>
      </w:r>
      <w:r>
        <w:rPr>
          <w:rFonts w:hint="eastAsia" w:ascii="仿宋_GB2312" w:hAnsi="仿宋_GB2312" w:eastAsia="仿宋_GB2312" w:cs="仿宋_GB2312"/>
          <w:b w:val="0"/>
          <w:bCs/>
          <w:sz w:val="32"/>
          <w:szCs w:val="32"/>
          <w:lang w:eastAsia="zh-CN"/>
        </w:rPr>
        <w:t>项目总体</w:t>
      </w:r>
      <w:r>
        <w:rPr>
          <w:rFonts w:hint="eastAsia" w:ascii="仿宋_GB2312" w:hAnsi="仿宋_GB2312" w:eastAsia="仿宋_GB2312" w:cs="仿宋_GB2312"/>
          <w:b w:val="0"/>
          <w:bCs/>
          <w:sz w:val="32"/>
          <w:szCs w:val="32"/>
        </w:rPr>
        <w:t>支出</w:t>
      </w:r>
      <w:r>
        <w:rPr>
          <w:rFonts w:hint="eastAsia" w:ascii="仿宋_GB2312" w:hAnsi="仿宋_GB2312" w:eastAsia="仿宋_GB2312" w:cs="仿宋_GB2312"/>
          <w:b w:val="0"/>
          <w:bCs/>
          <w:sz w:val="32"/>
          <w:szCs w:val="32"/>
          <w:lang w:val="en-US" w:eastAsia="zh-CN"/>
        </w:rPr>
        <w:t>59.65万元，其中：办案费支出 1.55万元；环境监察、监测等运行经费38.47万元；</w:t>
      </w:r>
      <w:r>
        <w:rPr>
          <w:rFonts w:hint="eastAsia" w:ascii="仿宋_GB2312" w:hAnsi="仿宋_GB2312" w:eastAsia="仿宋_GB2312" w:cs="仿宋_GB2312"/>
          <w:b w:val="0"/>
          <w:bCs/>
          <w:sz w:val="32"/>
          <w:szCs w:val="32"/>
        </w:rPr>
        <w:t>上级环保专项资金</w:t>
      </w:r>
      <w:r>
        <w:rPr>
          <w:rFonts w:hint="eastAsia" w:ascii="仿宋_GB2312" w:hAnsi="仿宋_GB2312" w:eastAsia="仿宋_GB2312" w:cs="仿宋_GB2312"/>
          <w:b w:val="0"/>
          <w:bCs/>
          <w:sz w:val="32"/>
          <w:szCs w:val="32"/>
          <w:lang w:val="en-US" w:eastAsia="zh-CN"/>
        </w:rPr>
        <w:t>13.00万元；罚没收入返还6.63万元。</w:t>
      </w:r>
    </w:p>
    <w:p w14:paraId="6F4DEC80">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14:paraId="48EE013D">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kern w:val="0"/>
          <w:sz w:val="32"/>
          <w:szCs w:val="32"/>
          <w:lang w:val="en-US" w:eastAsia="zh-CN" w:bidi="ar-SA"/>
        </w:rPr>
        <w:t>2024年本单位没有使用政府性基金预算安排的支出。</w:t>
      </w:r>
    </w:p>
    <w:p w14:paraId="3915CA11">
      <w:pPr>
        <w:pStyle w:val="10"/>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rPr>
        <w:t>国有资本经营预算支出情</w:t>
      </w:r>
      <w:r>
        <w:rPr>
          <w:rFonts w:hint="eastAsia" w:ascii="Times New Roman" w:hAnsi="Times New Roman" w:eastAsia="黑体" w:cs="Times New Roman"/>
          <w:sz w:val="32"/>
          <w:szCs w:val="32"/>
          <w:highlight w:val="none"/>
          <w:lang w:eastAsia="zh-CN"/>
        </w:rPr>
        <w:t>况</w:t>
      </w:r>
    </w:p>
    <w:p w14:paraId="343E120A">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lang w:val="en-US" w:eastAsia="zh-CN"/>
        </w:rPr>
      </w:pPr>
      <w:r>
        <w:rPr>
          <w:rFonts w:hint="eastAsia" w:ascii="仿宋_GB2312" w:hAnsi="仿宋_GB2312" w:eastAsia="仿宋_GB2312" w:cs="仿宋_GB2312"/>
          <w:kern w:val="0"/>
          <w:sz w:val="32"/>
          <w:szCs w:val="32"/>
          <w:lang w:val="en-US" w:eastAsia="zh-CN" w:bidi="ar-SA"/>
        </w:rPr>
        <w:t>2024年本单位没有使用国有资本经营预算安排的支出。</w:t>
      </w:r>
    </w:p>
    <w:p w14:paraId="42C8E0AC">
      <w:pPr>
        <w:pStyle w:val="10"/>
        <w:keepNext w:val="0"/>
        <w:keepLines w:val="0"/>
        <w:pageBreakBefore w:val="0"/>
        <w:widowControl/>
        <w:numPr>
          <w:ilvl w:val="0"/>
          <w:numId w:val="2"/>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14:paraId="2ACBDC21">
      <w:pPr>
        <w:pStyle w:val="10"/>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kern w:val="0"/>
          <w:sz w:val="32"/>
          <w:szCs w:val="32"/>
          <w:lang w:val="en-US" w:eastAsia="zh-CN" w:bidi="ar-SA"/>
        </w:rPr>
        <w:t>2024年本单位没有使用社会保险基金预算安排的支出。</w:t>
      </w:r>
    </w:p>
    <w:p w14:paraId="78193071">
      <w:pPr>
        <w:keepNext w:val="0"/>
        <w:keepLines w:val="0"/>
        <w:pageBreakBefore w:val="0"/>
        <w:widowControl/>
        <w:numPr>
          <w:ilvl w:val="0"/>
          <w:numId w:val="2"/>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部门整体支出绩效情况</w:t>
      </w:r>
    </w:p>
    <w:p w14:paraId="2DEEB6A0">
      <w:pPr>
        <w:keepNext w:val="0"/>
        <w:keepLines w:val="0"/>
        <w:pageBreakBefore w:val="0"/>
        <w:widowControl/>
        <w:kinsoku/>
        <w:wordWrap w:val="0"/>
        <w:overflowPunct/>
        <w:topLinePunct w:val="0"/>
        <w:autoSpaceDE/>
        <w:autoSpaceDN/>
        <w:bidi w:val="0"/>
        <w:adjustRightInd/>
        <w:spacing w:before="150" w:after="150" w:line="560" w:lineRule="exact"/>
        <w:ind w:firstLine="640" w:firstLineChars="200"/>
        <w:jc w:val="left"/>
        <w:textAlignment w:val="auto"/>
        <w:rPr>
          <w:rFonts w:hint="eastAsia" w:ascii="仿宋_GB2312" w:hAnsi="仿宋_GB2312" w:eastAsia="仿宋_GB2312" w:cs="仿宋_GB2312"/>
          <w:kern w:val="0"/>
          <w:sz w:val="32"/>
          <w:szCs w:val="32"/>
          <w:lang w:val="en-US" w:eastAsia="zh-CN" w:bidi="ar-SA"/>
        </w:rPr>
      </w:pPr>
      <w:r>
        <w:rPr>
          <w:rFonts w:ascii="仿宋_GB2312" w:hAnsi="仿宋_GB2312" w:eastAsia="仿宋_GB2312" w:cs="仿宋_GB2312"/>
          <w:kern w:val="0"/>
          <w:sz w:val="32"/>
          <w:szCs w:val="32"/>
          <w:lang w:val="en-US" w:eastAsia="zh-CN" w:bidi="ar-SA"/>
        </w:rPr>
        <w:t>20</w:t>
      </w:r>
      <w:r>
        <w:rPr>
          <w:rFonts w:hint="eastAsia" w:ascii="仿宋_GB2312" w:hAnsi="仿宋_GB2312" w:eastAsia="仿宋_GB2312" w:cs="仿宋_GB2312"/>
          <w:kern w:val="0"/>
          <w:sz w:val="32"/>
          <w:szCs w:val="32"/>
          <w:lang w:val="en-US" w:eastAsia="zh-CN" w:bidi="ar-SA"/>
        </w:rPr>
        <w:t>24年，我分局积极履职，强化管理，较好地完成了年度工作目标。</w:t>
      </w:r>
    </w:p>
    <w:p w14:paraId="59B0396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40" w:firstLineChars="20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（一）环境质量状况</w:t>
      </w:r>
    </w:p>
    <w:p w14:paraId="777E53C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今年以来，我区环境质量稳中向好，1-11月南湖水质总体达到Ⅲ类，南湖水质连续四年总体达标Ⅲ类。空气质量优良率为86.5%，相比去年同期提升1.5% ，综合指数3.36 ，同比去年同期下降6.9%，PM2.5浓度为31.5，同比下降8%，PM10浓度为44，同比下降17%，SO2浓度为7，同比下降22%，NO2浓度为18，同比下降10%，各项大气污染物浓度指标均有较大幅度下调。</w:t>
      </w:r>
    </w:p>
    <w:p w14:paraId="23454B4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（二）生态环境执法工作情况</w:t>
      </w:r>
    </w:p>
    <w:p w14:paraId="5DA6971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一是开展日常环境执法监管。大队加强环境执法监管，严厉打击环境违法行为，开展现场执法83家次，立案查处8起环境违法行为，罚款5.632万元，免罚3起。1.监督企业落实主体责任，督促相关企业落实环境保护主体责任，完善污染防治设施，确保污染物达标排放。2.加大日常监管与巡查力度，开展“三查”行动、电力监控终端设备核查、联合卫健部门开展了医疗废水专项检查、机动车检验领域专项整治等专项行动，严厉打击环境违法行为。3.按照污染源“双随机、一公开”监管工作方案，以排污许可证发放情况为基础，对我区污染源开展双随机环境监管和排污许可清单式执法工作。建立企业生态环境监督执法正面清单，减少执法工作的随意性，做到无事不扰，减少对企业正常经营的打扰，优化营商环境。</w:t>
      </w:r>
    </w:p>
    <w:p w14:paraId="6192E69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二是配合开展环保督察工作。在省第二轮和中央第三轮生态环境保护督察工作期间，大队作为南湖新区的信访处理和信息联络员，整个督察期间除做好日常工作外，全天保持待命，及时应对处理上级交办各项工作任务，保证了信息的及时上传下达，督察期间，共计受理办理省环保督察组交办的信访问题14件、中央环保督察组交办的信访问题8件，大队及时跟进信访件办理进度，严格审核上报资料，全部按时上报了相关办理资料。目前省环保督察组交办的14件信访问题已全部办结；中央环保督察组交办的8件信访问题已办结6件。</w:t>
      </w:r>
    </w:p>
    <w:p w14:paraId="2ADCC26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三是协助企业办理辐射安全许可证2家次。开展辐射安全检查8家次，发现和督促相关单位整改问题14条。</w:t>
      </w:r>
    </w:p>
    <w:p w14:paraId="5C99634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四是办结各类生态环境相关投诉17件次，对投诉问题做到了件件有处理、宗宗有回复，对每起投诉，高度重视，积极应对。</w:t>
      </w:r>
    </w:p>
    <w:p w14:paraId="726F808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（三）污染防治攻坚战及夏季攻势工作情况</w:t>
      </w:r>
    </w:p>
    <w:p w14:paraId="2C953DB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1.积极开展水污染防治工作。</w:t>
      </w:r>
    </w:p>
    <w:p w14:paraId="060F8A2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持续开展南湖水环境综合整治工作，坚持湖面巡查密切关注南湖水质变化情况。督促相关部门加强蓝藻防治，加强治污治藻药剂投放监管，努力确保水质持续改良及无大面积藻类暴发。今年以来在我分局监管下总计投放净水剂273吨、微生物菌剂1340吨、除油剂2500升、除臭剂100升，杀藻剂51吨，改善了水质扼制住了藻类大面积暴发。经过一系列努力，南湖水质总体达到地表水Ⅲ类标准，强制污水处理厂深度处理。督促黄梅港污水处理厂、湖滨污水处理厂在稳定达标的基础上采取应急降磷措施，通过加大药剂使用量等降低尾水中总磷浓度，确保污水处理厂尾水排放总磷浓度不得高于0.1mg/L。做好水质监测。对南湖断面水质进行一周一次监测，分析水质状况，并针对性做好南湖治理工作。</w:t>
      </w:r>
    </w:p>
    <w:p w14:paraId="45B585C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2.开展大气污染防治攻坚</w:t>
      </w:r>
    </w:p>
    <w:p w14:paraId="15820FD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一是承担区蓝天办日常工作。负责对全区大气污染防治工作统筹、协调。对各街道办事处、管理处及相关责任单位的大气污染防治工作进行督查。</w:t>
      </w:r>
    </w:p>
    <w:p w14:paraId="05594E6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二是开展空气质量数据分析。每隔两个小时查看空气自动监测站点数据，及时关注数据变化情况。针对数据变化情况，指导开展全区大气污染防治工作。</w:t>
      </w:r>
    </w:p>
    <w:p w14:paraId="2F379FC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三是开展机动车路检路查专项行动。对辖区内2家环检机构开展每月一次专项检查，开展柴油货车路检路查，检查29台。</w:t>
      </w:r>
    </w:p>
    <w:p w14:paraId="77ADCE6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四是开展秸秆禁焚工作。联合各相关部门、各街道办事处、管理处开展秸秆禁焚日常巡查工作。对巡查中发现的问题，及时进行处理，设立标识标语、横幅等方式进行秸秆禁焚宣传活动。</w:t>
      </w:r>
    </w:p>
    <w:p w14:paraId="2E0ED9F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3.开展土壤污染防治工作</w:t>
      </w:r>
    </w:p>
    <w:p w14:paraId="3C5155E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协助月山管理处提交蓝天冶炼厂土壤污染防治项目相关资料。</w:t>
      </w:r>
    </w:p>
    <w:p w14:paraId="6D4E9CF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（四）项目审批和排污许可工作情况</w:t>
      </w:r>
    </w:p>
    <w:p w14:paraId="69127CA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坚持把建设项目环境管理作为控制新污染源的重要手段，严把建设项目审批准入门槛。审批建设项目3件，并做好了项目事前、事中、事后信息公示工作。</w:t>
      </w:r>
    </w:p>
    <w:p w14:paraId="289595D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督促我区排污许可证简化管理单位落实排污许可相关规定，按要求提交2024年度执行报告，完成率为100%。督促简化管理单位开展自行监测工作，完成率为100%。根据市生态环境局下发企业排污单位自行监测现场评估细则和监测报告问题清单，督促黄梅港污水处理有限公司与三峡水环境综合治理有限责任公司湖滨水质净化厂完成问题整改。对辖区内排污单位进行自行监测情况进行现场检查与评估，督促其完成相关问题整改。</w:t>
      </w:r>
    </w:p>
    <w:p w14:paraId="46C52C0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配合省生态环境厅检查组开展建设项目环评要求落实情况检查和排污许可质量核查，对我区岳阳学院二期建设项目环评落实情况。</w:t>
      </w:r>
    </w:p>
    <w:p w14:paraId="4B03EFA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（五）做好固危废管理工作</w:t>
      </w:r>
    </w:p>
    <w:p w14:paraId="7049EAE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开展固危废检查工作，对发现的问题要求企业及时整改。督促辖区内23家产废单位按要求提交管理计划并完成年度产废申报。开展新化学物质调查摸底工作。</w:t>
      </w:r>
    </w:p>
    <w:p w14:paraId="4A1AB92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（六）党建纪检工作情况</w:t>
      </w:r>
    </w:p>
    <w:p w14:paraId="5C46020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一是扎实推进南湖分局党支部五化建设，不断提升基层党组织战斗力；二是精心组织，高规格开好年度组织生活会，会议达到思想基础实、对照检查真、互相批评诚、努力方向明的预期效果；三是认真部署落实违规收送红包礼金、严禁酒驾醉驾等专项整治行动，合计上交省纪委清风账户9000元人民币；四是认真落实纪检组“三重一大”有关规定，按要求填报“三重一大”备案表；五是以党建红引领生态绿，党支部前往河泊潭开展主题党日活动，开展四次党纪学习，局班子前往建兴农场参与警示教育活动。六是开展普法学习，对《中华人民共和国长江保护法》、 《优化营商环境条例》、排污许可管理办法等进行学习。</w:t>
      </w:r>
    </w:p>
    <w:p w14:paraId="5CA7EAF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（七）机关管理工作情况</w:t>
      </w:r>
    </w:p>
    <w:p w14:paraId="75FF7CC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一是认真实施《岳阳市生态环境局南湖新区分局公务员平时考核工作实施方案》，进一步推动平考工作，不断提升分局整体工作效能；二是结合资产、资本、资源清查工作，推动分局节能、节资工作；三是严把“三公经费”关，确保节约、依规使用经费的要求得以落实；四是加强对外宣传，在岳阳晚报、南湖新媒体刊发新闻十余篇，利用六.五世界环境日、安全生产日制作宣传展板4块，印发宣传资料2000份，不断营造生态环境保护工作的浓厚氛围。联合区文明办主办了国际生物多样性宣传活动。6月5日，南湖生态环境分局围绕六五环境日“全面推进美丽中国建设”主题，有序开展各项宣传活动。首先在区管委会大屏幕，滚动播出主题标语。其次在区内，组织各企业、街道办事处循环播放环境日主题。最后选择在黄梅港污水处理厂，分局人员在现场发放宣传资料，宣讲环保法律法规，宣传习近平生态文明思想。我们以“六·五”环境日为契机，开展系列宣传，旨在落实《“美丽中国，我是行动者”提升公民生态文明意识行动计划》要求，引导全区牢固树立和践行绿水青山就是金山银山的理念，传播生态文明理念，建设美丽南湖新区。</w:t>
      </w:r>
    </w:p>
    <w:p w14:paraId="2CEB5F8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（八）“两山”创新实践基地创建情况</w:t>
      </w:r>
    </w:p>
    <w:p w14:paraId="5546863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当前南湖新区“两山”创新实践基地创建项目已入省厅储备库。</w:t>
      </w:r>
    </w:p>
    <w:p w14:paraId="6711D453">
      <w:pPr>
        <w:pStyle w:val="10"/>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6DE1659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40" w:firstLineChars="200"/>
        <w:jc w:val="both"/>
        <w:rPr>
          <w:rFonts w:hint="default"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（一）污水收集仍有缺口。管网建设不完善，雨污分流不彻底，导致生活污水收集缺口大，污水处理厂进水浓度不稳定。</w:t>
      </w:r>
    </w:p>
    <w:p w14:paraId="2539CCD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（二）黄梅港治理成效较差。一是水体流动性差，在下游段形成死水，造成水体富营养化逐渐严重，水质变差；二是流域范围内管网建设不完善、雨污管网混接改造进度缓慢；三是周边存在农业面源污染。</w:t>
      </w:r>
    </w:p>
    <w:p w14:paraId="15BF98C3">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lang w:val="en-US" w:eastAsia="zh-CN" w:bidi="ar-SA"/>
        </w:rPr>
        <w:t>八、</w:t>
      </w:r>
      <w:r>
        <w:rPr>
          <w:rFonts w:hint="default" w:ascii="Times New Roman" w:hAnsi="Times New Roman" w:eastAsia="黑体" w:cs="Times New Roman"/>
          <w:sz w:val="32"/>
          <w:szCs w:val="32"/>
          <w:highlight w:val="none"/>
        </w:rPr>
        <w:t>下一步改进措施</w:t>
      </w:r>
    </w:p>
    <w:p w14:paraId="0747154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40" w:firstLineChars="20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（一）持续推进特护期污染防治攻坚战和夏季攻势工作</w:t>
      </w:r>
    </w:p>
    <w:p w14:paraId="214F45F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一是加大大气污染防治工作力度。加强巡查、督查，协调、督导各责任单位落实大气污染防治工作职责，空气质量较2023年有明显改善，空气质量优良率、PM2.5浓度达到考核要求，力争空气质量达到国家二级标准。</w:t>
      </w:r>
    </w:p>
    <w:p w14:paraId="7E9F772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二是持续开展水污染防治攻坚。做好枯水期水环境管理工作，进一步加大南湖治理力度，力争南湖水质全年稳定达到地表水Ⅲ类，并做好南湖水华防治工作，避免出现蓝藻大面积爆发。做好双塘村“千人以上”饮用水源地保护工作，开展饮用水源地水质检测。</w:t>
      </w:r>
    </w:p>
    <w:p w14:paraId="0A7D43C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三是加强项目申报和资金监管。加大项目申报力度，对已申报落地的项目加快项目实施和资金监管。</w:t>
      </w:r>
    </w:p>
    <w:p w14:paraId="4F75CF8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四是做好企业服务工作。加强项目审批工作，对符合条件的项目一律从快、从简审批，做好项目审批信息公开工作。组织企业开展排污许可证、固废相关工作培训，对企业存在的问题进行解答，对相关系统操作进行解读。</w:t>
      </w:r>
    </w:p>
    <w:p w14:paraId="1641F14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（二）坚守生态环境安全底线</w:t>
      </w:r>
    </w:p>
    <w:p w14:paraId="2EDE132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一是贯彻实施好南湖截污、活水等“十字治理方针”，配合有关部门抓好南湖综合整治；二是按照时间节点推进突出生态环境问题的整改；三是加大执法力度，维护生态领域环境安全；四是全面推进长江重点入河（湖）排口整治工作按时按序完成；五是全面推进南湖新区创建“两山”实践创新基地。</w:t>
      </w:r>
    </w:p>
    <w:p w14:paraId="6EE7AC7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（三）深入推进队伍建设</w:t>
      </w:r>
    </w:p>
    <w:p w14:paraId="6B21A8A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一是以平考工作为抓手，狠抓队伍建设，不断提升工作绩效；二是严守廉洁底线，深入推进党风廉政建设和党纪学习，持续抓好违规收送红包礼金整治、严禁酒驾醉驾整治等工作；三是持续推进“五化”建设、守护好“一江碧水”等党建工作。</w:t>
      </w:r>
    </w:p>
    <w:p w14:paraId="4ED1BF26">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14:paraId="79B20CC9">
      <w:pPr>
        <w:pStyle w:val="2"/>
        <w:ind w:firstLine="620" w:firstLineChars="200"/>
        <w:rPr>
          <w:rFonts w:hint="default"/>
        </w:rPr>
      </w:pPr>
      <w:r>
        <w:rPr>
          <w:rFonts w:hint="default"/>
        </w:rPr>
        <w:t>本单位绩效自评结果为</w:t>
      </w:r>
      <w:r>
        <w:rPr>
          <w:rFonts w:hint="eastAsia"/>
          <w:lang w:eastAsia="zh-CN"/>
        </w:rPr>
        <w:t>优秀</w:t>
      </w:r>
      <w:r>
        <w:rPr>
          <w:rFonts w:hint="default"/>
        </w:rPr>
        <w:t>等级。下一步将根据财政检查绩效自评发现的问题等进行改善，并按政务公开的相关规定，及时将部门整体支出及项目绩效自评报告，通过门户网站向社会公开。</w:t>
      </w:r>
    </w:p>
    <w:p w14:paraId="0DAC02B3">
      <w:pPr>
        <w:keepNext w:val="0"/>
        <w:keepLines w:val="0"/>
        <w:pageBreakBefore w:val="0"/>
        <w:widowControl/>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lang w:val="en-US" w:eastAsia="zh-CN" w:bidi="ar-SA"/>
        </w:rPr>
        <w:t>十、</w:t>
      </w:r>
      <w:r>
        <w:rPr>
          <w:rFonts w:hint="default" w:ascii="Times New Roman" w:hAnsi="Times New Roman" w:eastAsia="黑体" w:cs="Times New Roman"/>
          <w:sz w:val="32"/>
          <w:szCs w:val="32"/>
          <w:highlight w:val="none"/>
        </w:rPr>
        <w:t>其他需要说明的情况</w:t>
      </w:r>
    </w:p>
    <w:p w14:paraId="00995362">
      <w:pPr>
        <w:pStyle w:val="2"/>
        <w:ind w:firstLine="620" w:firstLineChars="200"/>
        <w:rPr>
          <w:rFonts w:hint="eastAsia"/>
          <w:lang w:eastAsia="zh-CN"/>
        </w:rPr>
      </w:pPr>
      <w:r>
        <w:rPr>
          <w:rFonts w:hint="eastAsia"/>
          <w:lang w:eastAsia="zh-CN"/>
        </w:rPr>
        <w:t>无。</w:t>
      </w:r>
    </w:p>
    <w:p w14:paraId="6EAABB90">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4D13CD54">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14:paraId="0FF70916">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14:paraId="263774BF">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14:paraId="4AD728F2">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14:paraId="5C60B53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14:paraId="3232D62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14:paraId="1A4C12FD">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14:paraId="6FE0048C">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D5912"/>
    <w:multiLevelType w:val="singleLevel"/>
    <w:tmpl w:val="0D6D5912"/>
    <w:lvl w:ilvl="0" w:tentative="0">
      <w:start w:val="1"/>
      <w:numFmt w:val="chineseCounting"/>
      <w:suff w:val="nothing"/>
      <w:lvlText w:val="%1、"/>
      <w:lvlJc w:val="left"/>
      <w:rPr>
        <w:rFonts w:hint="eastAsia"/>
      </w:rPr>
    </w:lvl>
  </w:abstractNum>
  <w:abstractNum w:abstractNumId="1">
    <w:nsid w:val="472DDDE8"/>
    <w:multiLevelType w:val="singleLevel"/>
    <w:tmpl w:val="472DDDE8"/>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59886344"/>
    <w:rsid w:val="01A63CD7"/>
    <w:rsid w:val="02740C23"/>
    <w:rsid w:val="03380674"/>
    <w:rsid w:val="044779E7"/>
    <w:rsid w:val="04665F1D"/>
    <w:rsid w:val="05412745"/>
    <w:rsid w:val="058C7E64"/>
    <w:rsid w:val="05FD2B10"/>
    <w:rsid w:val="0AC8263F"/>
    <w:rsid w:val="0C844E03"/>
    <w:rsid w:val="0CE01F46"/>
    <w:rsid w:val="0D9D24E2"/>
    <w:rsid w:val="0EA578A0"/>
    <w:rsid w:val="0FFE195E"/>
    <w:rsid w:val="10282A91"/>
    <w:rsid w:val="113A4C18"/>
    <w:rsid w:val="11496C09"/>
    <w:rsid w:val="11F748B7"/>
    <w:rsid w:val="127C4DBC"/>
    <w:rsid w:val="16FF2141"/>
    <w:rsid w:val="17E01CEC"/>
    <w:rsid w:val="18B23140"/>
    <w:rsid w:val="191F5F30"/>
    <w:rsid w:val="1AF62AC5"/>
    <w:rsid w:val="1C161A62"/>
    <w:rsid w:val="1EA00084"/>
    <w:rsid w:val="1ED96131"/>
    <w:rsid w:val="20566C4C"/>
    <w:rsid w:val="21884F0C"/>
    <w:rsid w:val="219429D4"/>
    <w:rsid w:val="22FC2861"/>
    <w:rsid w:val="23B66BD2"/>
    <w:rsid w:val="25DD15C5"/>
    <w:rsid w:val="26676CA3"/>
    <w:rsid w:val="269229A8"/>
    <w:rsid w:val="29171045"/>
    <w:rsid w:val="2A222295"/>
    <w:rsid w:val="2D1A7254"/>
    <w:rsid w:val="307028E6"/>
    <w:rsid w:val="30B8300C"/>
    <w:rsid w:val="3188594B"/>
    <w:rsid w:val="3229553B"/>
    <w:rsid w:val="3375292D"/>
    <w:rsid w:val="33C63C91"/>
    <w:rsid w:val="35E12B4D"/>
    <w:rsid w:val="38657F1D"/>
    <w:rsid w:val="3925145A"/>
    <w:rsid w:val="393A75ED"/>
    <w:rsid w:val="39404BDD"/>
    <w:rsid w:val="398A3CE5"/>
    <w:rsid w:val="3D7F6A3A"/>
    <w:rsid w:val="3E081DAF"/>
    <w:rsid w:val="406C7CC6"/>
    <w:rsid w:val="438D1852"/>
    <w:rsid w:val="447339C1"/>
    <w:rsid w:val="469E71A8"/>
    <w:rsid w:val="474F17A4"/>
    <w:rsid w:val="49547006"/>
    <w:rsid w:val="49555444"/>
    <w:rsid w:val="49CA4977"/>
    <w:rsid w:val="4A0C3094"/>
    <w:rsid w:val="4ECF5C98"/>
    <w:rsid w:val="4EE43655"/>
    <w:rsid w:val="4F0B013B"/>
    <w:rsid w:val="55A439DB"/>
    <w:rsid w:val="568B06F7"/>
    <w:rsid w:val="570A0F13"/>
    <w:rsid w:val="57CE2F91"/>
    <w:rsid w:val="58095CBB"/>
    <w:rsid w:val="59616E04"/>
    <w:rsid w:val="59886344"/>
    <w:rsid w:val="5AF17033"/>
    <w:rsid w:val="5B1C7423"/>
    <w:rsid w:val="5B531ADB"/>
    <w:rsid w:val="5BEA24B6"/>
    <w:rsid w:val="5C0105BA"/>
    <w:rsid w:val="5D55249C"/>
    <w:rsid w:val="5DAF73C1"/>
    <w:rsid w:val="61811074"/>
    <w:rsid w:val="61C6117D"/>
    <w:rsid w:val="645227C1"/>
    <w:rsid w:val="66263ABB"/>
    <w:rsid w:val="679338AF"/>
    <w:rsid w:val="699C5B6F"/>
    <w:rsid w:val="6B2A452A"/>
    <w:rsid w:val="6CAB51F7"/>
    <w:rsid w:val="725D3D4D"/>
    <w:rsid w:val="72C2773E"/>
    <w:rsid w:val="78DB3B19"/>
    <w:rsid w:val="791D063B"/>
    <w:rsid w:val="7ABD2CC5"/>
    <w:rsid w:val="7F0F7867"/>
    <w:rsid w:val="7F48099F"/>
    <w:rsid w:val="7F711595"/>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semiHidden/>
    <w:qFormat/>
    <w:uiPriority w:val="0"/>
    <w:rPr>
      <w:rFonts w:ascii="仿宋" w:hAnsi="仿宋" w:eastAsia="仿宋" w:cs="仿宋"/>
      <w:sz w:val="31"/>
      <w:szCs w:val="31"/>
      <w:lang w:val="en-US" w:eastAsia="en-US" w:bidi="ar-SA"/>
    </w:rPr>
  </w:style>
  <w:style w:type="paragraph" w:styleId="3">
    <w:name w:val="toc 5"/>
    <w:basedOn w:val="1"/>
    <w:next w:val="1"/>
    <w:autoRedefine/>
    <w:qFormat/>
    <w:uiPriority w:val="0"/>
    <w:pPr>
      <w:ind w:left="1680" w:leftChars="800"/>
    </w:pPr>
  </w:style>
  <w:style w:type="paragraph" w:styleId="4">
    <w:name w:val="footer"/>
    <w:qFormat/>
    <w:uiPriority w:val="0"/>
    <w:pPr>
      <w:widowControl w:val="0"/>
      <w:tabs>
        <w:tab w:val="center" w:pos="4153"/>
        <w:tab w:val="right" w:pos="8306"/>
      </w:tabs>
      <w:snapToGrid w:val="0"/>
      <w:jc w:val="left"/>
    </w:pPr>
    <w:rPr>
      <w:rFonts w:ascii="仿宋" w:hAnsi="仿宋" w:eastAsia="宋体" w:cs="Times New Roman"/>
      <w:kern w:val="0"/>
      <w:sz w:val="18"/>
      <w:szCs w:val="24"/>
      <w:lang w:val="en-US" w:eastAsia="zh-CN" w:bidi="ar-SA"/>
    </w:rPr>
  </w:style>
  <w:style w:type="paragraph" w:styleId="5">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仿宋" w:hAnsi="仿宋" w:eastAsia="宋体" w:cs="Times New Roman"/>
      <w:kern w:val="0"/>
      <w:sz w:val="18"/>
      <w:szCs w:val="24"/>
      <w:lang w:val="en-US" w:eastAsia="zh-CN" w:bidi="ar-SA"/>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列出段落1"/>
    <w:basedOn w:val="1"/>
    <w:autoRedefine/>
    <w:qFormat/>
    <w:uiPriority w:val="34"/>
    <w:pPr>
      <w:ind w:firstLine="420" w:firstLineChars="200"/>
    </w:pPr>
  </w:style>
  <w:style w:type="paragraph" w:styleId="10">
    <w:name w:val="List Paragraph"/>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1646</Words>
  <Characters>1960</Characters>
  <Lines>0</Lines>
  <Paragraphs>0</Paragraphs>
  <TotalTime>67</TotalTime>
  <ScaleCrop>false</ScaleCrop>
  <LinksUpToDate>false</LinksUpToDate>
  <CharactersWithSpaces>2124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Y</cp:lastModifiedBy>
  <dcterms:modified xsi:type="dcterms:W3CDTF">2025-09-19T08:49:53Z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13E7E8408E0B4943BD534401FD34B28E_13</vt:lpwstr>
  </property>
  <property fmtid="{D5CDD505-2E9C-101B-9397-08002B2CF9AE}" pid="4" name="KSOTemplateDocerSaveRecord">
    <vt:lpwstr>eyJoZGlkIjoiYTI1ZWRhODIzZjNkMzE5ODI3Y2UwZTM2NjQ3YjE4YjIiLCJ1c2VySWQiOiI1Mzg0MzA5MzAifQ==</vt:lpwstr>
  </property>
</Properties>
</file>