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3"/>
        <w:jc w:val="center"/>
        <w:rPr>
          <w:sz w:val="56"/>
          <w:szCs w:val="56"/>
        </w:rPr>
      </w:pPr>
    </w:p>
    <w:p w14:paraId="3BDF5AB8">
      <w:pPr>
        <w:pStyle w:val="13"/>
        <w:jc w:val="center"/>
        <w:rPr>
          <w:sz w:val="56"/>
          <w:szCs w:val="56"/>
        </w:rPr>
      </w:pPr>
    </w:p>
    <w:p w14:paraId="60CA4575">
      <w:pPr>
        <w:pStyle w:val="13"/>
        <w:jc w:val="center"/>
        <w:rPr>
          <w:sz w:val="84"/>
          <w:szCs w:val="84"/>
        </w:rPr>
      </w:pPr>
    </w:p>
    <w:p w14:paraId="215EB31D">
      <w:pPr>
        <w:pStyle w:val="13"/>
        <w:jc w:val="center"/>
        <w:rPr>
          <w:sz w:val="84"/>
          <w:szCs w:val="84"/>
        </w:rPr>
      </w:pPr>
    </w:p>
    <w:p w14:paraId="376C8602">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岳阳市生态环境局南湖新区分局部门（单位）部门决算</w:t>
      </w:r>
    </w:p>
    <w:p w14:paraId="3A699C16">
      <w:pPr>
        <w:pStyle w:val="13"/>
        <w:jc w:val="center"/>
        <w:rPr>
          <w:rFonts w:hint="eastAsia" w:ascii="方正小标宋_GBK" w:hAnsi="方正小标宋_GBK" w:eastAsia="方正小标宋_GBK" w:cs="方正小标宋_GBK"/>
          <w:sz w:val="56"/>
          <w:szCs w:val="56"/>
        </w:rPr>
      </w:pPr>
    </w:p>
    <w:p w14:paraId="72C8FB58">
      <w:pPr>
        <w:pStyle w:val="13"/>
        <w:jc w:val="center"/>
        <w:rPr>
          <w:sz w:val="56"/>
          <w:szCs w:val="56"/>
        </w:rPr>
      </w:pPr>
    </w:p>
    <w:p w14:paraId="25018D25">
      <w:pPr>
        <w:pStyle w:val="13"/>
        <w:jc w:val="center"/>
        <w:rPr>
          <w:sz w:val="56"/>
          <w:szCs w:val="56"/>
        </w:rPr>
      </w:pPr>
    </w:p>
    <w:p w14:paraId="5EE73A38">
      <w:pPr>
        <w:pStyle w:val="13"/>
        <w:jc w:val="center"/>
        <w:rPr>
          <w:sz w:val="56"/>
          <w:szCs w:val="56"/>
        </w:rPr>
      </w:pPr>
    </w:p>
    <w:p w14:paraId="297571C5">
      <w:pPr>
        <w:pStyle w:val="13"/>
        <w:jc w:val="center"/>
        <w:rPr>
          <w:sz w:val="32"/>
          <w:szCs w:val="32"/>
        </w:rPr>
      </w:pPr>
    </w:p>
    <w:p w14:paraId="08493D1E">
      <w:pPr>
        <w:pStyle w:val="13"/>
        <w:jc w:val="center"/>
        <w:rPr>
          <w:sz w:val="32"/>
          <w:szCs w:val="32"/>
        </w:rPr>
      </w:pPr>
    </w:p>
    <w:p w14:paraId="5BD6E8BD">
      <w:pPr>
        <w:pStyle w:val="13"/>
        <w:jc w:val="center"/>
        <w:rPr>
          <w:sz w:val="32"/>
          <w:szCs w:val="32"/>
        </w:rPr>
      </w:pPr>
    </w:p>
    <w:p w14:paraId="1062A3B4">
      <w:pPr>
        <w:pStyle w:val="13"/>
        <w:jc w:val="center"/>
        <w:rPr>
          <w:sz w:val="32"/>
          <w:szCs w:val="32"/>
        </w:rPr>
      </w:pPr>
    </w:p>
    <w:p w14:paraId="24F3309B">
      <w:pPr>
        <w:pStyle w:val="13"/>
        <w:spacing w:line="500" w:lineRule="exact"/>
        <w:jc w:val="center"/>
        <w:rPr>
          <w:b/>
          <w:sz w:val="36"/>
          <w:szCs w:val="28"/>
        </w:rPr>
      </w:pPr>
      <w:r>
        <w:rPr>
          <w:rFonts w:hint="eastAsia"/>
          <w:b/>
          <w:sz w:val="36"/>
          <w:szCs w:val="28"/>
        </w:rPr>
        <w:t>目录</w:t>
      </w:r>
    </w:p>
    <w:p w14:paraId="6CBD0C2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岳阳市生态环境局南湖新区分局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3"/>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3"/>
        <w:jc w:val="center"/>
        <w:rPr>
          <w:rFonts w:hint="eastAsia" w:ascii="方正小标宋_GBK" w:hAnsi="方正小标宋_GBK" w:eastAsia="方正小标宋_GBK" w:cs="方正小标宋_GBK"/>
          <w:sz w:val="84"/>
          <w:szCs w:val="84"/>
        </w:rPr>
      </w:pPr>
    </w:p>
    <w:p w14:paraId="1095DEAB">
      <w:pPr>
        <w:pStyle w:val="13"/>
        <w:jc w:val="center"/>
        <w:rPr>
          <w:rFonts w:hint="eastAsia" w:ascii="方正小标宋_GBK" w:hAnsi="方正小标宋_GBK" w:eastAsia="方正小标宋_GBK" w:cs="方正小标宋_GBK"/>
          <w:sz w:val="84"/>
          <w:szCs w:val="84"/>
        </w:rPr>
      </w:pPr>
    </w:p>
    <w:p w14:paraId="0DEEC24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3"/>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岳阳市生态环境局南湖新区分局</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55E857AF">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7736A5A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（一）负责辖区内环境规划、环境管理、环境宣传教育、环境监察等工作，会同有关部门编制并监督实施重点区域、流域、饮用水水源地保护等生态环境规划和水、大气环境、声环境功能区划。</w:t>
      </w:r>
    </w:p>
    <w:p w14:paraId="174FDC9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（二）负责南湖新区生态环境问题的统筹协调和监督管理。</w:t>
      </w:r>
    </w:p>
    <w:p w14:paraId="673E495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（三）负责落实减排目标。</w:t>
      </w:r>
    </w:p>
    <w:p w14:paraId="26A3F05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（四）负责环境污染防治的监督管理。</w:t>
      </w:r>
    </w:p>
    <w:p w14:paraId="2569FF9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（五）指导协调和监督生态保护修复工作。</w:t>
      </w:r>
    </w:p>
    <w:p w14:paraId="128F678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（六）负责核与辐射安全的监督管理。</w:t>
      </w:r>
    </w:p>
    <w:p w14:paraId="0EB8052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（七）负责生态环境准入的监督管理。</w:t>
      </w:r>
    </w:p>
    <w:p w14:paraId="21A75CF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（八）负责重点污染源监测工作。</w:t>
      </w:r>
    </w:p>
    <w:p w14:paraId="53E4E3D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（九）负责应对气候变化工作。</w:t>
      </w:r>
    </w:p>
    <w:p w14:paraId="1A79615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（十）配合开展生态环境保护督察工作。</w:t>
      </w:r>
    </w:p>
    <w:p w14:paraId="0E947C1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（十一）统一监督生态环境执法工作。</w:t>
      </w:r>
    </w:p>
    <w:p w14:paraId="6D0233B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（十二）组织指导和协调生态环境宣传教育工作，贯彻实施生态环境保护宣传教育纲要，推动社会组织和公众参与生态环境保护。</w:t>
      </w:r>
    </w:p>
    <w:p w14:paraId="0C94E47D">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（十三）完成市生态环境局、南湖新区党委、管委交办的其他事项。</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6C95E128">
      <w:pPr>
        <w:keepNext w:val="0"/>
        <w:keepLines w:val="0"/>
        <w:pageBreakBefore w:val="0"/>
        <w:kinsoku/>
        <w:wordWrap/>
        <w:overflowPunct/>
        <w:topLinePunct w:val="0"/>
        <w:autoSpaceDE/>
        <w:autoSpaceDN/>
        <w:bidi w:val="0"/>
        <w:adjustRightInd/>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（一）内设机构设置。岳阳市生态环境局南湖新区分局内设机构包括：独立编制，核算机构数1个，核定编制数为</w:t>
      </w:r>
      <w:r>
        <w:rPr>
          <w:rFonts w:hint="eastAsia" w:ascii="Times New Roman" w:hAnsi="Times New Roman" w:eastAsia="仿宋_GB2312" w:cs="仿宋_GB2312"/>
          <w:bCs/>
          <w:kern w:val="0"/>
          <w:sz w:val="32"/>
          <w:szCs w:val="32"/>
          <w:lang w:val="en-US" w:eastAsia="zh-CN"/>
        </w:rPr>
        <w:t>9</w:t>
      </w:r>
      <w:r>
        <w:rPr>
          <w:rFonts w:hint="eastAsia" w:ascii="Times New Roman" w:hAnsi="Times New Roman" w:eastAsia="仿宋_GB2312" w:cs="仿宋_GB2312"/>
          <w:bCs/>
          <w:kern w:val="0"/>
          <w:sz w:val="32"/>
          <w:szCs w:val="32"/>
        </w:rPr>
        <w:t>人，现在实有编制人员</w:t>
      </w:r>
      <w:r>
        <w:rPr>
          <w:rFonts w:hint="eastAsia" w:ascii="Times New Roman" w:hAnsi="Times New Roman" w:eastAsia="仿宋_GB2312" w:cs="仿宋_GB2312"/>
          <w:bCs/>
          <w:kern w:val="0"/>
          <w:sz w:val="32"/>
          <w:szCs w:val="32"/>
          <w:lang w:val="en-US" w:eastAsia="zh-CN"/>
        </w:rPr>
        <w:t>9</w:t>
      </w:r>
      <w:r>
        <w:rPr>
          <w:rFonts w:hint="eastAsia" w:ascii="Times New Roman" w:hAnsi="Times New Roman" w:eastAsia="仿宋_GB2312" w:cs="仿宋_GB2312"/>
          <w:bCs/>
          <w:kern w:val="0"/>
          <w:sz w:val="32"/>
          <w:szCs w:val="32"/>
        </w:rPr>
        <w:t>人，</w:t>
      </w:r>
      <w:r>
        <w:rPr>
          <w:rFonts w:hint="eastAsia" w:ascii="Times New Roman" w:hAnsi="Times New Roman" w:eastAsia="仿宋_GB2312" w:cs="仿宋_GB2312"/>
          <w:bCs/>
          <w:kern w:val="0"/>
          <w:sz w:val="32"/>
          <w:szCs w:val="32"/>
          <w:lang w:eastAsia="zh-CN"/>
        </w:rPr>
        <w:t>退休人数</w:t>
      </w:r>
      <w:r>
        <w:rPr>
          <w:rFonts w:hint="eastAsia" w:ascii="Times New Roman" w:hAnsi="Times New Roman" w:eastAsia="仿宋_GB2312" w:cs="仿宋_GB2312"/>
          <w:bCs/>
          <w:kern w:val="0"/>
          <w:sz w:val="32"/>
          <w:szCs w:val="32"/>
          <w:lang w:val="en-US" w:eastAsia="zh-CN"/>
        </w:rPr>
        <w:t>2人。</w:t>
      </w:r>
      <w:r>
        <w:rPr>
          <w:rFonts w:hint="eastAsia" w:ascii="Times New Roman" w:hAnsi="Times New Roman" w:eastAsia="仿宋_GB2312" w:cs="仿宋_GB2312"/>
          <w:bCs/>
          <w:kern w:val="0"/>
          <w:sz w:val="32"/>
          <w:szCs w:val="32"/>
        </w:rPr>
        <w:t>属于岳阳市生态环境局的派出机构，下设3个股室：办公室、管理股、监察大队。</w:t>
      </w:r>
    </w:p>
    <w:p w14:paraId="38F8B787">
      <w:pPr>
        <w:ind w:firstLine="640" w:firstLineChars="200"/>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（二）决算单位构成。岳阳市生态环境局南湖新区分局202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2024年度部门决算汇总公开单位仅包括岳阳市生态环境局南湖新区分局单位本级</w:t>
      </w:r>
      <w:r>
        <w:rPr>
          <w:rFonts w:hint="eastAsia" w:ascii="Times New Roman" w:hAnsi="Times New Roman" w:eastAsia="仿宋_GB2312" w:cs="仿宋_GB2312"/>
          <w:bCs/>
          <w:kern w:val="0"/>
          <w:sz w:val="32"/>
          <w:szCs w:val="32"/>
        </w:rPr>
        <w:t>。</w:t>
      </w:r>
    </w:p>
    <w:p w14:paraId="38152785"/>
    <w:p w14:paraId="3CE56614">
      <w:pPr>
        <w:pStyle w:val="2"/>
      </w:pPr>
    </w:p>
    <w:p w14:paraId="70B4D569">
      <w:pPr>
        <w:pStyle w:val="3"/>
      </w:pPr>
    </w:p>
    <w:p w14:paraId="5B1D6CBC"/>
    <w:p w14:paraId="2B49F2B7">
      <w:pPr>
        <w:pStyle w:val="13"/>
        <w:jc w:val="center"/>
        <w:rPr>
          <w:rFonts w:hint="eastAsia" w:ascii="方正小标宋_GBK" w:hAnsi="方正小标宋_GBK" w:eastAsia="方正小标宋_GBK" w:cs="方正小标宋_GBK"/>
          <w:sz w:val="84"/>
          <w:szCs w:val="84"/>
        </w:rPr>
      </w:pPr>
    </w:p>
    <w:p w14:paraId="661BBFC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3"/>
        <w:jc w:val="center"/>
        <w:rPr>
          <w:rFonts w:hint="eastAsia" w:ascii="方正小标宋_GBK" w:hAnsi="方正小标宋_GBK" w:eastAsia="方正小标宋_GBK" w:cs="方正小标宋_GBK"/>
          <w:sz w:val="84"/>
          <w:szCs w:val="84"/>
        </w:rPr>
      </w:pPr>
    </w:p>
    <w:p w14:paraId="3860F185">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3"/>
        <w:jc w:val="center"/>
        <w:rPr>
          <w:rFonts w:hint="eastAsia" w:ascii="仿宋_GB2312" w:hAnsi="仿宋_GB2312" w:eastAsia="仿宋_GB2312" w:cs="仿宋_GB2312"/>
          <w:b w:val="0"/>
          <w:bCs w:val="0"/>
          <w:sz w:val="72"/>
          <w:szCs w:val="72"/>
          <w:lang w:eastAsia="zh-CN"/>
        </w:rPr>
      </w:pPr>
    </w:p>
    <w:p w14:paraId="0568D1B8">
      <w:pPr>
        <w:pStyle w:val="13"/>
        <w:jc w:val="center"/>
        <w:rPr>
          <w:rFonts w:hint="eastAsia" w:ascii="仿宋_GB2312" w:hAnsi="仿宋_GB2312" w:eastAsia="仿宋_GB2312" w:cs="仿宋_GB2312"/>
          <w:b w:val="0"/>
          <w:bCs w:val="0"/>
          <w:sz w:val="72"/>
          <w:szCs w:val="72"/>
          <w:lang w:eastAsia="zh-CN"/>
        </w:rPr>
      </w:pPr>
    </w:p>
    <w:p w14:paraId="5C65B646">
      <w:pPr>
        <w:pStyle w:val="13"/>
        <w:jc w:val="center"/>
        <w:rPr>
          <w:rFonts w:hint="eastAsia" w:ascii="仿宋_GB2312" w:hAnsi="仿宋_GB2312" w:eastAsia="仿宋_GB2312" w:cs="仿宋_GB2312"/>
          <w:b w:val="0"/>
          <w:bCs w:val="0"/>
          <w:sz w:val="72"/>
          <w:szCs w:val="72"/>
          <w:lang w:eastAsia="zh-CN"/>
        </w:rPr>
      </w:pPr>
    </w:p>
    <w:p w14:paraId="62EA5E89">
      <w:pPr>
        <w:pStyle w:val="13"/>
        <w:jc w:val="center"/>
        <w:rPr>
          <w:rFonts w:hint="eastAsia" w:ascii="仿宋_GB2312" w:hAnsi="仿宋_GB2312" w:eastAsia="仿宋_GB2312" w:cs="仿宋_GB2312"/>
          <w:b w:val="0"/>
          <w:bCs w:val="0"/>
          <w:sz w:val="72"/>
          <w:szCs w:val="72"/>
          <w:lang w:eastAsia="zh-CN"/>
        </w:rPr>
      </w:pPr>
    </w:p>
    <w:p w14:paraId="63BFFD84">
      <w:pPr>
        <w:pStyle w:val="13"/>
        <w:jc w:val="center"/>
        <w:rPr>
          <w:rFonts w:hint="eastAsia" w:ascii="仿宋_GB2312" w:hAnsi="仿宋_GB2312" w:eastAsia="仿宋_GB2312" w:cs="仿宋_GB2312"/>
          <w:b w:val="0"/>
          <w:bCs w:val="0"/>
          <w:sz w:val="72"/>
          <w:szCs w:val="72"/>
          <w:lang w:eastAsia="zh-CN"/>
        </w:rPr>
      </w:pPr>
    </w:p>
    <w:p w14:paraId="4565BABE">
      <w:pPr>
        <w:pStyle w:val="13"/>
        <w:jc w:val="center"/>
        <w:rPr>
          <w:rFonts w:hint="eastAsia" w:ascii="仿宋_GB2312" w:hAnsi="仿宋_GB2312" w:eastAsia="仿宋_GB2312" w:cs="仿宋_GB2312"/>
          <w:b w:val="0"/>
          <w:bCs w:val="0"/>
          <w:sz w:val="72"/>
          <w:szCs w:val="72"/>
          <w:lang w:eastAsia="zh-CN"/>
        </w:rPr>
      </w:pPr>
    </w:p>
    <w:p w14:paraId="6EEAB3EF">
      <w:pPr>
        <w:pStyle w:val="13"/>
        <w:jc w:val="center"/>
        <w:rPr>
          <w:rFonts w:hint="eastAsia" w:ascii="仿宋_GB2312" w:hAnsi="仿宋_GB2312" w:eastAsia="仿宋_GB2312" w:cs="仿宋_GB2312"/>
          <w:b w:val="0"/>
          <w:bCs w:val="0"/>
          <w:sz w:val="72"/>
          <w:szCs w:val="72"/>
          <w:lang w:eastAsia="zh-CN"/>
        </w:rPr>
      </w:pPr>
    </w:p>
    <w:p w14:paraId="603C04A7">
      <w:pPr>
        <w:pStyle w:val="13"/>
        <w:jc w:val="center"/>
        <w:rPr>
          <w:rFonts w:hint="eastAsia" w:ascii="方正小标宋_GBK" w:hAnsi="方正小标宋_GBK" w:eastAsia="方正小标宋_GBK" w:cs="方正小标宋_GBK"/>
          <w:sz w:val="72"/>
          <w:szCs w:val="72"/>
        </w:rPr>
      </w:pPr>
    </w:p>
    <w:p w14:paraId="7A44A82E">
      <w:pPr>
        <w:pStyle w:val="13"/>
        <w:jc w:val="center"/>
        <w:rPr>
          <w:rFonts w:hint="eastAsia" w:ascii="方正小标宋_GBK" w:hAnsi="方正小标宋_GBK" w:eastAsia="方正小标宋_GBK" w:cs="方正小标宋_GBK"/>
          <w:sz w:val="72"/>
          <w:szCs w:val="72"/>
        </w:rPr>
      </w:pPr>
    </w:p>
    <w:p w14:paraId="06211665">
      <w:pPr>
        <w:pStyle w:val="13"/>
        <w:jc w:val="both"/>
        <w:rPr>
          <w:rFonts w:hint="eastAsia" w:ascii="方正小标宋_GBK" w:hAnsi="方正小标宋_GBK" w:eastAsia="方正小标宋_GBK" w:cs="方正小标宋_GBK"/>
          <w:sz w:val="72"/>
          <w:szCs w:val="72"/>
        </w:rPr>
      </w:pPr>
    </w:p>
    <w:p w14:paraId="7804FBAA">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3"/>
        <w:jc w:val="center"/>
        <w:rPr>
          <w:rFonts w:hint="eastAsia" w:ascii="方正小标宋_GBK" w:hAnsi="方正小标宋_GBK" w:eastAsia="方正小标宋_GBK" w:cs="方正小标宋_GBK"/>
          <w:sz w:val="70"/>
          <w:szCs w:val="70"/>
        </w:rPr>
      </w:pPr>
    </w:p>
    <w:p w14:paraId="4F77A5A6">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3"/>
        <w:jc w:val="center"/>
        <w:rPr>
          <w:rFonts w:hint="eastAsia" w:ascii="方正小标宋_GBK" w:hAnsi="方正小标宋_GBK" w:eastAsia="方正小标宋_GBK" w:cs="方正小标宋_GBK"/>
          <w:sz w:val="70"/>
          <w:szCs w:val="70"/>
        </w:rPr>
      </w:pPr>
    </w:p>
    <w:p w14:paraId="6EEC30AB">
      <w:pPr>
        <w:pStyle w:val="13"/>
        <w:jc w:val="center"/>
        <w:rPr>
          <w:rFonts w:hint="eastAsia" w:ascii="方正小标宋_GBK" w:hAnsi="方正小标宋_GBK" w:eastAsia="方正小标宋_GBK" w:cs="方正小标宋_GBK"/>
          <w:sz w:val="70"/>
          <w:szCs w:val="70"/>
        </w:rPr>
      </w:pPr>
    </w:p>
    <w:p w14:paraId="417367C1">
      <w:pPr>
        <w:pStyle w:val="13"/>
        <w:jc w:val="center"/>
        <w:rPr>
          <w:rFonts w:hint="eastAsia" w:ascii="方正小标宋_GBK" w:hAnsi="方正小标宋_GBK" w:eastAsia="方正小标宋_GBK" w:cs="方正小标宋_GBK"/>
          <w:sz w:val="70"/>
          <w:szCs w:val="70"/>
        </w:rPr>
      </w:pPr>
    </w:p>
    <w:p w14:paraId="5EF1049C">
      <w:pPr>
        <w:pStyle w:val="13"/>
        <w:jc w:val="center"/>
        <w:rPr>
          <w:rFonts w:hint="eastAsia" w:ascii="方正小标宋_GBK" w:hAnsi="方正小标宋_GBK" w:eastAsia="方正小标宋_GBK" w:cs="方正小标宋_GBK"/>
          <w:sz w:val="70"/>
          <w:szCs w:val="70"/>
        </w:rPr>
      </w:pPr>
    </w:p>
    <w:p w14:paraId="7E4B3CF9">
      <w:pPr>
        <w:pStyle w:val="13"/>
        <w:jc w:val="center"/>
        <w:rPr>
          <w:rFonts w:hint="eastAsia" w:ascii="方正小标宋_GBK" w:hAnsi="方正小标宋_GBK" w:eastAsia="方正小标宋_GBK" w:cs="方正小标宋_GBK"/>
          <w:sz w:val="70"/>
          <w:szCs w:val="70"/>
        </w:rPr>
      </w:pPr>
    </w:p>
    <w:p w14:paraId="514C0722">
      <w:pPr>
        <w:pStyle w:val="13"/>
        <w:jc w:val="center"/>
        <w:rPr>
          <w:rFonts w:hint="eastAsia" w:ascii="方正小标宋_GBK" w:hAnsi="方正小标宋_GBK" w:eastAsia="方正小标宋_GBK" w:cs="方正小标宋_GBK"/>
          <w:sz w:val="70"/>
          <w:szCs w:val="70"/>
        </w:rPr>
      </w:pPr>
    </w:p>
    <w:p w14:paraId="2411C08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E0052D8">
      <w:pPr>
        <w:widowControl w:val="0"/>
        <w:autoSpaceDE w:val="0"/>
        <w:autoSpaceDN w:val="0"/>
        <w:adjustRightInd w:val="0"/>
        <w:ind w:firstLine="640" w:firstLineChars="200"/>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年度收、支总计324.52万元。与上年相比，增加22.28万元，增长</w:t>
      </w:r>
      <w:r>
        <w:rPr>
          <w:rFonts w:hint="eastAsia" w:ascii="仿宋_GB2312" w:hAnsi="仿宋_GB2312" w:eastAsia="仿宋_GB2312" w:cs="仿宋_GB2312"/>
          <w:sz w:val="32"/>
          <w:szCs w:val="32"/>
          <w:lang w:val="en-US" w:eastAsia="zh-CN"/>
        </w:rPr>
        <w:t>7.37</w:t>
      </w:r>
      <w:r>
        <w:rPr>
          <w:rFonts w:hint="eastAsia" w:ascii="仿宋_GB2312" w:hAnsi="仿宋_GB2312" w:eastAsia="仿宋_GB2312" w:cs="仿宋_GB2312"/>
          <w:sz w:val="32"/>
          <w:szCs w:val="32"/>
        </w:rPr>
        <w:t>%，主要是因为2024年区财政拨入相关经费增加。</w:t>
      </w:r>
    </w:p>
    <w:p w14:paraId="07DA9E3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年度收入合计321.98万元，其中：财政拨款收入246.5</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76.56</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%；其他收入75.46万元，占</w:t>
      </w:r>
      <w:r>
        <w:rPr>
          <w:rFonts w:hint="eastAsia" w:ascii="仿宋_GB2312" w:hAnsi="仿宋_GB2312" w:eastAsia="仿宋_GB2312" w:cs="仿宋_GB2312"/>
          <w:sz w:val="32"/>
          <w:szCs w:val="32"/>
          <w:lang w:val="en-US" w:eastAsia="zh-CN"/>
        </w:rPr>
        <w:t>23.44</w:t>
      </w:r>
      <w:r>
        <w:rPr>
          <w:rFonts w:hint="eastAsia" w:ascii="仿宋_GB2312" w:hAnsi="仿宋_GB2312" w:eastAsia="仿宋_GB2312" w:cs="仿宋_GB2312"/>
          <w:sz w:val="32"/>
          <w:szCs w:val="32"/>
        </w:rPr>
        <w:t>%。</w:t>
      </w:r>
    </w:p>
    <w:p w14:paraId="2D1A2B4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年度支出合计289.05万元，其中：基本支出229.4</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79.36</w:t>
      </w:r>
      <w:r>
        <w:rPr>
          <w:rFonts w:hint="eastAsia" w:ascii="仿宋_GB2312" w:hAnsi="仿宋_GB2312" w:eastAsia="仿宋_GB2312" w:cs="仿宋_GB2312"/>
          <w:sz w:val="32"/>
          <w:szCs w:val="32"/>
        </w:rPr>
        <w:t>%；项目支出59.65万元，占</w:t>
      </w:r>
      <w:r>
        <w:rPr>
          <w:rFonts w:hint="eastAsia" w:ascii="仿宋_GB2312" w:hAnsi="仿宋_GB2312" w:eastAsia="仿宋_GB2312" w:cs="仿宋_GB2312"/>
          <w:sz w:val="32"/>
          <w:szCs w:val="32"/>
          <w:lang w:val="en-US" w:eastAsia="zh-CN"/>
        </w:rPr>
        <w:t>20.64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6985752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widowControl w:val="0"/>
        <w:autoSpaceDE w:val="0"/>
        <w:autoSpaceDN w:val="0"/>
        <w:adjustRightInd w:val="0"/>
        <w:ind w:firstLine="640" w:firstLineChars="200"/>
        <w:rPr>
          <w:rFonts w:hint="eastAsia" w:ascii="楷体" w:hAnsi="楷体" w:eastAsia="楷体" w:cs="楷体"/>
          <w:i/>
          <w:iCs/>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年度财政拨款收、支总计246.5</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万元，与上年相比，增加9.28万元,增长</w:t>
      </w:r>
      <w:r>
        <w:rPr>
          <w:rFonts w:hint="eastAsia" w:ascii="仿宋_GB2312" w:hAnsi="仿宋_GB2312" w:eastAsia="仿宋_GB2312" w:cs="仿宋_GB2312"/>
          <w:sz w:val="32"/>
          <w:szCs w:val="32"/>
          <w:lang w:val="en-US" w:eastAsia="zh-CN"/>
        </w:rPr>
        <w:t>3.91</w:t>
      </w:r>
      <w:r>
        <w:rPr>
          <w:rFonts w:hint="eastAsia" w:ascii="仿宋_GB2312" w:hAnsi="仿宋_GB2312" w:eastAsia="仿宋_GB2312" w:cs="仿宋_GB2312"/>
          <w:sz w:val="32"/>
          <w:szCs w:val="32"/>
        </w:rPr>
        <w:t>%，主要是因为2024年区财政拨入相关经费增加。</w:t>
      </w:r>
    </w:p>
    <w:p w14:paraId="4BB30A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6F15B1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年度财政拨款支出246.52万元，占本年支出合计的</w:t>
      </w:r>
      <w:r>
        <w:rPr>
          <w:rFonts w:hint="eastAsia" w:ascii="仿宋_GB2312" w:hAnsi="仿宋_GB2312" w:eastAsia="仿宋_GB2312" w:cs="仿宋_GB2312"/>
          <w:sz w:val="32"/>
          <w:szCs w:val="32"/>
          <w:lang w:val="en-US" w:eastAsia="zh-CN"/>
        </w:rPr>
        <w:t>85.29</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9.28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3.91</w:t>
      </w:r>
      <w:r>
        <w:rPr>
          <w:rFonts w:hint="eastAsia" w:ascii="仿宋_GB2312" w:hAnsi="仿宋_GB2312" w:eastAsia="仿宋_GB2312" w:cs="仿宋_GB2312"/>
          <w:sz w:val="32"/>
          <w:szCs w:val="32"/>
        </w:rPr>
        <w:t>%，主要是因为2024年区财政拨入相关经费增加。</w:t>
      </w:r>
    </w:p>
    <w:p w14:paraId="66C54C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年度财政拨款支出246.52万元，主要用于以下方面：社会保障和就业（类）支出15.96万元，占</w:t>
      </w:r>
      <w:r>
        <w:rPr>
          <w:rFonts w:hint="eastAsia" w:ascii="仿宋_GB2312" w:hAnsi="仿宋_GB2312" w:eastAsia="仿宋_GB2312" w:cs="仿宋_GB2312"/>
          <w:sz w:val="32"/>
          <w:szCs w:val="32"/>
          <w:lang w:val="en-US" w:eastAsia="zh-CN"/>
        </w:rPr>
        <w:t>6.48</w:t>
      </w:r>
      <w:r>
        <w:rPr>
          <w:rFonts w:hint="eastAsia" w:ascii="仿宋_GB2312" w:hAnsi="仿宋_GB2312" w:eastAsia="仿宋_GB2312" w:cs="仿宋_GB2312"/>
          <w:sz w:val="32"/>
          <w:szCs w:val="32"/>
        </w:rPr>
        <w:t>%；卫生健康（类）支出8.93万元，占</w:t>
      </w:r>
      <w:r>
        <w:rPr>
          <w:rFonts w:hint="eastAsia" w:ascii="仿宋_GB2312" w:hAnsi="仿宋_GB2312" w:eastAsia="仿宋_GB2312" w:cs="仿宋_GB2312"/>
          <w:sz w:val="32"/>
          <w:szCs w:val="32"/>
          <w:lang w:val="en-US" w:eastAsia="zh-CN"/>
        </w:rPr>
        <w:t>3.62</w:t>
      </w:r>
      <w:r>
        <w:rPr>
          <w:rFonts w:hint="eastAsia" w:ascii="仿宋_GB2312" w:hAnsi="仿宋_GB2312" w:eastAsia="仿宋_GB2312" w:cs="仿宋_GB2312"/>
          <w:sz w:val="32"/>
          <w:szCs w:val="32"/>
        </w:rPr>
        <w:t>%;节能环保（类）支出210.8</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85.51</w:t>
      </w:r>
      <w:r>
        <w:rPr>
          <w:rFonts w:hint="eastAsia" w:ascii="仿宋_GB2312" w:hAnsi="仿宋_GB2312" w:eastAsia="仿宋_GB2312" w:cs="仿宋_GB2312"/>
          <w:sz w:val="32"/>
          <w:szCs w:val="32"/>
        </w:rPr>
        <w:t>%;住房保障（类）支出10.83万元，占</w:t>
      </w:r>
      <w:r>
        <w:rPr>
          <w:rFonts w:hint="eastAsia" w:ascii="仿宋_GB2312" w:hAnsi="仿宋_GB2312" w:eastAsia="仿宋_GB2312" w:cs="仿宋_GB2312"/>
          <w:sz w:val="32"/>
          <w:szCs w:val="32"/>
          <w:lang w:val="en-US" w:eastAsia="zh-CN"/>
        </w:rPr>
        <w:t>4.39</w:t>
      </w:r>
      <w:r>
        <w:rPr>
          <w:rFonts w:hint="eastAsia" w:ascii="仿宋_GB2312" w:hAnsi="仿宋_GB2312" w:eastAsia="仿宋_GB2312" w:cs="仿宋_GB2312"/>
          <w:sz w:val="32"/>
          <w:szCs w:val="32"/>
        </w:rPr>
        <w:t>%。</w:t>
      </w:r>
    </w:p>
    <w:p w14:paraId="5CDBADF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highlight w:val="none"/>
          <w:lang w:val="en-US" w:eastAsia="zh-CN"/>
        </w:rPr>
        <w:t>175.05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，支出决算数为246.52万元，完成年初预算的</w:t>
      </w:r>
      <w:r>
        <w:rPr>
          <w:rFonts w:hint="eastAsia" w:ascii="仿宋_GB2312" w:hAnsi="仿宋_GB2312" w:eastAsia="仿宋_GB2312" w:cs="仿宋_GB2312"/>
          <w:sz w:val="32"/>
          <w:szCs w:val="32"/>
          <w:lang w:val="en-US" w:eastAsia="zh-CN"/>
        </w:rPr>
        <w:t>140.83</w:t>
      </w:r>
      <w:r>
        <w:rPr>
          <w:rFonts w:hint="eastAsia" w:ascii="仿宋_GB2312" w:hAnsi="仿宋_GB2312" w:eastAsia="仿宋_GB2312" w:cs="仿宋_GB2312"/>
          <w:sz w:val="32"/>
          <w:szCs w:val="32"/>
        </w:rPr>
        <w:t>%，其中：</w:t>
      </w:r>
    </w:p>
    <w:p w14:paraId="237A4D6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1、社会保障和就业（类）行政事业单位养老支出（款）机关事业单位基本养老保险缴费支出（项）。</w:t>
      </w:r>
    </w:p>
    <w:p w14:paraId="7523608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年初预算为15.03万元，支出决算为14.81万元，完成年初预算的</w:t>
      </w:r>
      <w:r>
        <w:rPr>
          <w:rFonts w:hint="eastAsia" w:ascii="仿宋_GB2312" w:hAnsi="仿宋_GB2312" w:eastAsia="仿宋_GB2312" w:cs="仿宋_GB2312"/>
          <w:sz w:val="32"/>
          <w:szCs w:val="32"/>
          <w:lang w:val="en-US" w:eastAsia="zh-CN"/>
        </w:rPr>
        <w:t>98.54</w:t>
      </w:r>
      <w:r>
        <w:rPr>
          <w:rFonts w:hint="eastAsia" w:ascii="仿宋_GB2312" w:hAnsi="仿宋_GB2312" w:eastAsia="仿宋_GB2312" w:cs="仿宋_GB2312"/>
          <w:sz w:val="32"/>
          <w:szCs w:val="32"/>
        </w:rPr>
        <w:t>%，决算数小于年初预算数的主要原因是：2024年执法机构改革，执法人员调入支队</w:t>
      </w:r>
      <w:r>
        <w:rPr>
          <w:rFonts w:hint="eastAsia" w:ascii="仿宋_GB2312" w:hAnsi="仿宋_GB2312" w:eastAsia="仿宋_GB2312" w:cs="仿宋_GB2312"/>
          <w:sz w:val="32"/>
          <w:szCs w:val="32"/>
          <w:lang w:val="en-US" w:eastAsia="zh-CN"/>
        </w:rPr>
        <w:t>。</w:t>
      </w:r>
    </w:p>
    <w:p w14:paraId="3443D2A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2、社会保障和就业（类）残疾人事业（款）其他残疾人事业支出（项）。</w:t>
      </w:r>
    </w:p>
    <w:p w14:paraId="6D40D85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年初预算为1.15万元，支出决算为1.15万元，完成年初预算的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17E7EE3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、卫生健康（类）行政事业单位医疗（款）行政单位医疗（项）。</w:t>
      </w:r>
    </w:p>
    <w:p w14:paraId="275CF56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年初预算为5.74万元，支出决算为5.63万元，完成年初预算的</w:t>
      </w:r>
      <w:r>
        <w:rPr>
          <w:rFonts w:hint="eastAsia" w:ascii="仿宋_GB2312" w:hAnsi="仿宋_GB2312" w:eastAsia="仿宋_GB2312" w:cs="仿宋_GB2312"/>
          <w:sz w:val="32"/>
          <w:szCs w:val="32"/>
          <w:lang w:val="en-US" w:eastAsia="zh-CN"/>
        </w:rPr>
        <w:t>98.08</w:t>
      </w:r>
      <w:r>
        <w:rPr>
          <w:rFonts w:hint="eastAsia" w:ascii="仿宋_GB2312" w:hAnsi="仿宋_GB2312" w:eastAsia="仿宋_GB2312" w:cs="仿宋_GB2312"/>
          <w:sz w:val="32"/>
          <w:szCs w:val="32"/>
        </w:rPr>
        <w:t>%，决算</w:t>
      </w:r>
      <w:r>
        <w:rPr>
          <w:rFonts w:hint="eastAsia" w:ascii="仿宋_GB2312" w:hAnsi="仿宋_GB2312" w:eastAsia="仿宋_GB2312" w:cs="仿宋_GB2312"/>
          <w:sz w:val="32"/>
          <w:szCs w:val="32"/>
          <w:lang w:val="en-US" w:eastAsia="zh-CN"/>
        </w:rPr>
        <w:t>数</w:t>
      </w:r>
      <w:r>
        <w:rPr>
          <w:rFonts w:hint="eastAsia" w:ascii="仿宋_GB2312" w:hAnsi="仿宋_GB2312" w:eastAsia="仿宋_GB2312" w:cs="仿宋_GB2312"/>
          <w:sz w:val="32"/>
          <w:szCs w:val="32"/>
        </w:rPr>
        <w:t>小于年初预算数的主要原因是：2024年执法机构改革，执法人员调入支队</w:t>
      </w:r>
      <w:r>
        <w:rPr>
          <w:rFonts w:hint="eastAsia" w:ascii="仿宋_GB2312" w:hAnsi="仿宋_GB2312" w:eastAsia="仿宋_GB2312" w:cs="仿宋_GB2312"/>
          <w:sz w:val="32"/>
          <w:szCs w:val="32"/>
          <w:lang w:val="en-US" w:eastAsia="zh-CN"/>
        </w:rPr>
        <w:t>。</w:t>
      </w:r>
    </w:p>
    <w:p w14:paraId="09C9753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、卫生健康（类）行政事业单位医疗（款）公务员医疗补助（项）。</w:t>
      </w:r>
    </w:p>
    <w:p w14:paraId="204E0B4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年初预算为6.03万元，支出决算为3.3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54.73</w:t>
      </w:r>
      <w:r>
        <w:rPr>
          <w:rFonts w:hint="eastAsia" w:ascii="仿宋_GB2312" w:hAnsi="仿宋_GB2312" w:eastAsia="仿宋_GB2312" w:cs="仿宋_GB2312"/>
          <w:sz w:val="32"/>
          <w:szCs w:val="32"/>
        </w:rPr>
        <w:t>%，决算数小于年初预算数的主要原因是：2024年执法机构改革，执法人员调入支队</w:t>
      </w:r>
      <w:r>
        <w:rPr>
          <w:rFonts w:hint="eastAsia" w:ascii="仿宋_GB2312" w:hAnsi="仿宋_GB2312" w:eastAsia="仿宋_GB2312" w:cs="仿宋_GB2312"/>
          <w:sz w:val="32"/>
          <w:szCs w:val="32"/>
          <w:lang w:val="en-US" w:eastAsia="zh-CN"/>
        </w:rPr>
        <w:t>。</w:t>
      </w:r>
    </w:p>
    <w:p w14:paraId="2FB9564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、节能环保（类）环境保护管理事务（款）行政运行（项）。</w:t>
      </w:r>
    </w:p>
    <w:p w14:paraId="678E1F0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年初预算为136.27万元，支出决算为133.18万元，完成年初预算的</w:t>
      </w:r>
      <w:r>
        <w:rPr>
          <w:rFonts w:hint="eastAsia" w:ascii="仿宋_GB2312" w:hAnsi="仿宋_GB2312" w:eastAsia="仿宋_GB2312" w:cs="仿宋_GB2312"/>
          <w:sz w:val="32"/>
          <w:szCs w:val="32"/>
          <w:lang w:val="en-US" w:eastAsia="zh-CN"/>
        </w:rPr>
        <w:t>97.73</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合理控制经费支出</w:t>
      </w:r>
      <w:r>
        <w:rPr>
          <w:rFonts w:hint="eastAsia" w:ascii="仿宋_GB2312" w:hAnsi="仿宋_GB2312" w:eastAsia="仿宋_GB2312" w:cs="仿宋_GB2312"/>
          <w:sz w:val="32"/>
          <w:szCs w:val="32"/>
          <w:lang w:val="en-US" w:eastAsia="zh-CN"/>
        </w:rPr>
        <w:t>。</w:t>
      </w:r>
    </w:p>
    <w:p w14:paraId="18A5095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、节能环保（类）环境保护管理事务（款）其他环境保护管理事务支出（项）。</w:t>
      </w:r>
    </w:p>
    <w:p w14:paraId="488A498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万元，支出决算为28.2</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val="en-US" w:eastAsia="zh-CN"/>
        </w:rPr>
        <w:t>，年中追加资金。</w:t>
      </w:r>
    </w:p>
    <w:p w14:paraId="476C8F6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、节能环保（类）污染减排（款）生态环境执法监察（项）。</w:t>
      </w:r>
    </w:p>
    <w:p w14:paraId="7564B62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万元，支出决算为38.47万元，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77A03D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、节能环保（类）其他节能环保支出（款）其他节能环保支出（项）。</w:t>
      </w:r>
    </w:p>
    <w:p w14:paraId="5D12068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万元，支出决算为10.8</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val="en-US" w:eastAsia="zh-CN"/>
        </w:rPr>
        <w:t>，年中追加资金。</w:t>
      </w:r>
    </w:p>
    <w:p w14:paraId="68266FD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、住房保障支出（类）住房改革支出（款）住房公积金（项）。</w:t>
      </w:r>
    </w:p>
    <w:p w14:paraId="12F4534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年初预算为10.83万元，支出决算为10.83万元，完成年初预算的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373E8BA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财政拨款基本支出186.87万元，其中：</w:t>
      </w:r>
    </w:p>
    <w:p w14:paraId="763B784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157.54万元，占基本支出的</w:t>
      </w:r>
      <w:r>
        <w:rPr>
          <w:rFonts w:hint="eastAsia" w:ascii="仿宋_GB2312" w:hAnsi="仿宋_GB2312" w:eastAsia="仿宋_GB2312" w:cs="仿宋_GB2312"/>
          <w:sz w:val="32"/>
          <w:szCs w:val="32"/>
          <w:lang w:val="en-US" w:eastAsia="zh-CN"/>
        </w:rPr>
        <w:t>84.30</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29.33万元，占基本支出的</w:t>
      </w:r>
      <w:r>
        <w:rPr>
          <w:rFonts w:hint="eastAsia" w:ascii="仿宋_GB2312" w:hAnsi="仿宋_GB2312" w:eastAsia="仿宋_GB2312" w:cs="仿宋_GB2312"/>
          <w:sz w:val="32"/>
          <w:szCs w:val="32"/>
          <w:lang w:val="en-US" w:eastAsia="zh-CN"/>
        </w:rPr>
        <w:t>15.70</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办公设备购置。</w:t>
      </w:r>
    </w:p>
    <w:p w14:paraId="238B27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lang w:val="en-US" w:eastAsia="zh-CN"/>
        </w:rPr>
        <w:t>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14:paraId="5876C2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3"/>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rPr>
        <w:t>2.38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2.38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0.54</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29.04</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rPr>
        <w:t>厉行节约，严格控制“三公”经费</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rPr>
        <w:t>2024年中央环保督察、省级环保督察、省厅专项巡察增加</w:t>
      </w:r>
      <w:r>
        <w:rPr>
          <w:rFonts w:ascii="Times New Roman" w:hAnsi="Times New Roman" w:eastAsia="仿宋_GB2312" w:cs="Times New Roman"/>
          <w:sz w:val="32"/>
          <w:szCs w:val="32"/>
        </w:rPr>
        <w:t>。</w:t>
      </w:r>
    </w:p>
    <w:p w14:paraId="352D03A7">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3"/>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rPr>
        <w:t>2.38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2.38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0.54</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29.04</w:t>
      </w:r>
      <w:r>
        <w:rPr>
          <w:rFonts w:ascii="Times New Roman" w:hAnsi="Times New Roman" w:eastAsia="仿宋_GB2312" w:cs="Times New Roman"/>
          <w:sz w:val="32"/>
          <w:szCs w:val="32"/>
        </w:rPr>
        <w:t>%。其中：</w:t>
      </w:r>
    </w:p>
    <w:p w14:paraId="07AF86AC">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1D422951">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rPr>
        <w:t>2.38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2.38</w:t>
      </w:r>
      <w:r>
        <w:rPr>
          <w:rFonts w:ascii="Times New Roman" w:hAnsi="Times New Roman" w:eastAsia="仿宋_GB2312" w:cs="Times New Roman"/>
          <w:sz w:val="32"/>
          <w:szCs w:val="32"/>
        </w:rPr>
        <w:t>万元，</w:t>
      </w:r>
    </w:p>
    <w:p w14:paraId="75A272CE">
      <w:pPr>
        <w:pStyle w:val="13"/>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rPr>
        <w:t>公执法车加油、维修、保险</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100.00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0.54</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29.04</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等于</w:t>
      </w:r>
      <w:r>
        <w:rPr>
          <w:rFonts w:ascii="Times New Roman" w:hAnsi="Times New Roman" w:eastAsia="仿宋_GB2312" w:cs="Times New Roman"/>
          <w:sz w:val="32"/>
          <w:szCs w:val="32"/>
        </w:rPr>
        <w:t>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rPr>
        <w:t>2024年中央环保督察、省级环保督察、省厅专项巡察增加</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仿宋_GB2312" w:hAnsi="仿宋_GB2312" w:eastAsia="仿宋_GB2312" w:cs="仿宋_GB2312"/>
          <w:sz w:val="32"/>
          <w:szCs w:val="32"/>
          <w:lang w:val="en-US" w:eastAsia="zh-CN"/>
        </w:rPr>
        <w:t>1</w:t>
      </w:r>
      <w:r>
        <w:rPr>
          <w:rFonts w:ascii="Times New Roman" w:hAnsi="Times New Roman" w:eastAsia="仿宋_GB2312" w:cs="Times New Roman"/>
          <w:sz w:val="32"/>
          <w:szCs w:val="32"/>
        </w:rPr>
        <w:t>辆。</w:t>
      </w:r>
    </w:p>
    <w:p w14:paraId="4B35674B">
      <w:pPr>
        <w:numPr>
          <w:ilvl w:val="0"/>
          <w:numId w:val="0"/>
        </w:numPr>
        <w:ind w:firstLine="640" w:firstLineChars="200"/>
        <w:rPr>
          <w:rFonts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w:t>
      </w:r>
      <w:r>
        <w:rPr>
          <w:rFonts w:ascii="Times New Roman" w:hAnsi="Times New Roman" w:eastAsia="仿宋_GB2312" w:cs="Times New Roman"/>
          <w:color w:val="000000"/>
          <w:kern w:val="0"/>
          <w:sz w:val="32"/>
          <w:szCs w:val="32"/>
          <w:lang w:val="en-US" w:eastAsia="zh-CN" w:bidi="ar-SA"/>
        </w:rPr>
        <w:t>公务接待费支出预算为</w:t>
      </w:r>
      <w:r>
        <w:rPr>
          <w:rFonts w:hint="eastAsia" w:ascii="Times New Roman" w:hAnsi="Times New Roman" w:eastAsia="仿宋_GB2312" w:cs="Times New Roman"/>
          <w:color w:val="000000"/>
          <w:kern w:val="0"/>
          <w:sz w:val="32"/>
          <w:szCs w:val="32"/>
          <w:lang w:val="en-US" w:eastAsia="zh-CN" w:bidi="ar-SA"/>
        </w:rPr>
        <w:t xml:space="preserve"> 0</w:t>
      </w:r>
      <w:r>
        <w:rPr>
          <w:rFonts w:ascii="Times New Roman" w:hAnsi="Times New Roman" w:eastAsia="仿宋_GB2312" w:cs="Times New Roman"/>
          <w:color w:val="000000"/>
          <w:kern w:val="0"/>
          <w:sz w:val="32"/>
          <w:szCs w:val="32"/>
          <w:lang w:val="en-US" w:eastAsia="zh-CN" w:bidi="ar-SA"/>
        </w:rPr>
        <w:t>万元，支出决算为</w:t>
      </w:r>
      <w:r>
        <w:rPr>
          <w:rFonts w:hint="eastAsia" w:ascii="Times New Roman" w:hAnsi="Times New Roman" w:eastAsia="仿宋_GB2312" w:cs="Times New Roman"/>
          <w:color w:val="000000"/>
          <w:kern w:val="0"/>
          <w:sz w:val="32"/>
          <w:szCs w:val="32"/>
          <w:lang w:val="en-US" w:eastAsia="zh-CN" w:bidi="ar-SA"/>
        </w:rPr>
        <w:t>0</w:t>
      </w:r>
      <w:r>
        <w:rPr>
          <w:rFonts w:ascii="Times New Roman" w:hAnsi="Times New Roman" w:eastAsia="仿宋_GB2312" w:cs="Times New Roman"/>
          <w:color w:val="000000"/>
          <w:kern w:val="0"/>
          <w:sz w:val="32"/>
          <w:szCs w:val="32"/>
          <w:lang w:val="en-US" w:eastAsia="zh-CN" w:bidi="ar-SA"/>
        </w:rPr>
        <w:t>万元，</w:t>
      </w:r>
      <w:r>
        <w:rPr>
          <w:rFonts w:hint="eastAsia" w:ascii="Times New Roman" w:hAnsi="Times New Roman" w:eastAsia="仿宋_GB2312" w:cs="Times New Roman"/>
          <w:color w:val="000000"/>
          <w:kern w:val="0"/>
          <w:sz w:val="32"/>
          <w:szCs w:val="32"/>
          <w:lang w:val="en-US" w:eastAsia="zh-CN" w:bidi="ar-SA"/>
        </w:rPr>
        <w:t>决算数等于预算数，主要原因是严格执行中央八项规定；与上年一致，无增减变动，主要原因是按有关政策厉行节约，严控公务接待支出。</w:t>
      </w:r>
      <w:r>
        <w:rPr>
          <w:rFonts w:ascii="Times New Roman" w:hAnsi="Times New Roman" w:eastAsia="仿宋_GB2312" w:cs="Times New Roman"/>
          <w:color w:val="000000"/>
          <w:kern w:val="0"/>
          <w:sz w:val="32"/>
          <w:szCs w:val="32"/>
          <w:lang w:val="en-US" w:eastAsia="zh-CN" w:bidi="ar-SA"/>
        </w:rPr>
        <w:t>2024年度共接待来访团组</w:t>
      </w:r>
      <w:r>
        <w:rPr>
          <w:rFonts w:hint="eastAsia" w:ascii="Times New Roman" w:hAnsi="Times New Roman" w:eastAsia="仿宋_GB2312" w:cs="Times New Roman"/>
          <w:color w:val="000000"/>
          <w:kern w:val="0"/>
          <w:sz w:val="32"/>
          <w:szCs w:val="32"/>
          <w:lang w:val="en-US" w:eastAsia="zh-CN" w:bidi="ar-SA"/>
        </w:rPr>
        <w:t>0</w:t>
      </w:r>
      <w:r>
        <w:rPr>
          <w:rFonts w:ascii="Times New Roman" w:hAnsi="Times New Roman" w:eastAsia="仿宋_GB2312" w:cs="Times New Roman"/>
          <w:color w:val="000000"/>
          <w:kern w:val="0"/>
          <w:sz w:val="32"/>
          <w:szCs w:val="32"/>
          <w:lang w:val="en-US" w:eastAsia="zh-CN" w:bidi="ar-SA"/>
        </w:rPr>
        <w:t>个、来宾</w:t>
      </w:r>
      <w:r>
        <w:rPr>
          <w:rFonts w:hint="eastAsia" w:ascii="Times New Roman" w:hAnsi="Times New Roman" w:eastAsia="仿宋_GB2312" w:cs="Times New Roman"/>
          <w:color w:val="000000"/>
          <w:kern w:val="0"/>
          <w:sz w:val="32"/>
          <w:szCs w:val="32"/>
          <w:lang w:val="en-US" w:eastAsia="zh-CN" w:bidi="ar-SA"/>
        </w:rPr>
        <w:t>0</w:t>
      </w:r>
      <w:r>
        <w:rPr>
          <w:rFonts w:ascii="Times New Roman" w:hAnsi="Times New Roman" w:eastAsia="仿宋_GB2312" w:cs="Times New Roman"/>
          <w:color w:val="000000"/>
          <w:kern w:val="0"/>
          <w:sz w:val="32"/>
          <w:szCs w:val="32"/>
          <w:lang w:val="en-US" w:eastAsia="zh-CN" w:bidi="ar-SA"/>
        </w:rPr>
        <w:t>人次</w:t>
      </w:r>
      <w:r>
        <w:rPr>
          <w:rFonts w:hint="eastAsia" w:ascii="Times New Roman" w:hAnsi="Times New Roman" w:eastAsia="仿宋_GB2312" w:cs="Times New Roman"/>
          <w:color w:val="000000"/>
          <w:kern w:val="0"/>
          <w:sz w:val="32"/>
          <w:szCs w:val="32"/>
          <w:lang w:val="en-US" w:eastAsia="zh-CN" w:bidi="ar-SA"/>
        </w:rPr>
        <w:t>。</w:t>
      </w:r>
    </w:p>
    <w:p w14:paraId="3D06A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年度机关运行经费支出29.33万元，</w:t>
      </w:r>
      <w:r>
        <w:rPr>
          <w:rFonts w:hint="eastAsia" w:ascii="仿宋_GB2312" w:hAnsi="仿宋_GB2312" w:eastAsia="仿宋_GB2312" w:cs="仿宋_GB2312"/>
          <w:sz w:val="32"/>
          <w:szCs w:val="32"/>
          <w:highlight w:val="none"/>
        </w:rPr>
        <w:t>比上年决算数增加</w:t>
      </w:r>
      <w:r>
        <w:rPr>
          <w:rFonts w:hint="eastAsia" w:ascii="仿宋_GB2312" w:hAnsi="仿宋_GB2312" w:eastAsia="仿宋_GB2312" w:cs="仿宋_GB2312"/>
          <w:sz w:val="32"/>
          <w:szCs w:val="32"/>
          <w:highlight w:val="none"/>
          <w:lang w:val="en-US" w:eastAsia="zh-CN"/>
        </w:rPr>
        <w:t>3.63</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14.12</w:t>
      </w:r>
      <w:r>
        <w:rPr>
          <w:rFonts w:hint="eastAsia" w:ascii="仿宋_GB2312" w:hAnsi="仿宋_GB2312" w:eastAsia="仿宋_GB2312" w:cs="仿宋_GB2312"/>
          <w:sz w:val="32"/>
          <w:szCs w:val="32"/>
          <w:highlight w:val="none"/>
        </w:rPr>
        <w:t>%。主要原因是：2024年中央环保督察、省级环保督察、省厅专项巡察增加。</w:t>
      </w:r>
    </w:p>
    <w:p w14:paraId="39684EF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3"/>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年度，会议费年初预算0.00万元，支出决算为0.00万元</w:t>
      </w:r>
      <w:r>
        <w:rPr>
          <w:rFonts w:hint="eastAsia" w:ascii="仿宋_GB2312" w:hAnsi="仿宋_GB2312" w:eastAsia="仿宋_GB2312" w:cs="仿宋_GB2312"/>
          <w:sz w:val="32"/>
          <w:szCs w:val="32"/>
          <w:lang w:eastAsia="zh-CN"/>
        </w:rPr>
        <w:t>。本单位无会议费的预算和支出决算数；</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培训费年初预算0.00万元，支出决算为0.00万元。本单位无培训费的预算和支出决算数；</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举办节庆、晚会、论坛、赛事活动年初预算0.00万元，支出决算为0.00万元。本单位无举办节庆、晚会、论坛、赛事等活动的预算和支出决算数。</w:t>
      </w:r>
    </w:p>
    <w:p w14:paraId="252D0BE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年度政府采购支出总额99.32万元，其中：政府采购货物支出4.38万元、政府采购工程支出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万元、政府采购服务支出94.94万元。授予中小企业合同金额99.32万元，占政府采购支出总额的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99.32</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46A0DF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共有车辆1辆，其中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w:t>
      </w:r>
      <w:r>
        <w:rPr>
          <w:rFonts w:hint="eastAsia" w:ascii="Times New Roman" w:hAnsi="Times New Roman" w:eastAsia="仿宋_GB2312"/>
          <w:sz w:val="32"/>
          <w:szCs w:val="32"/>
        </w:rPr>
        <w:t>执法执勤用车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40.02</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40.02</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16.23</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rPr>
        <w:t>由于政府性基金预算项目支出总额为0，故无法计算占政府性基金预算项目支出总额的比重</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仿宋_GB2312" w:hAnsi="仿宋_GB2312" w:eastAsia="仿宋_GB2312" w:cs="仿宋_GB2312"/>
          <w:b w:val="0"/>
          <w:bCs w:val="0"/>
          <w:color w:val="000000"/>
          <w:kern w:val="0"/>
          <w:sz w:val="32"/>
          <w:szCs w:val="32"/>
          <w:lang w:val="en-US" w:eastAsia="zh-CN" w:bidi="ar-SA"/>
        </w:rPr>
        <w:t>由于国有资本经营预算项目支出总额为0，故无法计算占国有资本经营预算项目支出总额的比重</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w:t>
      </w:r>
      <w:r>
        <w:rPr>
          <w:rFonts w:hint="eastAsia" w:ascii="仿宋_GB2312" w:hAnsi="仿宋_GB2312" w:eastAsia="仿宋_GB2312" w:cs="仿宋_GB2312"/>
          <w:b w:val="0"/>
          <w:bCs w:val="0"/>
          <w:color w:val="000000"/>
          <w:kern w:val="0"/>
          <w:sz w:val="32"/>
          <w:szCs w:val="32"/>
          <w:lang w:val="en-US" w:eastAsia="zh-CN" w:bidi="ar-SA"/>
        </w:rPr>
        <w:t>由于</w:t>
      </w:r>
      <w:r>
        <w:rPr>
          <w:rFonts w:ascii="Times New Roman" w:hAnsi="Times New Roman" w:eastAsia="仿宋_GB2312" w:cs="Times New Roman"/>
          <w:kern w:val="0"/>
          <w:sz w:val="32"/>
          <w:szCs w:val="32"/>
          <w:highlight w:val="none"/>
        </w:rPr>
        <w:t>社会保险基金预算</w:t>
      </w:r>
      <w:r>
        <w:rPr>
          <w:rFonts w:hint="eastAsia" w:ascii="仿宋_GB2312" w:hAnsi="仿宋_GB2312" w:eastAsia="仿宋_GB2312" w:cs="仿宋_GB2312"/>
          <w:b w:val="0"/>
          <w:bCs w:val="0"/>
          <w:color w:val="000000"/>
          <w:kern w:val="0"/>
          <w:sz w:val="32"/>
          <w:szCs w:val="32"/>
          <w:lang w:val="en-US" w:eastAsia="zh-CN" w:bidi="ar-SA"/>
        </w:rPr>
        <w:t>项目支出总额为0，故无法计算占</w:t>
      </w:r>
      <w:r>
        <w:rPr>
          <w:rFonts w:ascii="Times New Roman" w:hAnsi="Times New Roman" w:eastAsia="仿宋_GB2312" w:cs="Times New Roman"/>
          <w:kern w:val="0"/>
          <w:sz w:val="32"/>
          <w:szCs w:val="32"/>
          <w:highlight w:val="none"/>
        </w:rPr>
        <w:t>社会保险基金</w:t>
      </w:r>
      <w:r>
        <w:rPr>
          <w:rFonts w:hint="eastAsia" w:ascii="仿宋_GB2312" w:hAnsi="仿宋_GB2312" w:eastAsia="仿宋_GB2312" w:cs="仿宋_GB2312"/>
          <w:b w:val="0"/>
          <w:bCs w:val="0"/>
          <w:color w:val="000000"/>
          <w:kern w:val="0"/>
          <w:sz w:val="32"/>
          <w:szCs w:val="32"/>
          <w:lang w:val="en-US" w:eastAsia="zh-CN" w:bidi="ar-SA"/>
        </w:rPr>
        <w:t>预算项目支出总额的比重</w:t>
      </w:r>
      <w:r>
        <w:rPr>
          <w:rFonts w:ascii="Times New Roman" w:hAnsi="Times New Roman" w:eastAsia="仿宋_GB2312" w:cs="Times New Roman"/>
          <w:kern w:val="0"/>
          <w:sz w:val="32"/>
          <w:szCs w:val="32"/>
          <w:highlight w:val="none"/>
        </w:rPr>
        <w:t>。</w:t>
      </w:r>
      <w:bookmarkStart w:id="0" w:name="_GoBack"/>
      <w:bookmarkEnd w:id="0"/>
    </w:p>
    <w:p w14:paraId="7C65853C">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仿宋_GB2312" w:hAnsi="仿宋_GB2312" w:eastAsia="仿宋_GB2312" w:cs="仿宋_GB2312"/>
          <w:b w:val="0"/>
          <w:bCs w:val="0"/>
          <w:color w:val="000000"/>
          <w:kern w:val="0"/>
          <w:sz w:val="32"/>
          <w:szCs w:val="32"/>
          <w:lang w:val="en-US" w:eastAsia="zh-CN" w:bidi="ar-SA"/>
        </w:rPr>
        <w:t>本单位为二级预算单位，部门评价开展情况可详见上级部门决算公开说明。</w:t>
      </w:r>
    </w:p>
    <w:p w14:paraId="2B23DD89">
      <w:pPr>
        <w:overflowPunct w:val="0"/>
        <w:spacing w:line="600" w:lineRule="exact"/>
        <w:ind w:firstLine="640" w:firstLineChars="200"/>
        <w:rPr>
          <w:rFonts w:hint="eastAsia" w:ascii="Times New Roman" w:hAnsi="Times New Roman" w:eastAsia="仿宋_GB2312" w:cs="Times New Roman"/>
          <w:color w:val="FF0000"/>
          <w:kern w:val="0"/>
          <w:sz w:val="32"/>
          <w:szCs w:val="32"/>
          <w:lang w:val="en-US" w:eastAsia="zh-CN"/>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仿宋_GB2312" w:hAnsi="仿宋_GB2312" w:eastAsia="仿宋_GB2312" w:cs="仿宋_GB2312"/>
          <w:b w:val="0"/>
          <w:bCs w:val="0"/>
          <w:color w:val="000000"/>
          <w:kern w:val="0"/>
          <w:sz w:val="32"/>
          <w:szCs w:val="32"/>
          <w:lang w:val="en-US" w:eastAsia="zh-CN" w:bidi="ar-SA"/>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46B0EE6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rPr>
        <w:t>324.52</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rPr>
        <w:t>289.05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89.07</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仿宋_GB2312" w:hAnsi="仿宋_GB2312" w:eastAsia="仿宋_GB2312" w:cs="仿宋_GB2312"/>
          <w:b w:val="0"/>
          <w:bCs w:val="0"/>
          <w:color w:val="000000"/>
          <w:kern w:val="0"/>
          <w:sz w:val="32"/>
          <w:szCs w:val="32"/>
          <w:lang w:val="en-US" w:eastAsia="zh-CN" w:bidi="ar-SA"/>
        </w:rPr>
        <w:t>一是抓好“污染防治攻坚战”“夏季攻势”行动；二是持续做好水环境、大气污染防治、土壤污染防治管控工作；三是加强项目资金监管；四是做好企业服务工作</w:t>
      </w:r>
      <w:r>
        <w:rPr>
          <w:rFonts w:ascii="Times New Roman" w:hAnsi="Times New Roman" w:eastAsia="仿宋_GB2312" w:cs="Times New Roman"/>
          <w:sz w:val="32"/>
          <w:szCs w:val="32"/>
        </w:rPr>
        <w:t>。</w:t>
      </w:r>
    </w:p>
    <w:p w14:paraId="186FB73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发现的主要问题及原因：一是</w:t>
      </w:r>
      <w:r>
        <w:rPr>
          <w:rFonts w:hint="eastAsia" w:ascii="Times New Roman" w:hAnsi="Times New Roman" w:eastAsia="仿宋_GB2312" w:cs="Times New Roman"/>
          <w:kern w:val="0"/>
          <w:sz w:val="32"/>
          <w:szCs w:val="32"/>
          <w:highlight w:val="none"/>
          <w:lang w:val="en-US" w:eastAsia="zh-CN" w:bidi="ar-SA"/>
        </w:rPr>
        <w:t>污水收集仍有缺口。管网建设不完善，雨污分流不彻底，导致生活污水收集缺口大，污水处理厂进水浓度不稳定</w:t>
      </w:r>
      <w:r>
        <w:rPr>
          <w:rFonts w:ascii="Times New Roman" w:hAnsi="Times New Roman" w:eastAsia="仿宋_GB2312" w:cs="Times New Roman"/>
          <w:sz w:val="32"/>
          <w:szCs w:val="32"/>
        </w:rPr>
        <w:t>；二是</w:t>
      </w:r>
      <w:r>
        <w:rPr>
          <w:rFonts w:hint="eastAsia" w:ascii="Times New Roman" w:hAnsi="Times New Roman" w:eastAsia="仿宋_GB2312" w:cs="Times New Roman"/>
          <w:kern w:val="0"/>
          <w:sz w:val="32"/>
          <w:szCs w:val="32"/>
          <w:highlight w:val="none"/>
          <w:lang w:val="en-US" w:eastAsia="zh-CN" w:bidi="ar-SA"/>
        </w:rPr>
        <w:t>黄梅港治理成效较差。水体流动性差，在下游段形成死水，造成水体富营养化逐渐严重，水质变差；流域范围内管网建设不完善、雨污管网混接改造进度缓慢；周边存在农业面源污染</w:t>
      </w:r>
      <w:r>
        <w:rPr>
          <w:rFonts w:ascii="Times New Roman" w:hAnsi="Times New Roman" w:eastAsia="仿宋_GB2312" w:cs="Times New Roman"/>
          <w:sz w:val="32"/>
          <w:szCs w:val="32"/>
        </w:rPr>
        <w:t>。</w:t>
      </w:r>
    </w:p>
    <w:p w14:paraId="26F1175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下一步改进措施：</w:t>
      </w:r>
    </w:p>
    <w:p w14:paraId="0747154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40" w:firstLineChars="20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（一）持续推进特护期污染防治攻坚战和夏季攻势工作</w:t>
      </w:r>
    </w:p>
    <w:p w14:paraId="214F45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一是加大大气污染防治工作力度。加强巡查、督查，协调、督导各责任单位落实大气污染防治工作职责，空气质量较2023年有明显改善，空气质量优良率、PM2.5浓度达到考核要求，力争空气质量达到国家二级标准。</w:t>
      </w:r>
    </w:p>
    <w:p w14:paraId="7E9F77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二是持续开展水污染防治攻坚。做好枯水期水环境管理工作，进一步加大南湖治理力度，力争南湖水质全年稳定达到地表水Ⅲ类，并做好南湖水华防治工作，避免出现蓝藻大面积爆发。做好双塘村“千人以上”饮用水源地保护工作，开展饮用水源地水质检测。</w:t>
      </w:r>
    </w:p>
    <w:p w14:paraId="0A7D43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三是加强项目申报和资金监管。加大项目申报力度，对已申报落地的项目加快项目实施和资金监管。</w:t>
      </w:r>
    </w:p>
    <w:p w14:paraId="4F75CF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四是做好企业服务工作。加强项目审批工作，对符合条件的项目一律从快、从简审批，做好项目审批信息公开工作。组织企业开展排污许可证、固废相关工作培训，对企业存在的问题进行解答，对相关系统操作进行解读。</w:t>
      </w:r>
    </w:p>
    <w:p w14:paraId="1641F1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（二）坚守生态环境安全底线</w:t>
      </w:r>
    </w:p>
    <w:p w14:paraId="2EDE13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一是贯彻实施好南湖截污、活水等“十字治理方针”，配合有关部门抓好南湖综合整治；二是按照时间节点推进突出生态环境问题的整改；三是加大执法力度，维护生态领域环境安全；四是全面推进长江重点入河（湖）排口整治工作按时按序完成；五是全面推进南湖新区创建“两山”实践创新基地。</w:t>
      </w:r>
    </w:p>
    <w:p w14:paraId="6EE7AC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highlight w:val="none"/>
          <w:lang w:val="en-US" w:eastAsia="zh-CN" w:bidi="ar-SA"/>
        </w:rPr>
        <w:t>　　（三）深入推进队伍建设</w:t>
      </w:r>
    </w:p>
    <w:p w14:paraId="3F32372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40" w:firstLineChars="200"/>
        <w:jc w:val="both"/>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highlight w:val="none"/>
          <w:lang w:val="en-US" w:eastAsia="zh-CN" w:bidi="ar-SA"/>
        </w:rPr>
        <w:t>一是以平考工作为抓手，狠抓队伍建设，不断提升工作绩效；二是严守廉洁底线，深入推进党风廉政建设和党纪学习，持续抓好违规收送红包礼金整治、严禁酒驾醉驾整治等工作；三是持续推进“五化”建设、守护好“一江碧水”等党建工作。</w:t>
      </w:r>
    </w:p>
    <w:p w14:paraId="1F555EDA">
      <w:pPr>
        <w:overflowPunct w:val="0"/>
        <w:spacing w:line="600" w:lineRule="exact"/>
        <w:ind w:firstLine="640" w:firstLineChars="200"/>
        <w:rPr>
          <w:rFonts w:hint="default" w:ascii="Times New Roman" w:hAnsi="Times New Roman" w:eastAsia="仿宋_GB2312" w:cs="Times New Roman"/>
          <w:kern w:val="0"/>
          <w:sz w:val="32"/>
          <w:szCs w:val="32"/>
          <w:highlight w:val="none"/>
          <w:lang w:val="en-US" w:eastAsia="zh-CN" w:bidi="ar-SA"/>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kern w:val="0"/>
          <w:sz w:val="32"/>
          <w:szCs w:val="32"/>
          <w:highlight w:val="none"/>
          <w:lang w:val="en-US" w:eastAsia="zh-CN" w:bidi="ar-SA"/>
        </w:rPr>
        <w:t>本单位为二级预算单位，部门评价结果可详见上级部门决算公开说明。</w:t>
      </w:r>
    </w:p>
    <w:p w14:paraId="594CEC69">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lang w:val="en-US" w:eastAsia="zh-CN" w:bidi="ar-SA"/>
        </w:rPr>
        <w:t>本单位为二级预算单位，事前绩效评估结果可详见上级部门决算公开说明。</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5E8AD5A5">
      <w:pPr>
        <w:autoSpaceDE w:val="0"/>
        <w:autoSpaceDN w:val="0"/>
        <w:adjustRightInd w:val="0"/>
        <w:ind w:firstLine="620" w:firstLineChars="200"/>
        <w:jc w:val="left"/>
        <w:rPr>
          <w:rFonts w:hint="eastAsia" w:ascii="仿宋_GB2312" w:hAnsi="仿宋_GB2312" w:eastAsia="仿宋_GB2312" w:cs="仿宋_GB2312"/>
          <w:b w:val="0"/>
          <w:bCs w:val="0"/>
          <w:sz w:val="32"/>
          <w:szCs w:val="32"/>
          <w:lang w:val="en-US" w:eastAsia="zh-CN"/>
        </w:rPr>
      </w:pPr>
      <w:r>
        <w:rPr>
          <w:rFonts w:hint="default" w:ascii="仿宋" w:hAnsi="仿宋" w:eastAsia="仿宋" w:cs="仿宋"/>
          <w:kern w:val="0"/>
          <w:sz w:val="31"/>
          <w:szCs w:val="31"/>
          <w:lang w:eastAsia="en-US"/>
        </w:rPr>
        <w:t>本单位绩效自评结果为</w:t>
      </w:r>
      <w:r>
        <w:rPr>
          <w:rFonts w:hint="eastAsia" w:ascii="仿宋" w:hAnsi="仿宋" w:eastAsia="仿宋" w:cs="仿宋"/>
          <w:kern w:val="0"/>
          <w:sz w:val="31"/>
          <w:szCs w:val="31"/>
          <w:lang w:eastAsia="zh-CN"/>
        </w:rPr>
        <w:t>优秀</w:t>
      </w:r>
      <w:r>
        <w:rPr>
          <w:rFonts w:hint="default" w:ascii="仿宋" w:hAnsi="仿宋" w:eastAsia="仿宋" w:cs="仿宋"/>
          <w:kern w:val="0"/>
          <w:sz w:val="31"/>
          <w:szCs w:val="31"/>
          <w:lang w:eastAsia="en-US"/>
        </w:rPr>
        <w:t>等级。下一步将根据财政检查绩效自评发现的问题等进行改善，并按政务公开的相关规定，</w:t>
      </w:r>
      <w:r>
        <w:rPr>
          <w:rFonts w:hint="eastAsia" w:ascii="仿宋_GB2312" w:hAnsi="仿宋_GB2312" w:eastAsia="仿宋_GB2312" w:cs="仿宋_GB2312"/>
          <w:b w:val="0"/>
          <w:bCs w:val="0"/>
          <w:sz w:val="32"/>
          <w:szCs w:val="32"/>
          <w:lang w:val="en-US" w:eastAsia="zh-CN"/>
        </w:rPr>
        <w:t>已在市政府部门财政预决算公开平台上向社会公开，详见附件。</w:t>
      </w:r>
    </w:p>
    <w:p w14:paraId="62BEA247">
      <w:pPr>
        <w:pStyle w:val="2"/>
        <w:rPr>
          <w:rFonts w:hint="eastAsia"/>
          <w:lang w:val="en-US" w:eastAsia="zh-CN"/>
        </w:rPr>
      </w:pPr>
    </w:p>
    <w:p w14:paraId="147E06D0">
      <w:pPr>
        <w:pStyle w:val="13"/>
        <w:jc w:val="both"/>
        <w:rPr>
          <w:rFonts w:hint="eastAsia" w:ascii="方正小标宋_GBK" w:hAnsi="方正小标宋_GBK" w:eastAsia="方正小标宋_GBK" w:cs="方正小标宋_GBK"/>
          <w:sz w:val="24"/>
          <w:szCs w:val="24"/>
        </w:rPr>
      </w:pPr>
    </w:p>
    <w:p w14:paraId="3D83FDA1">
      <w:pPr>
        <w:pStyle w:val="13"/>
        <w:jc w:val="center"/>
        <w:rPr>
          <w:rFonts w:hint="eastAsia" w:ascii="方正小标宋_GBK" w:hAnsi="方正小标宋_GBK" w:eastAsia="方正小标宋_GBK" w:cs="方正小标宋_GBK"/>
          <w:sz w:val="72"/>
          <w:szCs w:val="72"/>
        </w:rPr>
      </w:pPr>
    </w:p>
    <w:p w14:paraId="6FB6F211">
      <w:pPr>
        <w:pStyle w:val="13"/>
        <w:jc w:val="center"/>
        <w:rPr>
          <w:rFonts w:hint="eastAsia" w:ascii="方正小标宋_GBK" w:hAnsi="方正小标宋_GBK" w:eastAsia="方正小标宋_GBK" w:cs="方正小标宋_GBK"/>
          <w:sz w:val="72"/>
          <w:szCs w:val="72"/>
        </w:rPr>
      </w:pPr>
    </w:p>
    <w:p w14:paraId="140E0C81">
      <w:pPr>
        <w:pStyle w:val="13"/>
        <w:jc w:val="center"/>
        <w:rPr>
          <w:rFonts w:hint="eastAsia" w:ascii="方正小标宋_GBK" w:hAnsi="方正小标宋_GBK" w:eastAsia="方正小标宋_GBK" w:cs="方正小标宋_GBK"/>
          <w:sz w:val="72"/>
          <w:szCs w:val="72"/>
        </w:rPr>
      </w:pPr>
    </w:p>
    <w:p w14:paraId="3A01B6B0">
      <w:pPr>
        <w:pStyle w:val="13"/>
        <w:jc w:val="center"/>
        <w:rPr>
          <w:rFonts w:hint="eastAsia" w:ascii="方正小标宋_GBK" w:hAnsi="方正小标宋_GBK" w:eastAsia="方正小标宋_GBK" w:cs="方正小标宋_GBK"/>
          <w:sz w:val="72"/>
          <w:szCs w:val="72"/>
        </w:rPr>
      </w:pPr>
    </w:p>
    <w:p w14:paraId="475C1000">
      <w:pPr>
        <w:pStyle w:val="13"/>
        <w:jc w:val="center"/>
        <w:rPr>
          <w:rFonts w:hint="eastAsia" w:ascii="方正小标宋_GBK" w:hAnsi="方正小标宋_GBK" w:eastAsia="方正小标宋_GBK" w:cs="方正小标宋_GBK"/>
          <w:sz w:val="72"/>
          <w:szCs w:val="72"/>
        </w:rPr>
      </w:pPr>
    </w:p>
    <w:p w14:paraId="6A5A782C">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2F562917">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一、财政拨款收入：指本级财政当年拨付的资金。</w:t>
      </w:r>
    </w:p>
    <w:p w14:paraId="2A932C2C">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二、其他收入：指除上述“财政拨款收入”、“上级补助收入”、“事业收入”、“经营收入”、“附属单位上缴收入”等以外的收入。</w:t>
      </w:r>
    </w:p>
    <w:p w14:paraId="0F2D62FA">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用事业基金弥补收支差额：指事业单位在当年的“财政拨款收入”、“财政拨款结转和结余资金”、“上级补助收入”、“事业收入”、“经营收入”、“附属单位上缴收入”、“其他收入”不足以安排当年支出情况下，使用以前年度积累的使用基金（事业单位当年收支相抵后按国家规定提取、用于弥补以后年度收支差额的基金）弥补本年度收支缺口的资金。</w:t>
      </w:r>
    </w:p>
    <w:p w14:paraId="5D5E7269">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四、上年结转和结余：指以前年度尚未完成、结转到本年按有关规定继续使用的资金。</w:t>
      </w:r>
    </w:p>
    <w:p w14:paraId="38943860">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五、结余分配：指事业单位按规定对非财政补助结余资金提取的职工福利基金、事业基金和缴纳的所得税，以及减少单位按规定应缴回的基本建设竣工项目结余资金。</w:t>
      </w:r>
    </w:p>
    <w:p w14:paraId="0FD7D625">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六、年末结转和结余资金：指本年度或以前年度预算安排、因客观条件发生变化无法按原计划实施，需要延迟到以后年度按有关规定继续使用的资金。</w:t>
      </w:r>
    </w:p>
    <w:p w14:paraId="082789D7">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七、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0BF04955">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八、科学技术支出（类）：是指用于科学技术方面的支出，包括保障机构正常运转、完成日常和特定的工作任务或事业发展目标的支出。</w:t>
      </w:r>
    </w:p>
    <w:p w14:paraId="03F0C1A7">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688F26C5">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十、节能环保支出（类）：是指用于节能环保支出，包括保障机构正常运转、完成日常和特定的工作任务或事业发展目标的支出。</w:t>
      </w:r>
    </w:p>
    <w:p w14:paraId="51EDF2B3">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十一、农林水支出（类）：是指用于农林水事务支出，包括保障机构正常运转、完成日常和特定的工作任务或事业发展目标的支出。</w:t>
      </w:r>
    </w:p>
    <w:p w14:paraId="608ED4AA">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十二、基本支出：指保障机构正常运转、完成日常工作任务而发生的人员支出和公用支出。</w:t>
      </w:r>
    </w:p>
    <w:p w14:paraId="122AAA4F">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十三、项目支出：指在基本支出之外为完成特定行政任务和事业发展目标所发生的支出。</w:t>
      </w:r>
    </w:p>
    <w:p w14:paraId="730E837D">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四、“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D2FCDB2">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十五、商品和服务支出：反映单位购买商品和服务的支出（不包括用于购置固定资产的支出、战略性和应急储备支出）。</w:t>
      </w:r>
    </w:p>
    <w:p w14:paraId="74B68398">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十六、因公出国（境）费用：反映单位公务出国（境）的住宿费、旅费、伙食补助费、杂费、培训费等支出。</w:t>
      </w:r>
    </w:p>
    <w:p w14:paraId="17F56C0D">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十七、会议费：反映会议中按规定开支的住宿费、伙食费、会议室租金、交通费、文件印刷费、医药费等。</w:t>
      </w:r>
    </w:p>
    <w:p w14:paraId="78FD38D6">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十八、培训费：反映除因公出国（境）培训费以外的各类培训支出。</w:t>
      </w:r>
    </w:p>
    <w:p w14:paraId="19760461">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十九、公务接待费：反映单位按规定开支的各类公务接待（含外宾接待）费用。</w:t>
      </w:r>
    </w:p>
    <w:p w14:paraId="7774DE5E">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二十、公务用车运行维护费：反映单位按规定保留的公务用车燃料费、维修费、过桥过路费、保险费、安全奖励费用等支出。</w:t>
      </w:r>
    </w:p>
    <w:p w14:paraId="3736450C">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二十一、其他交通费用：反映单位除公务用车运行维护费以外的其他交通费用。如公务交通补贴，租车费用、出租车费用，飞机、船舶等的燃料费、维修费、保险费等。</w:t>
      </w:r>
    </w:p>
    <w:p w14:paraId="2BBD5F71">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二十二、其他商品和服务支出：反映上述科目未包括的日常公用支出。如行政赔偿费和诉讼费、国内组织的会员费、来访费、广告宣传、其他劳务费及离休人员特需费、公用经费等。</w:t>
      </w:r>
    </w:p>
    <w:p w14:paraId="7BA9BDE0">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二十三、公务用车购置：反映公务用车车辆购置支出（含车辆购置税）。</w:t>
      </w:r>
    </w:p>
    <w:p w14:paraId="7263696C">
      <w:pPr>
        <w:widowControl/>
        <w:spacing w:after="120"/>
        <w:ind w:left="420" w:leftChars="200"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四、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35922E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3"/>
        <w:jc w:val="both"/>
        <w:rPr>
          <w:rFonts w:hint="eastAsia" w:ascii="方正小标宋_GBK" w:hAnsi="方正小标宋_GBK" w:eastAsia="方正小标宋_GBK" w:cs="方正小标宋_GBK"/>
          <w:sz w:val="72"/>
          <w:szCs w:val="72"/>
        </w:rPr>
      </w:pPr>
    </w:p>
    <w:p w14:paraId="0C1858E3">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3"/>
        <w:jc w:val="both"/>
        <w:rPr>
          <w:rFonts w:hint="eastAsia" w:ascii="方正小标宋_GBK" w:hAnsi="方正小标宋_GBK" w:eastAsia="方正小标宋_GBK" w:cs="方正小标宋_GBK"/>
          <w:sz w:val="70"/>
          <w:szCs w:val="70"/>
          <w:lang w:eastAsia="zh-CN"/>
        </w:rPr>
      </w:pPr>
    </w:p>
    <w:p w14:paraId="490142D3">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11944E2C"/>
    <w:rsid w:val="12583BA5"/>
    <w:rsid w:val="13BA5B9C"/>
    <w:rsid w:val="1D97DEFF"/>
    <w:rsid w:val="1DFF72E5"/>
    <w:rsid w:val="1EFC6F07"/>
    <w:rsid w:val="1F0527A6"/>
    <w:rsid w:val="22AC03C2"/>
    <w:rsid w:val="283B15FE"/>
    <w:rsid w:val="2EF33D33"/>
    <w:rsid w:val="2FDF85B8"/>
    <w:rsid w:val="2FFFEE04"/>
    <w:rsid w:val="31C95635"/>
    <w:rsid w:val="34DF85B0"/>
    <w:rsid w:val="3B8F36BC"/>
    <w:rsid w:val="43EB5BA5"/>
    <w:rsid w:val="481A4BAA"/>
    <w:rsid w:val="491FF225"/>
    <w:rsid w:val="4EC310A1"/>
    <w:rsid w:val="4FFD214C"/>
    <w:rsid w:val="5352765A"/>
    <w:rsid w:val="5777D4F5"/>
    <w:rsid w:val="57F22B6F"/>
    <w:rsid w:val="59DD8326"/>
    <w:rsid w:val="5DEF592A"/>
    <w:rsid w:val="5FC6BB1E"/>
    <w:rsid w:val="5FF720F1"/>
    <w:rsid w:val="622964C1"/>
    <w:rsid w:val="67FF5C0B"/>
    <w:rsid w:val="6BAA4A2F"/>
    <w:rsid w:val="6DDEC5C0"/>
    <w:rsid w:val="6EFC0924"/>
    <w:rsid w:val="6FB74722"/>
    <w:rsid w:val="6FEF8B7E"/>
    <w:rsid w:val="70272E2C"/>
    <w:rsid w:val="717FE77F"/>
    <w:rsid w:val="71837CEB"/>
    <w:rsid w:val="71A6591B"/>
    <w:rsid w:val="737D59BA"/>
    <w:rsid w:val="737F32B1"/>
    <w:rsid w:val="73BD3FCA"/>
    <w:rsid w:val="776BDA01"/>
    <w:rsid w:val="77C37683"/>
    <w:rsid w:val="79FF515B"/>
    <w:rsid w:val="7DFBFF20"/>
    <w:rsid w:val="7E4F7C4B"/>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7543</Words>
  <Characters>8171</Characters>
  <Lines>63</Lines>
  <Paragraphs>18</Paragraphs>
  <TotalTime>0</TotalTime>
  <ScaleCrop>false</ScaleCrop>
  <LinksUpToDate>false</LinksUpToDate>
  <CharactersWithSpaces>8202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Y</cp:lastModifiedBy>
  <cp:lastPrinted>2024-08-11T02:20:00Z</cp:lastPrinted>
  <dcterms:modified xsi:type="dcterms:W3CDTF">2025-09-22T02:31:28Z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E63CC27024B549E3BF83B1AFAA30D3B9_13</vt:lpwstr>
  </property>
  <property fmtid="{D5CDD505-2E9C-101B-9397-08002B2CF9AE}" pid="4" name="KSOTemplateDocerSaveRecord">
    <vt:lpwstr>eyJoZGlkIjoiYTI1ZWRhODIzZjNkMzE5ODI3Y2UwZTM2NjQ3YjE4YjIiLCJ1c2VySWQiOiI1Mzg0MzA5MzAifQ==</vt:lpwstr>
  </property>
</Properties>
</file>