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2"/>
        <w:jc w:val="center"/>
        <w:rPr>
          <w:sz w:val="56"/>
          <w:szCs w:val="56"/>
        </w:rPr>
      </w:pPr>
    </w:p>
    <w:p w14:paraId="3BDF5AB8">
      <w:pPr>
        <w:pStyle w:val="12"/>
        <w:jc w:val="center"/>
        <w:rPr>
          <w:sz w:val="56"/>
          <w:szCs w:val="56"/>
        </w:rPr>
      </w:pPr>
    </w:p>
    <w:p w14:paraId="215EB31D">
      <w:pPr>
        <w:pStyle w:val="12"/>
        <w:jc w:val="both"/>
        <w:rPr>
          <w:sz w:val="84"/>
          <w:szCs w:val="84"/>
        </w:rPr>
      </w:pPr>
    </w:p>
    <w:p w14:paraId="294AC7B6">
      <w:pPr>
        <w:pStyle w:val="12"/>
        <w:jc w:val="both"/>
        <w:rPr>
          <w:sz w:val="84"/>
          <w:szCs w:val="84"/>
        </w:rPr>
      </w:pPr>
    </w:p>
    <w:p w14:paraId="376C86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岳阳市生态环境保护综合行政执法支队</w:t>
      </w:r>
      <w:r>
        <w:rPr>
          <w:rFonts w:hint="eastAsia" w:ascii="方正小标宋_GBK" w:hAnsi="方正小标宋_GBK" w:eastAsia="方正小标宋_GBK" w:cs="方正小标宋_GBK"/>
          <w:sz w:val="84"/>
          <w:szCs w:val="84"/>
        </w:rPr>
        <w:t>部门（单位）部门决算</w:t>
      </w:r>
    </w:p>
    <w:p w14:paraId="3A699C16">
      <w:pPr>
        <w:pStyle w:val="12"/>
        <w:jc w:val="center"/>
        <w:rPr>
          <w:rFonts w:hint="eastAsia" w:ascii="方正小标宋_GBK" w:hAnsi="方正小标宋_GBK" w:eastAsia="方正小标宋_GBK" w:cs="方正小标宋_GBK"/>
          <w:sz w:val="56"/>
          <w:szCs w:val="56"/>
        </w:rPr>
      </w:pPr>
    </w:p>
    <w:p w14:paraId="72C8FB58">
      <w:pPr>
        <w:pStyle w:val="12"/>
        <w:jc w:val="center"/>
        <w:rPr>
          <w:sz w:val="56"/>
          <w:szCs w:val="56"/>
        </w:rPr>
      </w:pPr>
    </w:p>
    <w:p w14:paraId="25018D25">
      <w:pPr>
        <w:pStyle w:val="12"/>
        <w:jc w:val="center"/>
        <w:rPr>
          <w:sz w:val="56"/>
          <w:szCs w:val="56"/>
        </w:rPr>
      </w:pPr>
    </w:p>
    <w:p w14:paraId="5EE73A38">
      <w:pPr>
        <w:pStyle w:val="12"/>
        <w:jc w:val="center"/>
        <w:rPr>
          <w:sz w:val="56"/>
          <w:szCs w:val="56"/>
        </w:rPr>
      </w:pPr>
    </w:p>
    <w:p w14:paraId="50228290">
      <w:pPr>
        <w:pStyle w:val="12"/>
        <w:spacing w:line="540" w:lineRule="exact"/>
        <w:jc w:val="both"/>
        <w:rPr>
          <w:rFonts w:hint="eastAsia" w:eastAsia="黑体"/>
          <w:sz w:val="56"/>
          <w:szCs w:val="56"/>
          <w:lang w:eastAsia="zh-CN"/>
        </w:rPr>
      </w:pPr>
    </w:p>
    <w:p w14:paraId="459C483D">
      <w:pPr>
        <w:pStyle w:val="12"/>
        <w:spacing w:line="500" w:lineRule="exact"/>
        <w:jc w:val="both"/>
        <w:rPr>
          <w:b/>
          <w:sz w:val="36"/>
          <w:szCs w:val="28"/>
        </w:rPr>
      </w:pPr>
    </w:p>
    <w:p w14:paraId="24F3309B">
      <w:pPr>
        <w:pStyle w:val="12"/>
        <w:spacing w:line="500" w:lineRule="exact"/>
        <w:jc w:val="center"/>
        <w:rPr>
          <w:b/>
          <w:sz w:val="36"/>
          <w:szCs w:val="28"/>
        </w:rPr>
      </w:pPr>
      <w:r>
        <w:rPr>
          <w:rFonts w:hint="eastAsia"/>
          <w:b/>
          <w:sz w:val="36"/>
          <w:szCs w:val="28"/>
        </w:rPr>
        <w:t>目录</w:t>
      </w:r>
    </w:p>
    <w:p w14:paraId="6CBD0C2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岳阳市生态环境保护综合行政执法支队</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2"/>
        <w:jc w:val="center"/>
        <w:rPr>
          <w:rFonts w:hint="eastAsia" w:ascii="方正小标宋_GBK" w:hAnsi="方正小标宋_GBK" w:eastAsia="方正小标宋_GBK" w:cs="方正小标宋_GBK"/>
          <w:sz w:val="84"/>
          <w:szCs w:val="84"/>
        </w:rPr>
      </w:pPr>
    </w:p>
    <w:p w14:paraId="1095DEAB">
      <w:pPr>
        <w:pStyle w:val="12"/>
        <w:jc w:val="center"/>
        <w:rPr>
          <w:rFonts w:hint="eastAsia" w:ascii="方正小标宋_GBK" w:hAnsi="方正小标宋_GBK" w:eastAsia="方正小标宋_GBK" w:cs="方正小标宋_GBK"/>
          <w:sz w:val="84"/>
          <w:szCs w:val="84"/>
        </w:rPr>
      </w:pPr>
    </w:p>
    <w:p w14:paraId="0DEEC24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2"/>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岳阳市生态环境保护综合行政执法支队</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7"/>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469560B">
      <w:pPr>
        <w:pStyle w:val="3"/>
        <w:ind w:left="0" w:leftChars="0" w:firstLine="0" w:firstLineChars="0"/>
        <w:rPr>
          <w:rFonts w:hint="eastAsia" w:ascii="方正小标宋_GBK" w:hAnsi="方正小标宋_GBK" w:eastAsia="方正小标宋_GBK" w:cs="方正小标宋_GBK"/>
          <w:sz w:val="84"/>
          <w:szCs w:val="84"/>
        </w:rPr>
      </w:pPr>
    </w:p>
    <w:p w14:paraId="55E857AF">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B08D3B3">
      <w:pPr>
        <w:keepNext/>
        <w:keepLines/>
        <w:shd w:val="clear" w:color="auto" w:fill="FFFFFF"/>
        <w:spacing w:beforeLines="0" w:afterLines="0"/>
        <w:ind w:firstLine="640"/>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lang w:val="en-US" w:eastAsia="zh-CN"/>
        </w:rPr>
        <w:t>一</w:t>
      </w: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rPr>
        <w:t>贯彻执行有关生态环境保护行政执法方面的法律、法规、规章和政策规定。</w:t>
      </w:r>
    </w:p>
    <w:p w14:paraId="6A8BBBB6">
      <w:pPr>
        <w:keepNext/>
        <w:keepLines/>
        <w:shd w:val="clear" w:color="auto" w:fill="FFFFFF"/>
        <w:spacing w:beforeLines="0" w:afterLines="0"/>
        <w:ind w:firstLine="640"/>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lang w:val="en-US" w:eastAsia="zh-CN"/>
        </w:rPr>
        <w:t>二</w:t>
      </w: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rPr>
        <w:t>依法行使污染防治、生态保护、核与辐射安全的行政处罚权以及与行政处罚相关的行政检查、行政强制权等执法职能；负责全市生态环境重大违法案件和跨县（市、区）违法案件的查处。</w:t>
      </w:r>
    </w:p>
    <w:p w14:paraId="7443BC78">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lang w:val="en-US" w:eastAsia="zh-CN"/>
        </w:rPr>
        <w:t>三</w:t>
      </w: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rPr>
        <w:t>负责全市生态环境保护行政执法的业务指导、组织协调、考核评价和稽查。</w:t>
      </w:r>
    </w:p>
    <w:p w14:paraId="58F80F96">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lang w:val="en-US" w:eastAsia="zh-CN"/>
        </w:rPr>
        <w:t>四</w:t>
      </w: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rPr>
        <w:t>负责组织协调或配合生态环境保护部门联合执法行动。</w:t>
      </w:r>
    </w:p>
    <w:p w14:paraId="4C0E32D4">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lang w:val="en-US" w:eastAsia="zh-CN"/>
        </w:rPr>
        <w:t>五</w:t>
      </w: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rPr>
        <w:t>负责组织实施重点污染源自动监控相关工作。</w:t>
      </w:r>
    </w:p>
    <w:p w14:paraId="7C234485">
      <w:pPr>
        <w:keepNext/>
        <w:keepLines/>
        <w:shd w:val="clear" w:color="auto" w:fill="FFFFFF"/>
        <w:spacing w:beforeLines="0" w:afterLines="0"/>
        <w:ind w:firstLine="640"/>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lang w:val="en-US" w:eastAsia="zh-CN"/>
        </w:rPr>
        <w:t>六</w:t>
      </w: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rPr>
        <w:t>负责环境应急与事故调查处理和管理；受理、承办、交办、督办生态环境保护信访（举报、投诉）案件；协调处理重要信访事项。</w:t>
      </w:r>
    </w:p>
    <w:p w14:paraId="151B0098">
      <w:pPr>
        <w:keepNext/>
        <w:keepLines/>
        <w:shd w:val="clear" w:color="auto" w:fill="FFFFFF"/>
        <w:spacing w:beforeLines="0" w:afterLines="0"/>
        <w:ind w:firstLine="640"/>
        <w:jc w:val="lef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lang w:val="en-US" w:eastAsia="zh-CN"/>
        </w:rPr>
        <w:t>七</w:t>
      </w:r>
      <w:r>
        <w:rPr>
          <w:rFonts w:hint="eastAsia" w:ascii="Times New Roman" w:hAnsi="Times New Roman" w:eastAsia="仿宋_GB2312" w:cs="仿宋_GB2312"/>
          <w:sz w:val="32"/>
          <w:szCs w:val="32"/>
        </w:rPr>
        <w:t>）</w:t>
      </w:r>
      <w:r>
        <w:rPr>
          <w:rFonts w:hint="eastAsia" w:ascii="Times New Roman" w:hAnsi="Times New Roman" w:eastAsia="仿宋_GB2312" w:cs="仿宋_GB2312"/>
          <w:bCs/>
          <w:kern w:val="0"/>
          <w:sz w:val="32"/>
          <w:szCs w:val="32"/>
        </w:rPr>
        <w:t>完成上级部门交办的其他任务</w:t>
      </w:r>
      <w:r>
        <w:rPr>
          <w:rFonts w:hint="eastAsia" w:ascii="Times New Roman" w:hAnsi="Times New Roman" w:eastAsia="仿宋_GB2312" w:cs="仿宋_GB2312"/>
          <w:bCs/>
          <w:kern w:val="0"/>
          <w:sz w:val="32"/>
          <w:szCs w:val="32"/>
          <w:lang w:eastAsia="zh-CN"/>
        </w:rPr>
        <w:t>。</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152785">
      <w:pPr>
        <w:rPr>
          <w:rFonts w:hint="default"/>
          <w:lang w:val="en-US"/>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岳阳市生态环境保护综合行政执法支队</w:t>
      </w:r>
      <w:r>
        <w:rPr>
          <w:rFonts w:hint="eastAsia" w:ascii="Times New Roman" w:hAnsi="Times New Roman" w:eastAsia="仿宋_GB2312" w:cs="仿宋_GB2312"/>
          <w:bCs/>
          <w:kern w:val="0"/>
          <w:sz w:val="32"/>
          <w:szCs w:val="32"/>
        </w:rPr>
        <w:t>内设机构包括：综合科、</w:t>
      </w:r>
      <w:r>
        <w:rPr>
          <w:rFonts w:hint="eastAsia" w:ascii="Times New Roman" w:hAnsi="Times New Roman" w:eastAsia="仿宋_GB2312" w:cs="仿宋_GB2312"/>
          <w:bCs/>
          <w:kern w:val="0"/>
          <w:sz w:val="32"/>
          <w:szCs w:val="32"/>
          <w:lang w:val="en-US" w:eastAsia="zh-CN"/>
        </w:rPr>
        <w:t>法制科、市生态环境保护综合行政执法支队岳阳楼大队、市生态环境保护综合行政执法支队云溪大队、市生态环境保护综合行政执法支队君山大队、市生态环境保护综合行政执法支队园区执法大队、应急机动执法大队、环境稽查执法大队；</w:t>
      </w:r>
      <w:r>
        <w:rPr>
          <w:rFonts w:hint="eastAsia" w:ascii="Times New Roman" w:hAnsi="Times New Roman" w:eastAsia="仿宋_GB2312" w:cs="仿宋_GB2312"/>
          <w:bCs/>
          <w:kern w:val="0"/>
          <w:sz w:val="32"/>
          <w:szCs w:val="32"/>
          <w:lang w:eastAsia="zh-CN"/>
        </w:rPr>
        <w:t>本单位编制人数</w:t>
      </w:r>
      <w:r>
        <w:rPr>
          <w:rFonts w:hint="eastAsia" w:ascii="仿宋_GB2312" w:hAnsi="仿宋_GB2312" w:eastAsia="仿宋_GB2312" w:cs="仿宋_GB2312"/>
          <w:sz w:val="32"/>
          <w:szCs w:val="32"/>
          <w:lang w:val="en-US" w:eastAsia="zh-CN"/>
        </w:rPr>
        <w:t>50</w:t>
      </w:r>
      <w:r>
        <w:rPr>
          <w:rFonts w:hint="eastAsia" w:ascii="Times New Roman" w:hAnsi="Times New Roman" w:eastAsia="仿宋_GB2312" w:cs="仿宋_GB2312"/>
          <w:bCs/>
          <w:kern w:val="0"/>
          <w:sz w:val="32"/>
          <w:szCs w:val="32"/>
          <w:lang w:val="en-US" w:eastAsia="zh-CN"/>
        </w:rPr>
        <w:t>人，实际人数</w:t>
      </w:r>
      <w:r>
        <w:rPr>
          <w:rFonts w:hint="eastAsia" w:ascii="仿宋_GB2312" w:hAnsi="仿宋_GB2312" w:eastAsia="仿宋_GB2312" w:cs="仿宋_GB2312"/>
          <w:sz w:val="32"/>
          <w:szCs w:val="32"/>
          <w:lang w:val="en-US" w:eastAsia="zh-CN"/>
        </w:rPr>
        <w:t>50</w:t>
      </w:r>
      <w:r>
        <w:rPr>
          <w:rFonts w:hint="eastAsia" w:ascii="Times New Roman" w:hAnsi="Times New Roman" w:eastAsia="仿宋_GB2312" w:cs="仿宋_GB2312"/>
          <w:bCs/>
          <w:kern w:val="0"/>
          <w:sz w:val="32"/>
          <w:szCs w:val="32"/>
          <w:lang w:val="en-US" w:eastAsia="zh-CN"/>
        </w:rPr>
        <w:t>人。</w:t>
      </w: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2024年度部门决算汇总公开单位仅包括岳阳市生态环境保护综合行政执法支队单位本级。</w:t>
      </w:r>
    </w:p>
    <w:p w14:paraId="3CE56614">
      <w:pPr>
        <w:pStyle w:val="7"/>
      </w:pPr>
    </w:p>
    <w:p w14:paraId="70B4D569">
      <w:pPr>
        <w:pStyle w:val="3"/>
      </w:pPr>
    </w:p>
    <w:p w14:paraId="5B1D6CBC"/>
    <w:p w14:paraId="7D6C31E4">
      <w:pPr>
        <w:pStyle w:val="7"/>
      </w:pPr>
    </w:p>
    <w:p w14:paraId="056E4ECA">
      <w:pPr>
        <w:pStyle w:val="3"/>
      </w:pPr>
    </w:p>
    <w:p w14:paraId="3288C9C5"/>
    <w:p w14:paraId="14507043">
      <w:pPr>
        <w:pStyle w:val="7"/>
      </w:pPr>
    </w:p>
    <w:p w14:paraId="465EA8BD">
      <w:pPr>
        <w:pStyle w:val="3"/>
      </w:pPr>
    </w:p>
    <w:p w14:paraId="49E51758"/>
    <w:p w14:paraId="3DC8C6CD">
      <w:pPr>
        <w:pStyle w:val="7"/>
      </w:pPr>
    </w:p>
    <w:p w14:paraId="36E702E5">
      <w:pPr>
        <w:pStyle w:val="3"/>
      </w:pPr>
    </w:p>
    <w:p w14:paraId="1A174866">
      <w:pPr>
        <w:pStyle w:val="12"/>
        <w:jc w:val="both"/>
        <w:rPr>
          <w:rFonts w:hint="eastAsia" w:ascii="方正小标宋_GBK" w:hAnsi="方正小标宋_GBK" w:eastAsia="方正小标宋_GBK" w:cs="方正小标宋_GBK"/>
          <w:sz w:val="84"/>
          <w:szCs w:val="84"/>
        </w:rPr>
      </w:pPr>
    </w:p>
    <w:p w14:paraId="2B49F2B7">
      <w:pPr>
        <w:pStyle w:val="12"/>
        <w:jc w:val="center"/>
        <w:rPr>
          <w:rFonts w:hint="eastAsia" w:ascii="方正小标宋_GBK" w:hAnsi="方正小标宋_GBK" w:eastAsia="方正小标宋_GBK" w:cs="方正小标宋_GBK"/>
          <w:sz w:val="84"/>
          <w:szCs w:val="84"/>
        </w:rPr>
      </w:pPr>
    </w:p>
    <w:p w14:paraId="661BBFC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2"/>
        <w:jc w:val="center"/>
        <w:rPr>
          <w:rFonts w:hint="eastAsia" w:ascii="方正小标宋_GBK" w:hAnsi="方正小标宋_GBK" w:eastAsia="方正小标宋_GBK" w:cs="方正小标宋_GBK"/>
          <w:sz w:val="84"/>
          <w:szCs w:val="84"/>
        </w:rPr>
      </w:pPr>
    </w:p>
    <w:p w14:paraId="3860F1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2"/>
        <w:jc w:val="center"/>
        <w:rPr>
          <w:rFonts w:hint="eastAsia" w:ascii="仿宋_GB2312" w:hAnsi="仿宋_GB2312" w:eastAsia="仿宋_GB2312" w:cs="仿宋_GB2312"/>
          <w:b w:val="0"/>
          <w:bCs w:val="0"/>
          <w:sz w:val="72"/>
          <w:szCs w:val="72"/>
          <w:lang w:eastAsia="zh-CN"/>
        </w:rPr>
      </w:pPr>
    </w:p>
    <w:p w14:paraId="0568D1B8">
      <w:pPr>
        <w:pStyle w:val="12"/>
        <w:jc w:val="center"/>
        <w:rPr>
          <w:rFonts w:hint="eastAsia" w:ascii="仿宋_GB2312" w:hAnsi="仿宋_GB2312" w:eastAsia="仿宋_GB2312" w:cs="仿宋_GB2312"/>
          <w:b w:val="0"/>
          <w:bCs w:val="0"/>
          <w:sz w:val="72"/>
          <w:szCs w:val="72"/>
          <w:lang w:eastAsia="zh-CN"/>
        </w:rPr>
      </w:pPr>
    </w:p>
    <w:p w14:paraId="5C65B646">
      <w:pPr>
        <w:pStyle w:val="12"/>
        <w:jc w:val="center"/>
        <w:rPr>
          <w:rFonts w:hint="eastAsia" w:ascii="仿宋_GB2312" w:hAnsi="仿宋_GB2312" w:eastAsia="仿宋_GB2312" w:cs="仿宋_GB2312"/>
          <w:b w:val="0"/>
          <w:bCs w:val="0"/>
          <w:sz w:val="72"/>
          <w:szCs w:val="72"/>
          <w:lang w:eastAsia="zh-CN"/>
        </w:rPr>
      </w:pPr>
    </w:p>
    <w:p w14:paraId="62EA5E89">
      <w:pPr>
        <w:pStyle w:val="12"/>
        <w:jc w:val="center"/>
        <w:rPr>
          <w:rFonts w:hint="eastAsia" w:ascii="仿宋_GB2312" w:hAnsi="仿宋_GB2312" w:eastAsia="仿宋_GB2312" w:cs="仿宋_GB2312"/>
          <w:b w:val="0"/>
          <w:bCs w:val="0"/>
          <w:sz w:val="72"/>
          <w:szCs w:val="72"/>
          <w:lang w:eastAsia="zh-CN"/>
        </w:rPr>
      </w:pPr>
    </w:p>
    <w:p w14:paraId="63BFFD84">
      <w:pPr>
        <w:pStyle w:val="12"/>
        <w:jc w:val="center"/>
        <w:rPr>
          <w:rFonts w:hint="eastAsia" w:ascii="仿宋_GB2312" w:hAnsi="仿宋_GB2312" w:eastAsia="仿宋_GB2312" w:cs="仿宋_GB2312"/>
          <w:b w:val="0"/>
          <w:bCs w:val="0"/>
          <w:sz w:val="72"/>
          <w:szCs w:val="72"/>
          <w:lang w:eastAsia="zh-CN"/>
        </w:rPr>
      </w:pPr>
    </w:p>
    <w:p w14:paraId="4565BABE">
      <w:pPr>
        <w:pStyle w:val="12"/>
        <w:jc w:val="center"/>
        <w:rPr>
          <w:rFonts w:hint="eastAsia" w:ascii="仿宋_GB2312" w:hAnsi="仿宋_GB2312" w:eastAsia="仿宋_GB2312" w:cs="仿宋_GB2312"/>
          <w:b w:val="0"/>
          <w:bCs w:val="0"/>
          <w:sz w:val="72"/>
          <w:szCs w:val="72"/>
          <w:lang w:eastAsia="zh-CN"/>
        </w:rPr>
      </w:pPr>
    </w:p>
    <w:p w14:paraId="6EEAB3EF">
      <w:pPr>
        <w:pStyle w:val="12"/>
        <w:jc w:val="center"/>
        <w:rPr>
          <w:rFonts w:hint="eastAsia" w:ascii="仿宋_GB2312" w:hAnsi="仿宋_GB2312" w:eastAsia="仿宋_GB2312" w:cs="仿宋_GB2312"/>
          <w:b w:val="0"/>
          <w:bCs w:val="0"/>
          <w:sz w:val="72"/>
          <w:szCs w:val="72"/>
          <w:lang w:eastAsia="zh-CN"/>
        </w:rPr>
      </w:pPr>
    </w:p>
    <w:p w14:paraId="603C04A7">
      <w:pPr>
        <w:pStyle w:val="12"/>
        <w:jc w:val="center"/>
        <w:rPr>
          <w:rFonts w:hint="eastAsia" w:ascii="方正小标宋_GBK" w:hAnsi="方正小标宋_GBK" w:eastAsia="方正小标宋_GBK" w:cs="方正小标宋_GBK"/>
          <w:sz w:val="72"/>
          <w:szCs w:val="72"/>
        </w:rPr>
      </w:pPr>
    </w:p>
    <w:p w14:paraId="7A44A82E">
      <w:pPr>
        <w:pStyle w:val="12"/>
        <w:jc w:val="center"/>
        <w:rPr>
          <w:rFonts w:hint="eastAsia" w:ascii="方正小标宋_GBK" w:hAnsi="方正小标宋_GBK" w:eastAsia="方正小标宋_GBK" w:cs="方正小标宋_GBK"/>
          <w:sz w:val="72"/>
          <w:szCs w:val="72"/>
        </w:rPr>
      </w:pPr>
    </w:p>
    <w:p w14:paraId="06211665">
      <w:pPr>
        <w:pStyle w:val="12"/>
        <w:jc w:val="both"/>
        <w:rPr>
          <w:rFonts w:hint="eastAsia" w:ascii="方正小标宋_GBK" w:hAnsi="方正小标宋_GBK" w:eastAsia="方正小标宋_GBK" w:cs="方正小标宋_GBK"/>
          <w:sz w:val="72"/>
          <w:szCs w:val="72"/>
        </w:rPr>
      </w:pPr>
    </w:p>
    <w:p w14:paraId="7804FBA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2"/>
        <w:jc w:val="center"/>
        <w:rPr>
          <w:rFonts w:hint="eastAsia" w:ascii="方正小标宋_GBK" w:hAnsi="方正小标宋_GBK" w:eastAsia="方正小标宋_GBK" w:cs="方正小标宋_GBK"/>
          <w:sz w:val="70"/>
          <w:szCs w:val="70"/>
        </w:rPr>
      </w:pPr>
    </w:p>
    <w:p w14:paraId="4F77A5A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2"/>
        <w:jc w:val="center"/>
        <w:rPr>
          <w:rFonts w:hint="eastAsia" w:ascii="方正小标宋_GBK" w:hAnsi="方正小标宋_GBK" w:eastAsia="方正小标宋_GBK" w:cs="方正小标宋_GBK"/>
          <w:sz w:val="70"/>
          <w:szCs w:val="70"/>
        </w:rPr>
      </w:pPr>
    </w:p>
    <w:p w14:paraId="6EEC30AB">
      <w:pPr>
        <w:pStyle w:val="12"/>
        <w:jc w:val="center"/>
        <w:rPr>
          <w:rFonts w:hint="eastAsia" w:ascii="方正小标宋_GBK" w:hAnsi="方正小标宋_GBK" w:eastAsia="方正小标宋_GBK" w:cs="方正小标宋_GBK"/>
          <w:sz w:val="70"/>
          <w:szCs w:val="70"/>
        </w:rPr>
      </w:pPr>
    </w:p>
    <w:p w14:paraId="417367C1">
      <w:pPr>
        <w:pStyle w:val="12"/>
        <w:jc w:val="center"/>
        <w:rPr>
          <w:rFonts w:hint="eastAsia" w:ascii="方正小标宋_GBK" w:hAnsi="方正小标宋_GBK" w:eastAsia="方正小标宋_GBK" w:cs="方正小标宋_GBK"/>
          <w:sz w:val="70"/>
          <w:szCs w:val="70"/>
        </w:rPr>
      </w:pPr>
    </w:p>
    <w:p w14:paraId="514C0722">
      <w:pPr>
        <w:pStyle w:val="12"/>
        <w:jc w:val="both"/>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7FE6818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2024年度收、支总计770.93万元。与上年相比，增加119.85万元，增长18.41%，主要是因为项目相关支出增加。</w:t>
      </w:r>
    </w:p>
    <w:p w14:paraId="07DA9E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收入合计751.4万元，其中：财政拨款收入751.4万元，占100.00%；上级补助收入0.00万元，占0.00%；事业收入0.00万元，占0.00%；经营收入0.00万元，占0.00%；附属单位上缴收入0.00万元，占0.00%；其他收入0.00万元，占0.00%。</w:t>
      </w:r>
    </w:p>
    <w:p w14:paraId="2D1A2B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2024年度支出合计770.93万元，其中：基本支出568.46万元，占73.74%；项目支出202.47万元，占26.26%；上缴上级支出0.00万元，占0.00%；经营支出0.00万元，占0.00%；对附属单位补助支出0.00万元，占0.00%。</w:t>
      </w:r>
    </w:p>
    <w:p w14:paraId="698575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auto"/>
          <w:kern w:val="2"/>
          <w:sz w:val="32"/>
          <w:szCs w:val="32"/>
          <w:lang w:val="en-US" w:eastAsia="zh-CN" w:bidi="ar-SA"/>
        </w:rPr>
        <w:t>2024年度财政拨款收、支总计751.40万元，与上年相比，增加119.85万元,增长18.98%，主要是因为项目相关支出增加。</w:t>
      </w:r>
    </w:p>
    <w:p w14:paraId="4BB30A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w:t>
      </w:r>
      <w:r>
        <w:rPr>
          <w:rFonts w:hint="eastAsia" w:ascii="仿宋_GB2312" w:hAnsi="仿宋_GB2312" w:eastAsia="仿宋_GB2312" w:cs="仿宋_GB2312"/>
          <w:color w:val="auto"/>
          <w:kern w:val="2"/>
          <w:sz w:val="32"/>
          <w:szCs w:val="32"/>
          <w:lang w:val="en-US" w:eastAsia="zh-CN" w:bidi="ar-SA"/>
        </w:rPr>
        <w:t>一般公共预算财政拨款支出决算总体情况</w:t>
      </w:r>
    </w:p>
    <w:p w14:paraId="76CAEDE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年度财政拨款支出751.4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97.47</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119.85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18.98</w:t>
      </w:r>
      <w:r>
        <w:rPr>
          <w:rFonts w:hint="eastAsia" w:ascii="仿宋_GB2312" w:hAnsi="仿宋_GB2312" w:eastAsia="仿宋_GB2312" w:cs="仿宋_GB2312"/>
          <w:sz w:val="32"/>
          <w:szCs w:val="32"/>
        </w:rPr>
        <w:t>%，主要</w:t>
      </w:r>
      <w:r>
        <w:rPr>
          <w:rFonts w:hint="eastAsia" w:ascii="仿宋_GB2312" w:hAnsi="仿宋_GB2312" w:eastAsia="仿宋_GB2312" w:cs="仿宋_GB2312"/>
          <w:sz w:val="32"/>
          <w:szCs w:val="32"/>
          <w:highlight w:val="none"/>
        </w:rPr>
        <w:t>是因为</w:t>
      </w:r>
      <w:r>
        <w:rPr>
          <w:rFonts w:hint="eastAsia" w:ascii="仿宋_GB2312" w:hAnsi="仿宋_GB2312" w:eastAsia="仿宋_GB2312" w:cs="仿宋_GB2312"/>
          <w:sz w:val="32"/>
          <w:szCs w:val="32"/>
          <w:highlight w:val="none"/>
          <w:lang w:val="en-US" w:eastAsia="zh-CN"/>
        </w:rPr>
        <w:t>项目相关支出增加。</w:t>
      </w:r>
    </w:p>
    <w:p w14:paraId="36F15B18">
      <w:pPr>
        <w:pStyle w:val="12"/>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仿宋_GB2312" w:hAnsi="仿宋_GB2312" w:eastAsia="仿宋_GB2312" w:cs="仿宋_GB2312"/>
          <w:i/>
          <w:iCs/>
          <w:color w:val="FF0000"/>
          <w:sz w:val="32"/>
          <w:szCs w:val="32"/>
          <w:lang w:eastAsia="zh-CN"/>
        </w:rPr>
      </w:pPr>
    </w:p>
    <w:p w14:paraId="66C54C8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年度财政拨款支出751.4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万元，主要用于以下方面：社会保障和就业支出45.82万元，占</w:t>
      </w:r>
      <w:r>
        <w:rPr>
          <w:rFonts w:hint="eastAsia" w:ascii="仿宋_GB2312" w:hAnsi="仿宋_GB2312" w:eastAsia="仿宋_GB2312" w:cs="仿宋_GB2312"/>
          <w:sz w:val="32"/>
          <w:szCs w:val="32"/>
          <w:lang w:val="en-US" w:eastAsia="zh-CN"/>
        </w:rPr>
        <w:t>6.10</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26.59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3.54</w:t>
      </w:r>
      <w:r>
        <w:rPr>
          <w:rFonts w:hint="eastAsia" w:ascii="仿宋_GB2312" w:hAnsi="仿宋_GB2312" w:eastAsia="仿宋_GB2312" w:cs="仿宋_GB2312"/>
          <w:sz w:val="32"/>
          <w:szCs w:val="32"/>
        </w:rPr>
        <w:t>%;节能环保支出</w:t>
      </w:r>
      <w:r>
        <w:rPr>
          <w:rFonts w:hint="eastAsia" w:ascii="仿宋_GB2312" w:hAnsi="仿宋_GB2312" w:eastAsia="仿宋_GB2312" w:cs="仿宋_GB2312"/>
          <w:sz w:val="32"/>
          <w:szCs w:val="32"/>
          <w:lang w:val="en-US" w:eastAsia="zh-CN"/>
        </w:rPr>
        <w:t>646.30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86.01</w:t>
      </w:r>
      <w:r>
        <w:rPr>
          <w:rFonts w:hint="eastAsia" w:ascii="仿宋_GB2312" w:hAnsi="仿宋_GB2312" w:eastAsia="仿宋_GB2312" w:cs="仿宋_GB2312"/>
          <w:sz w:val="32"/>
          <w:szCs w:val="32"/>
        </w:rPr>
        <w:t>%;住房保障支出支出</w:t>
      </w:r>
      <w:r>
        <w:rPr>
          <w:rFonts w:hint="eastAsia" w:ascii="仿宋_GB2312" w:hAnsi="仿宋_GB2312" w:eastAsia="仿宋_GB2312" w:cs="仿宋_GB2312"/>
          <w:sz w:val="32"/>
          <w:szCs w:val="32"/>
          <w:lang w:val="en-US" w:eastAsia="zh-CN"/>
        </w:rPr>
        <w:t>32.69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4.35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5CDBAD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年度财政拨款支出年初预算数为539.03万元，支出决算数为751.4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139.40</w:t>
      </w:r>
      <w:r>
        <w:rPr>
          <w:rFonts w:hint="eastAsia" w:ascii="仿宋_GB2312" w:hAnsi="仿宋_GB2312" w:eastAsia="仿宋_GB2312" w:cs="仿宋_GB2312"/>
          <w:sz w:val="32"/>
          <w:szCs w:val="32"/>
        </w:rPr>
        <w:t>%，其中：</w:t>
      </w:r>
    </w:p>
    <w:p w14:paraId="237A4D6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523608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年初预算为45.31万元，支出决算为42.27万元，完成年初预算的</w:t>
      </w:r>
      <w:r>
        <w:rPr>
          <w:rFonts w:hint="eastAsia" w:ascii="仿宋_GB2312" w:hAnsi="仿宋_GB2312" w:eastAsia="仿宋_GB2312" w:cs="仿宋_GB2312"/>
          <w:sz w:val="32"/>
          <w:szCs w:val="32"/>
          <w:lang w:val="en-US" w:eastAsia="zh-CN"/>
        </w:rPr>
        <w:t>93.29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lang w:val="en-US" w:eastAsia="zh-CN"/>
        </w:rPr>
        <w:t>变动</w:t>
      </w:r>
      <w:r>
        <w:rPr>
          <w:rFonts w:hint="eastAsia" w:ascii="仿宋_GB2312" w:hAnsi="仿宋_GB2312" w:eastAsia="仿宋_GB2312" w:cs="仿宋_GB2312"/>
          <w:sz w:val="32"/>
          <w:szCs w:val="32"/>
          <w:lang w:eastAsia="zh-CN"/>
        </w:rPr>
        <w:t>，人员相关经费支出</w:t>
      </w:r>
      <w:r>
        <w:rPr>
          <w:rFonts w:hint="eastAsia" w:ascii="仿宋_GB2312" w:hAnsi="仿宋_GB2312" w:eastAsia="仿宋_GB2312" w:cs="仿宋_GB2312"/>
          <w:sz w:val="32"/>
          <w:szCs w:val="32"/>
          <w:lang w:val="en-US" w:eastAsia="zh-CN"/>
        </w:rPr>
        <w:t>变动</w:t>
      </w:r>
      <w:r>
        <w:rPr>
          <w:rFonts w:hint="eastAsia" w:ascii="仿宋_GB2312" w:hAnsi="仿宋_GB2312" w:eastAsia="仿宋_GB2312" w:cs="仿宋_GB2312"/>
          <w:sz w:val="32"/>
          <w:szCs w:val="32"/>
          <w:lang w:eastAsia="zh-CN"/>
        </w:rPr>
        <w:t>。</w:t>
      </w:r>
    </w:p>
    <w:p w14:paraId="3443D2A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2、社会保障和就业支出（类）残疾人事业（款）其他残疾人事业支出（项）。</w:t>
      </w:r>
    </w:p>
    <w:p w14:paraId="6D40D85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年初预算为3.55万元，支出决算为3.55万元，完成年初预算的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74472F2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卫生健康支出（类）行政事业单位医疗（款）行政单位医疗（项）。</w:t>
      </w:r>
    </w:p>
    <w:p w14:paraId="4C72C5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年初预算为27.03万元，支出决算为26.59万元，完成年初预算的</w:t>
      </w:r>
      <w:r>
        <w:rPr>
          <w:rFonts w:hint="eastAsia" w:ascii="仿宋_GB2312" w:hAnsi="仿宋_GB2312" w:eastAsia="仿宋_GB2312" w:cs="仿宋_GB2312"/>
          <w:sz w:val="32"/>
          <w:szCs w:val="32"/>
          <w:lang w:val="en-US" w:eastAsia="zh-CN"/>
        </w:rPr>
        <w:t>98.37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lang w:val="en-US" w:eastAsia="zh-CN"/>
        </w:rPr>
        <w:t>变动</w:t>
      </w:r>
      <w:r>
        <w:rPr>
          <w:rFonts w:hint="eastAsia" w:ascii="仿宋_GB2312" w:hAnsi="仿宋_GB2312" w:eastAsia="仿宋_GB2312" w:cs="仿宋_GB2312"/>
          <w:sz w:val="32"/>
          <w:szCs w:val="32"/>
          <w:lang w:eastAsia="zh-CN"/>
        </w:rPr>
        <w:t>，人员相关经费支出</w:t>
      </w:r>
      <w:r>
        <w:rPr>
          <w:rFonts w:hint="eastAsia" w:ascii="仿宋_GB2312" w:hAnsi="仿宋_GB2312" w:eastAsia="仿宋_GB2312" w:cs="仿宋_GB2312"/>
          <w:sz w:val="32"/>
          <w:szCs w:val="32"/>
          <w:lang w:val="en-US" w:eastAsia="zh-CN"/>
        </w:rPr>
        <w:t>变动</w:t>
      </w:r>
      <w:r>
        <w:rPr>
          <w:rFonts w:hint="eastAsia" w:ascii="仿宋_GB2312" w:hAnsi="仿宋_GB2312" w:eastAsia="仿宋_GB2312" w:cs="仿宋_GB2312"/>
          <w:sz w:val="32"/>
          <w:szCs w:val="32"/>
          <w:lang w:eastAsia="zh-CN"/>
        </w:rPr>
        <w:t>。</w:t>
      </w:r>
    </w:p>
    <w:p w14:paraId="16CB7F9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卫生健康支出（类）行政事业单位医疗（款）公务员医疗补助（项）。</w:t>
      </w:r>
    </w:p>
    <w:p w14:paraId="3786663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年初预算为8.17万元，支出决算为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完成年初预算的0.00%，决算数小于年初预算数的主要原因是：会计核算中未细化此项目，计入其他项目支出中。</w:t>
      </w:r>
    </w:p>
    <w:p w14:paraId="7B6662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节能环保支出（类）环境保护管理事务（款）行政运行（项）。</w:t>
      </w:r>
    </w:p>
    <w:p w14:paraId="561683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年初预算为402.29万元，支出决算为</w:t>
      </w:r>
      <w:r>
        <w:rPr>
          <w:rFonts w:hint="eastAsia" w:ascii="仿宋_GB2312" w:hAnsi="仿宋_GB2312" w:eastAsia="仿宋_GB2312" w:cs="仿宋_GB2312"/>
          <w:sz w:val="32"/>
          <w:szCs w:val="32"/>
          <w:lang w:val="en-US" w:eastAsia="zh-CN"/>
        </w:rPr>
        <w:t>395.94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98.42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合理控制办公经费支出。</w:t>
      </w:r>
    </w:p>
    <w:p w14:paraId="6AE51C2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节能环保支出（类）环境保护管理事务（款）其他环境保护管理事务支出（项）。</w:t>
      </w:r>
    </w:p>
    <w:p w14:paraId="1D13ECE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37.47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初预算数的主要原因是</w:t>
      </w:r>
      <w:r>
        <w:rPr>
          <w:rFonts w:hint="eastAsia" w:ascii="仿宋_GB2312" w:hAnsi="仿宋_GB2312" w:eastAsia="仿宋_GB2312" w:cs="仿宋_GB2312"/>
          <w:sz w:val="32"/>
          <w:szCs w:val="32"/>
          <w:lang w:eastAsia="zh-CN"/>
        </w:rPr>
        <w:t>：年中增加环境监察、监测等项目相关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068D846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节能环保支出（类）环境监测与监察（款）其他环境监测与监察支出（项）。</w:t>
      </w:r>
    </w:p>
    <w:p w14:paraId="5039F8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0.49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初预算数的主要原因是</w:t>
      </w:r>
      <w:r>
        <w:rPr>
          <w:rFonts w:hint="eastAsia" w:ascii="仿宋_GB2312" w:hAnsi="仿宋_GB2312" w:eastAsia="仿宋_GB2312" w:cs="仿宋_GB2312"/>
          <w:sz w:val="32"/>
          <w:szCs w:val="32"/>
          <w:lang w:eastAsia="zh-CN"/>
        </w:rPr>
        <w:t>：年中增加环境监察、监测等项目相关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640F993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节能环保支出（类）污染减排（款）生态环境执法监察（项）。</w:t>
      </w:r>
    </w:p>
    <w:p w14:paraId="7FC1274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183.01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初预算数的主要原因是</w:t>
      </w:r>
      <w:r>
        <w:rPr>
          <w:rFonts w:hint="eastAsia" w:ascii="仿宋_GB2312" w:hAnsi="仿宋_GB2312" w:eastAsia="仿宋_GB2312" w:cs="仿宋_GB2312"/>
          <w:sz w:val="32"/>
          <w:szCs w:val="32"/>
          <w:lang w:eastAsia="zh-CN"/>
        </w:rPr>
        <w:t>：年中增加环境监察、监测等项目相关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3D158E8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节能环保支出（类）其他节能环保支出（款）其他节能环保支出（项）。</w:t>
      </w:r>
    </w:p>
    <w:p w14:paraId="12A1E85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29.39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146.95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w:t>
      </w:r>
      <w:r>
        <w:rPr>
          <w:rFonts w:hint="eastAsia" w:ascii="仿宋_GB2312" w:hAnsi="仿宋_GB2312" w:eastAsia="仿宋_GB2312" w:cs="仿宋_GB2312"/>
          <w:sz w:val="32"/>
          <w:szCs w:val="32"/>
          <w:lang w:eastAsia="zh-CN"/>
        </w:rPr>
        <w:t>年中增加环境监察、监测等项目相关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67F0503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住房保障支出（类）住房改革支出（款）住房公积金（项）。</w:t>
      </w:r>
    </w:p>
    <w:p w14:paraId="1DB1001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32.69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32.69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373E8BA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财政拨款基本支出548.93万元，其中：</w:t>
      </w:r>
    </w:p>
    <w:p w14:paraId="763B784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469.9</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85.60</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、机关事业单位基本养老保险缴费、职工基本医疗保险缴费、其他社会保障缴费、住房公积金、退休费、医疗费补助、其他对个人和家庭的补助。</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79.03万元，占</w:t>
      </w:r>
      <w:r>
        <w:rPr>
          <w:rFonts w:hint="eastAsia" w:ascii="仿宋_GB2312" w:hAnsi="仿宋_GB2312" w:eastAsia="仿宋_GB2312" w:cs="仿宋_GB2312"/>
          <w:color w:val="000000"/>
          <w:kern w:val="0"/>
          <w:sz w:val="32"/>
          <w:szCs w:val="32"/>
          <w:lang w:val="en-US" w:eastAsia="zh-CN" w:bidi="ar-SA"/>
        </w:rPr>
        <w:t>基本支出的14.40%，主要包括办公费、电费、邮电费、物业管理费、差旅费、维修（护）费、培训费、公务接待费、劳务费、工会经费、福利费、公务用</w:t>
      </w:r>
      <w:r>
        <w:rPr>
          <w:rFonts w:hint="eastAsia" w:ascii="仿宋_GB2312" w:hAnsi="仿宋_GB2312" w:eastAsia="仿宋_GB2312" w:cs="仿宋_GB2312"/>
          <w:sz w:val="32"/>
          <w:szCs w:val="32"/>
          <w:lang w:eastAsia="zh-CN"/>
        </w:rPr>
        <w:t>车运行维护费、其他交通费用、其他商品和服务支出。</w:t>
      </w:r>
    </w:p>
    <w:p w14:paraId="238B27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color w:val="000000"/>
          <w:kern w:val="0"/>
          <w:sz w:val="32"/>
          <w:szCs w:val="32"/>
          <w:lang w:val="en-US" w:eastAsia="zh-CN" w:bidi="ar-SA"/>
        </w:rPr>
        <w:t>024年度政府性基金预算财政拨款收入0.00万元；年初结转和结余0.00万元；支出0.00万元，其中基本支出0.00万元，项目支出0.00万元；年末结转和结余0.00万元。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155FE196">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w:t>
      </w:r>
      <w:r>
        <w:rPr>
          <w:rFonts w:hint="eastAsia" w:ascii="仿宋_GB2312" w:hAnsi="仿宋_GB2312" w:eastAsia="仿宋_GB2312" w:cs="仿宋_GB2312"/>
          <w:color w:val="000000"/>
          <w:kern w:val="0"/>
          <w:sz w:val="32"/>
          <w:szCs w:val="32"/>
          <w:lang w:val="en-US" w:eastAsia="zh-CN" w:bidi="ar-SA"/>
        </w:rPr>
        <w:t>024有资本经营预算财政拨款收入0.00万元；年初结转和结余0.00万元；支出0.00万元，其中：基本支出0.00万元，项目支出0.00万元；年末结转和结余0.00万元。</w:t>
      </w:r>
    </w:p>
    <w:p w14:paraId="5876C2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2024年度“三公”经费财政拨款支出预算为</w:t>
      </w:r>
      <w:r>
        <w:rPr>
          <w:rFonts w:hint="eastAsia" w:ascii="仿宋_GB2312" w:hAnsi="仿宋_GB2312" w:eastAsia="仿宋_GB2312" w:cs="仿宋_GB2312"/>
          <w:sz w:val="32"/>
          <w:szCs w:val="32"/>
          <w:lang w:val="en-US" w:eastAsia="zh-CN"/>
        </w:rPr>
        <w:t>8.50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6.28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73.88</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0.93</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12.90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。决算数小于上年数的主要原因是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w:t>
      </w:r>
    </w:p>
    <w:p w14:paraId="352D03A7">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5CE2613C">
      <w:pPr>
        <w:pStyle w:val="12"/>
        <w:overflowPunct w:val="0"/>
        <w:autoSpaceDE/>
        <w:autoSpaceDN/>
        <w:spacing w:line="600" w:lineRule="exact"/>
        <w:ind w:firstLine="640" w:firstLineChars="200"/>
        <w:jc w:val="both"/>
        <w:rPr>
          <w:rFonts w:hint="eastAsia" w:ascii="仿宋_GB2312" w:hAnsi="仿宋_GB2312" w:eastAsia="仿宋_GB2312" w:cs="仿宋_GB2312"/>
          <w:sz w:val="32"/>
          <w:szCs w:val="32"/>
          <w:lang w:val="en-US" w:eastAsia="zh-CN"/>
        </w:rPr>
      </w:pPr>
      <w:r>
        <w:rPr>
          <w:rFonts w:ascii="Times New Roman" w:hAnsi="Times New Roman" w:eastAsia="仿宋_GB2312" w:cs="Times New Roman"/>
          <w:sz w:val="32"/>
          <w:szCs w:val="32"/>
        </w:rPr>
        <w:t>1.</w:t>
      </w: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决算数等于预算数</w:t>
      </w:r>
      <w:r>
        <w:rPr>
          <w:rFonts w:hint="eastAsia" w:ascii="仿宋_GB2312" w:hAnsi="仿宋_GB2312" w:eastAsia="仿宋_GB2312" w:cs="仿宋_GB2312"/>
          <w:sz w:val="32"/>
          <w:szCs w:val="32"/>
          <w:lang w:val="en-US" w:eastAsia="zh-CN"/>
        </w:rPr>
        <w:t>，主要原因是我单位严格按预算执行决算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与上年一致，无增减变动，主要原因是未安排因公出国（境）活动。</w:t>
      </w:r>
      <w:r>
        <w:rPr>
          <w:rFonts w:hint="eastAsia" w:ascii="仿宋_GB2312" w:hAnsi="仿宋_GB2312" w:eastAsia="仿宋_GB2312" w:cs="仿宋_GB2312"/>
          <w:sz w:val="32"/>
          <w:szCs w:val="32"/>
        </w:rPr>
        <w:t>2024年度安排因公出国（境）团组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p>
    <w:p w14:paraId="65978CAB">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仿宋_GB2312" w:hAnsi="仿宋_GB2312" w:eastAsia="仿宋_GB2312" w:cs="仿宋_GB2312"/>
          <w:sz w:val="32"/>
          <w:szCs w:val="32"/>
        </w:rPr>
        <w:t>.公务用车购置费及运行维护费支出预算为</w:t>
      </w:r>
      <w:r>
        <w:rPr>
          <w:rFonts w:hint="eastAsia" w:ascii="仿宋_GB2312" w:hAnsi="仿宋_GB2312" w:eastAsia="仿宋_GB2312" w:cs="仿宋_GB2312"/>
          <w:sz w:val="32"/>
          <w:szCs w:val="32"/>
          <w:lang w:val="en-US" w:eastAsia="zh-CN"/>
        </w:rPr>
        <w:t>8.00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11.73</w:t>
      </w:r>
      <w:r>
        <w:rPr>
          <w:rFonts w:hint="eastAsia" w:ascii="仿宋_GB2312" w:hAnsi="仿宋_GB2312" w:eastAsia="仿宋_GB2312" w:cs="仿宋_GB2312"/>
          <w:sz w:val="32"/>
          <w:szCs w:val="32"/>
        </w:rPr>
        <w:t>%。其中</w:t>
      </w:r>
      <w:r>
        <w:rPr>
          <w:rFonts w:ascii="Times New Roman" w:hAnsi="Times New Roman" w:eastAsia="仿宋_GB2312" w:cs="Times New Roman"/>
          <w:sz w:val="32"/>
          <w:szCs w:val="32"/>
        </w:rPr>
        <w:t>：</w:t>
      </w:r>
    </w:p>
    <w:p w14:paraId="07AF86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决算数等于预算数，主要原因是我单位严格按预算执行决算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与上年一致，无增减变动，主要原因是两年均未购置公务用车。本单位</w:t>
      </w:r>
      <w:r>
        <w:rPr>
          <w:rFonts w:hint="eastAsia" w:ascii="仿宋_GB2312" w:hAnsi="仿宋_GB2312" w:eastAsia="仿宋_GB2312" w:cs="仿宋_GB2312"/>
          <w:sz w:val="32"/>
          <w:szCs w:val="32"/>
        </w:rPr>
        <w:t>更新公务用车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p>
    <w:p w14:paraId="1D42295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8.00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w:t>
      </w:r>
    </w:p>
    <w:p w14:paraId="75A272CE">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主要是公务用车维修保养费、车辆保险费和油料费支出，完成预算</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lang w:val="en-US" w:eastAsia="zh-CN"/>
        </w:rPr>
        <w:t>75</w:t>
      </w:r>
      <w:r>
        <w:rPr>
          <w:rFonts w:ascii="Times New Roman" w:hAnsi="Times New Roman" w:eastAsia="仿宋_GB2312" w:cs="Times New Roman"/>
          <w:sz w:val="32"/>
          <w:szCs w:val="32"/>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11.73</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于预算数的主要</w:t>
      </w:r>
      <w:r>
        <w:rPr>
          <w:rFonts w:hint="eastAsia" w:ascii="仿宋_GB2312" w:hAnsi="仿宋_GB2312" w:eastAsia="仿宋_GB2312" w:cs="仿宋_GB2312"/>
          <w:sz w:val="32"/>
          <w:szCs w:val="32"/>
          <w:lang w:eastAsia="zh-CN"/>
        </w:rPr>
        <w:t>原因是厉行节约，严格控制三公经费</w:t>
      </w:r>
      <w:r>
        <w:rPr>
          <w:rFonts w:hint="eastAsia" w:ascii="仿宋_GB2312" w:hAnsi="仿宋_GB2312" w:eastAsia="仿宋_GB2312" w:cs="仿宋_GB2312"/>
          <w:sz w:val="32"/>
          <w:szCs w:val="32"/>
        </w:rPr>
        <w:t>。决算数大于上年数的主要原因是公务用车维修保养费、车辆保险费和油料费支出</w:t>
      </w:r>
      <w:r>
        <w:rPr>
          <w:rFonts w:hint="eastAsia" w:ascii="仿宋_GB2312" w:hAnsi="仿宋_GB2312" w:eastAsia="仿宋_GB2312" w:cs="仿宋_GB2312"/>
          <w:sz w:val="32"/>
          <w:szCs w:val="32"/>
          <w:lang w:val="en-US" w:eastAsia="zh-CN"/>
        </w:rPr>
        <w:t>增加</w:t>
      </w:r>
      <w:r>
        <w:rPr>
          <w:rFonts w:hint="eastAsia" w:ascii="仿宋_GB2312" w:hAnsi="仿宋_GB2312" w:eastAsia="仿宋_GB2312" w:cs="仿宋_GB2312"/>
          <w:sz w:val="32"/>
          <w:szCs w:val="32"/>
        </w:rPr>
        <w:t>。截止</w:t>
      </w:r>
      <w:r>
        <w:rPr>
          <w:rFonts w:hint="eastAsia" w:ascii="仿宋_GB2312" w:hAnsi="仿宋_GB2312" w:eastAsia="仿宋_GB2312" w:cs="仿宋_GB2312"/>
          <w:sz w:val="32"/>
          <w:szCs w:val="32"/>
          <w:lang w:eastAsia="zh-CN"/>
        </w:rPr>
        <w:t>到</w:t>
      </w:r>
      <w:r>
        <w:rPr>
          <w:rFonts w:hint="eastAsia" w:ascii="仿宋_GB2312" w:hAnsi="仿宋_GB2312" w:eastAsia="仿宋_GB2312" w:cs="仿宋_GB2312"/>
          <w:sz w:val="32"/>
          <w:szCs w:val="32"/>
        </w:rPr>
        <w:t>2024年12月31日，我单位开支财政拨款的公务用车保有量为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辆。</w:t>
      </w:r>
    </w:p>
    <w:p w14:paraId="039328FA">
      <w:pPr>
        <w:numPr>
          <w:ilvl w:val="0"/>
          <w:numId w:val="0"/>
        </w:numPr>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en-US" w:eastAsia="zh-CN" w:bidi="ar-SA"/>
        </w:rPr>
        <w:t>公务接待费支出预算为0.50万元，支出决算为0.28万元，完成预算的56.00%；与上年相比减少1.20万元，降低65.22%。决算数小于预算数的主要原因是厉行节约，严格控制三公经费。决算数小于上年数的主要原因是厉行节约，严格控制三公经费。2024年度共接待来访团组3个、来宾29人次，主要是执法办案、业务交流学习等工作发生的接待支出。</w:t>
      </w:r>
    </w:p>
    <w:p w14:paraId="3D06AC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2"/>
        <w:ind w:firstLine="640" w:firstLineChars="200"/>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年度机关运行经费支出79.03万元，比上年决算数增加</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0.77</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差旅费、电费和物业管理费增</w:t>
      </w:r>
      <w:r>
        <w:rPr>
          <w:rFonts w:hint="eastAsia" w:ascii="仿宋_GB2312" w:hAnsi="仿宋_GB2312" w:eastAsia="仿宋_GB2312" w:cs="仿宋_GB2312"/>
          <w:sz w:val="32"/>
          <w:szCs w:val="32"/>
          <w:highlight w:val="none"/>
          <w:lang w:val="en-US" w:eastAsia="zh-CN"/>
        </w:rPr>
        <w:t>加</w:t>
      </w:r>
      <w:r>
        <w:rPr>
          <w:rFonts w:hint="eastAsia" w:ascii="仿宋_GB2312" w:hAnsi="仿宋_GB2312" w:eastAsia="仿宋_GB2312" w:cs="仿宋_GB2312"/>
          <w:sz w:val="32"/>
          <w:szCs w:val="32"/>
          <w:highlight w:val="none"/>
          <w:lang w:eastAsia="zh-CN"/>
        </w:rPr>
        <w:t>。</w:t>
      </w:r>
    </w:p>
    <w:p w14:paraId="39684EF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年度本单位无会议费的预算和支出决算数</w:t>
      </w:r>
      <w:r>
        <w:rPr>
          <w:rFonts w:hint="eastAsia" w:ascii="仿宋_GB2312" w:hAnsi="仿宋_GB2312" w:eastAsia="仿宋_GB2312" w:cs="仿宋_GB2312"/>
          <w:sz w:val="32"/>
          <w:szCs w:val="32"/>
          <w:lang w:eastAsia="zh-CN"/>
        </w:rPr>
        <w:t>。</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培训费年初预算3.00万元，支出决算为0.88万元，完成年初预算的29.34%。用于开展规范化建设培训，人数50人，内容为规范化建设培训。</w:t>
      </w:r>
    </w:p>
    <w:p w14:paraId="39C2EAB5">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52D0B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本</w:t>
      </w:r>
      <w:r>
        <w:rPr>
          <w:rFonts w:hint="eastAsia" w:ascii="仿宋_GB2312" w:hAnsi="仿宋_GB2312" w:eastAsia="仿宋_GB2312" w:cs="仿宋_GB2312"/>
          <w:color w:val="000000"/>
          <w:kern w:val="0"/>
          <w:sz w:val="32"/>
          <w:szCs w:val="32"/>
          <w:lang w:val="en-US" w:eastAsia="zh-CN" w:bidi="ar-SA"/>
        </w:rPr>
        <w:t>部门2024年度政府采购支出总额21.49万元，其中：政府采购货物支出21.49万元、政府采购工程支出0.00万元、政府采购服务支出0.00万元。授予中小企业合同金额21.49万元，占政府采购支出总额的100.00%，其中：授予小微企业合同金额21.49万元，占授予中小企业合同金额的100.00%。货物采购授予中小企业合同金额占货物支出金额的100.00%，工程采购授予中小企业合同金额占工程支出金额的0.00%，服务采购授予中小企业合同金额占服务支出金额的0.00%。</w:t>
      </w:r>
    </w:p>
    <w:p w14:paraId="246A0D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w:t>
      </w:r>
      <w:r>
        <w:rPr>
          <w:rFonts w:hint="eastAsia" w:ascii="仿宋_GB2312" w:hAnsi="仿宋_GB2312" w:eastAsia="仿宋_GB2312" w:cs="仿宋_GB2312"/>
          <w:color w:val="000000"/>
          <w:kern w:val="0"/>
          <w:sz w:val="32"/>
          <w:szCs w:val="32"/>
          <w:lang w:val="en-US" w:eastAsia="zh-CN" w:bidi="ar-SA"/>
        </w:rPr>
        <w:t>2024年12月31日，部门（单位）共有车辆2辆，其中，副部（省）级及以上领导用车0辆、主要负责人用车0辆、机要通信用车0辆、应急保障用车0辆、执法执勤用车2辆、特种专业技术用车0辆、离退休干部服务用车0辆、其他用车0辆；单位价值100万元以上设备（不含车辆）0台（套）</w:t>
      </w:r>
      <w:r>
        <w:rPr>
          <w:rFonts w:hint="eastAsia" w:ascii="仿宋_GB2312" w:hAnsi="仿宋_GB2312" w:eastAsia="仿宋_GB2312" w:cs="仿宋_GB2312"/>
          <w:color w:val="auto"/>
          <w:sz w:val="32"/>
          <w:szCs w:val="32"/>
        </w:rPr>
        <w:t>。</w:t>
      </w:r>
    </w:p>
    <w:p w14:paraId="0A8224A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hint="eastAsia" w:ascii="仿宋_GB2312" w:hAnsi="仿宋_GB2312" w:eastAsia="仿宋_GB2312" w:cs="仿宋_GB2312"/>
          <w:color w:val="000000"/>
          <w:kern w:val="0"/>
          <w:sz w:val="32"/>
          <w:szCs w:val="32"/>
          <w:lang w:val="en-US" w:eastAsia="zh-CN" w:bidi="ar-SA"/>
        </w:rPr>
        <w:t>组织对2024年度本部门（单位）整体支出开展绩效自评，涉及项目1个，共涉及资金202.48万元。其中，一般公共预算项目1个202.48万元，占一般公共预算支出总额的100.00%；政府性基金预算项目0个0.00万元，占政府性基金预算支出总额的0.00%；国有资本经营预算项目0个0.00万元，占国有资本经营预算支出总额的0.00%；社会保险基金预算项目0个0.00万元，占社会保险基金预算支出总额的0.00%。</w:t>
      </w:r>
    </w:p>
    <w:p w14:paraId="57F49944">
      <w:pPr>
        <w:overflowPunct w:val="0"/>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color w:val="000000"/>
          <w:kern w:val="0"/>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color w:val="000000"/>
          <w:kern w:val="0"/>
          <w:sz w:val="32"/>
          <w:szCs w:val="32"/>
          <w:lang w:val="en-US" w:eastAsia="zh-CN" w:bidi="ar-SA"/>
        </w:rPr>
        <w:t>本单位为二级预算单位，部门评价开展情况可详见上级部门决算公开说明。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hint="eastAsia" w:ascii="仿宋_GB2312" w:hAnsi="仿宋_GB2312" w:eastAsia="仿宋_GB2312" w:cs="仿宋_GB2312"/>
          <w:color w:val="000000"/>
          <w:kern w:val="0"/>
          <w:sz w:val="32"/>
          <w:szCs w:val="32"/>
          <w:lang w:val="en-US" w:eastAsia="zh-CN" w:bidi="ar-SA"/>
        </w:rPr>
        <w:t>2024年度本部门（单位）整体支出全年预算数799.01万元，执行数770.93万元，完成预算的96.49%，绩效自评得分96.5分，评价等级为“优”。绩效目标完成情况：一是对全市排污企业开展监管执法；二是做好“两法”衔接；三是环境公众诉求，深入推进“污染防治攻坚”行动；四是开展“三磷”化工污染专项整治；五是开展“两打”专项行动；六是严厉打击非法排污行为；七是完成2024年罚没征收任务数，严格控制罚没款征收成本。发现的主要问题及原因：一是</w:t>
      </w:r>
      <w:r>
        <w:rPr>
          <w:rFonts w:hint="default" w:ascii="仿宋_GB2312" w:hAnsi="仿宋_GB2312" w:eastAsia="仿宋_GB2312" w:cs="仿宋_GB2312"/>
          <w:color w:val="000000"/>
          <w:kern w:val="0"/>
          <w:sz w:val="32"/>
          <w:szCs w:val="32"/>
          <w:lang w:val="en-US" w:eastAsia="zh-CN" w:bidi="ar-SA"/>
        </w:rPr>
        <w:t>预算编制有待加强，存在追加经费较多现象，预算编制的精确性有待进一步提高</w:t>
      </w:r>
      <w:r>
        <w:rPr>
          <w:rFonts w:hint="eastAsia" w:ascii="仿宋_GB2312" w:hAnsi="仿宋_GB2312" w:eastAsia="仿宋_GB2312" w:cs="仿宋_GB2312"/>
          <w:color w:val="000000"/>
          <w:kern w:val="0"/>
          <w:sz w:val="32"/>
          <w:szCs w:val="32"/>
          <w:lang w:val="en-US" w:eastAsia="zh-CN" w:bidi="ar-SA"/>
        </w:rPr>
        <w:t>；二是</w:t>
      </w:r>
      <w:r>
        <w:rPr>
          <w:rFonts w:hint="default" w:ascii="仿宋_GB2312" w:hAnsi="仿宋_GB2312" w:eastAsia="仿宋_GB2312" w:cs="仿宋_GB2312"/>
          <w:color w:val="000000"/>
          <w:kern w:val="0"/>
          <w:sz w:val="32"/>
          <w:szCs w:val="32"/>
          <w:lang w:val="en-US" w:eastAsia="zh-CN" w:bidi="ar-SA"/>
        </w:rPr>
        <w:t>绩效管理的运用意识有待提高。针对这些不足，我单位将积极采取改进措施，持续改进，不断规范和强化管理</w:t>
      </w:r>
      <w:r>
        <w:rPr>
          <w:rFonts w:hint="eastAsia" w:ascii="仿宋_GB2312" w:hAnsi="仿宋_GB2312" w:eastAsia="仿宋_GB2312" w:cs="仿宋_GB2312"/>
          <w:color w:val="000000"/>
          <w:kern w:val="0"/>
          <w:sz w:val="32"/>
          <w:szCs w:val="32"/>
          <w:lang w:val="en-US" w:eastAsia="zh-CN" w:bidi="ar-SA"/>
        </w:rPr>
        <w:t>。下一步改进措施：一是严格按照《中华人民共和国预算法》及相关制度，根据本单位实际情况并结合以前年度支出情况，综合考虑相关因素，申报年初预算，提高单位预算编制水平；二是定期对绩效目标执行进度进行监控，及时掌握资金支付进度，确保财政资金发挥效益。</w:t>
      </w:r>
    </w:p>
    <w:p w14:paraId="1F555EDA">
      <w:pPr>
        <w:overflowPunct w:val="0"/>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仿宋_GB2312" w:hAnsi="仿宋_GB2312" w:eastAsia="仿宋_GB2312" w:cs="仿宋_GB2312"/>
          <w:color w:val="000000"/>
          <w:kern w:val="0"/>
          <w:sz w:val="32"/>
          <w:szCs w:val="32"/>
          <w:lang w:val="en-US" w:eastAsia="zh-CN" w:bidi="ar-SA"/>
        </w:rPr>
        <w:t>本单位为二级预算单位，部门评价结果可详见上级部门决算公开说明。</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仿宋_GB2312" w:hAnsi="仿宋_GB2312" w:eastAsia="仿宋_GB2312" w:cs="仿宋_GB2312"/>
          <w:color w:val="000000"/>
          <w:kern w:val="0"/>
          <w:sz w:val="32"/>
          <w:szCs w:val="32"/>
          <w:lang w:val="en-US" w:eastAsia="zh-CN" w:bidi="ar-SA"/>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numPr>
          <w:ilvl w:val="0"/>
          <w:numId w:val="0"/>
        </w:numPr>
        <w:autoSpaceDE w:val="0"/>
        <w:autoSpaceDN w:val="0"/>
        <w:adjustRightInd w:val="0"/>
        <w:ind w:firstLine="640" w:firstLineChars="200"/>
        <w:jc w:val="left"/>
        <w:rPr>
          <w:rFonts w:hint="eastAsia" w:ascii="仿宋_GB2312" w:hAnsi="仿宋_GB2312" w:eastAsia="仿宋_GB2312" w:cs="仿宋_GB2312"/>
          <w:color w:val="000000"/>
          <w:kern w:val="0"/>
          <w:sz w:val="32"/>
          <w:szCs w:val="32"/>
          <w:lang w:val="en-US" w:eastAsia="zh-CN" w:bidi="ar-SA"/>
        </w:rPr>
      </w:pPr>
      <w:r>
        <w:rPr>
          <w:rFonts w:ascii="Times New Roman" w:hAnsi="Times New Roman" w:eastAsia="仿宋_GB2312" w:cs="Times New Roman"/>
          <w:color w:val="auto"/>
          <w:sz w:val="32"/>
          <w:szCs w:val="32"/>
          <w:highlight w:val="none"/>
        </w:rPr>
        <w:t>请根</w:t>
      </w:r>
      <w:r>
        <w:rPr>
          <w:rFonts w:hint="eastAsia" w:ascii="仿宋_GB2312" w:hAnsi="仿宋_GB2312" w:eastAsia="仿宋_GB2312" w:cs="仿宋_GB2312"/>
          <w:color w:val="000000"/>
          <w:kern w:val="0"/>
          <w:sz w:val="32"/>
          <w:szCs w:val="32"/>
          <w:lang w:val="en-US" w:eastAsia="zh-CN" w:bidi="ar-SA"/>
        </w:rPr>
        <w:t>据2024年度绩效自评结果、部门评价结果、事前绩效评价结果对本部门2025年度预算安排，支出结构调整，资金管理，制度建设等方面结果运用进行简要说明。</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33348A71">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p>
    <w:p w14:paraId="6AA8ED9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p>
    <w:p w14:paraId="1F456A90">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p>
    <w:p w14:paraId="2EFF9DDE">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p>
    <w:p w14:paraId="634A885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p>
    <w:p w14:paraId="62BEA247">
      <w:pPr>
        <w:pStyle w:val="7"/>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47E06D0">
      <w:pPr>
        <w:pStyle w:val="12"/>
        <w:jc w:val="both"/>
        <w:rPr>
          <w:rFonts w:hint="eastAsia" w:ascii="方正小标宋_GBK" w:hAnsi="方正小标宋_GBK" w:eastAsia="方正小标宋_GBK" w:cs="方正小标宋_GBK"/>
          <w:sz w:val="24"/>
          <w:szCs w:val="24"/>
        </w:rPr>
      </w:pPr>
    </w:p>
    <w:p w14:paraId="3D83FDA1">
      <w:pPr>
        <w:pStyle w:val="12"/>
        <w:jc w:val="center"/>
        <w:rPr>
          <w:rFonts w:hint="eastAsia" w:ascii="方正小标宋_GBK" w:hAnsi="方正小标宋_GBK" w:eastAsia="方正小标宋_GBK" w:cs="方正小标宋_GBK"/>
          <w:sz w:val="72"/>
          <w:szCs w:val="72"/>
        </w:rPr>
      </w:pPr>
    </w:p>
    <w:p w14:paraId="6FB6F211">
      <w:pPr>
        <w:pStyle w:val="12"/>
        <w:jc w:val="center"/>
        <w:rPr>
          <w:rFonts w:hint="eastAsia" w:ascii="方正小标宋_GBK" w:hAnsi="方正小标宋_GBK" w:eastAsia="方正小标宋_GBK" w:cs="方正小标宋_GBK"/>
          <w:sz w:val="72"/>
          <w:szCs w:val="72"/>
        </w:rPr>
      </w:pPr>
    </w:p>
    <w:p w14:paraId="58C982CE">
      <w:pPr>
        <w:pStyle w:val="12"/>
        <w:jc w:val="center"/>
        <w:rPr>
          <w:rFonts w:hint="eastAsia" w:ascii="方正小标宋_GBK" w:hAnsi="方正小标宋_GBK" w:eastAsia="方正小标宋_GBK" w:cs="方正小标宋_GBK"/>
          <w:sz w:val="72"/>
          <w:szCs w:val="72"/>
        </w:rPr>
      </w:pPr>
    </w:p>
    <w:p w14:paraId="64C9E768">
      <w:pPr>
        <w:pStyle w:val="12"/>
        <w:jc w:val="center"/>
        <w:rPr>
          <w:rFonts w:hint="eastAsia" w:ascii="方正小标宋_GBK" w:hAnsi="方正小标宋_GBK" w:eastAsia="方正小标宋_GBK" w:cs="方正小标宋_GBK"/>
          <w:sz w:val="72"/>
          <w:szCs w:val="72"/>
        </w:rPr>
      </w:pPr>
    </w:p>
    <w:p w14:paraId="5B9AC4FA">
      <w:pPr>
        <w:pStyle w:val="12"/>
        <w:jc w:val="center"/>
        <w:rPr>
          <w:rFonts w:hint="eastAsia" w:ascii="方正小标宋_GBK" w:hAnsi="方正小标宋_GBK" w:eastAsia="方正小标宋_GBK" w:cs="方正小标宋_GBK"/>
          <w:sz w:val="72"/>
          <w:szCs w:val="72"/>
        </w:rPr>
      </w:pPr>
    </w:p>
    <w:p w14:paraId="17BD6A6D">
      <w:pPr>
        <w:pStyle w:val="12"/>
        <w:jc w:val="center"/>
        <w:rPr>
          <w:rFonts w:hint="eastAsia" w:ascii="方正小标宋_GBK" w:hAnsi="方正小标宋_GBK" w:eastAsia="方正小标宋_GBK" w:cs="方正小标宋_GBK"/>
          <w:sz w:val="72"/>
          <w:szCs w:val="72"/>
        </w:rPr>
      </w:pPr>
    </w:p>
    <w:p w14:paraId="01E673EF">
      <w:pPr>
        <w:pStyle w:val="12"/>
        <w:jc w:val="center"/>
        <w:rPr>
          <w:rFonts w:hint="eastAsia" w:ascii="方正小标宋_GBK" w:hAnsi="方正小标宋_GBK" w:eastAsia="方正小标宋_GBK" w:cs="方正小标宋_GBK"/>
          <w:sz w:val="72"/>
          <w:szCs w:val="72"/>
        </w:rPr>
      </w:pPr>
    </w:p>
    <w:p w14:paraId="19FE9072">
      <w:pPr>
        <w:pStyle w:val="12"/>
        <w:jc w:val="center"/>
        <w:rPr>
          <w:rFonts w:hint="eastAsia" w:ascii="方正小标宋_GBK" w:hAnsi="方正小标宋_GBK" w:eastAsia="方正小标宋_GBK" w:cs="方正小标宋_GBK"/>
          <w:sz w:val="72"/>
          <w:szCs w:val="72"/>
        </w:rPr>
      </w:pPr>
    </w:p>
    <w:p w14:paraId="69B7BE1D">
      <w:pPr>
        <w:pStyle w:val="12"/>
        <w:jc w:val="center"/>
        <w:rPr>
          <w:rFonts w:hint="eastAsia" w:ascii="方正小标宋_GBK" w:hAnsi="方正小标宋_GBK" w:eastAsia="方正小标宋_GBK" w:cs="方正小标宋_GBK"/>
          <w:sz w:val="72"/>
          <w:szCs w:val="72"/>
        </w:rPr>
      </w:pPr>
    </w:p>
    <w:p w14:paraId="2A574E08">
      <w:pPr>
        <w:pStyle w:val="12"/>
        <w:jc w:val="both"/>
        <w:rPr>
          <w:rFonts w:hint="eastAsia" w:ascii="方正小标宋_GBK" w:hAnsi="方正小标宋_GBK" w:eastAsia="方正小标宋_GBK" w:cs="方正小标宋_GBK"/>
          <w:sz w:val="72"/>
          <w:szCs w:val="72"/>
        </w:rPr>
      </w:pPr>
    </w:p>
    <w:p w14:paraId="3A01B6B0">
      <w:pPr>
        <w:pStyle w:val="12"/>
        <w:jc w:val="center"/>
        <w:rPr>
          <w:rFonts w:hint="eastAsia" w:ascii="方正小标宋_GBK" w:hAnsi="方正小标宋_GBK" w:eastAsia="方正小标宋_GBK" w:cs="方正小标宋_GBK"/>
          <w:sz w:val="72"/>
          <w:szCs w:val="72"/>
        </w:rPr>
      </w:pPr>
    </w:p>
    <w:p w14:paraId="475C1000">
      <w:pPr>
        <w:pStyle w:val="12"/>
        <w:jc w:val="center"/>
        <w:rPr>
          <w:rFonts w:hint="eastAsia" w:ascii="方正小标宋_GBK" w:hAnsi="方正小标宋_GBK" w:eastAsia="方正小标宋_GBK" w:cs="方正小标宋_GBK"/>
          <w:sz w:val="72"/>
          <w:szCs w:val="72"/>
        </w:rPr>
      </w:pPr>
    </w:p>
    <w:p w14:paraId="6A5A782C">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7"/>
      </w:pPr>
    </w:p>
    <w:p w14:paraId="5331F884">
      <w:pPr>
        <w:pStyle w:val="3"/>
      </w:pPr>
    </w:p>
    <w:p w14:paraId="2CCAD852"/>
    <w:p w14:paraId="440E89DF">
      <w:pPr>
        <w:pStyle w:val="7"/>
      </w:pPr>
    </w:p>
    <w:p w14:paraId="645B9B76">
      <w:pPr>
        <w:pStyle w:val="3"/>
      </w:pPr>
    </w:p>
    <w:p w14:paraId="539F25AC"/>
    <w:p w14:paraId="47AFAB8F">
      <w:pPr>
        <w:pStyle w:val="7"/>
      </w:pPr>
    </w:p>
    <w:p w14:paraId="479D6353">
      <w:pPr>
        <w:pStyle w:val="3"/>
      </w:pPr>
    </w:p>
    <w:p w14:paraId="648103ED"/>
    <w:p w14:paraId="08A5EA8F">
      <w:pPr>
        <w:pStyle w:val="7"/>
      </w:pPr>
    </w:p>
    <w:p w14:paraId="3FD0BAB6">
      <w:pPr>
        <w:pStyle w:val="3"/>
      </w:pPr>
    </w:p>
    <w:p w14:paraId="1CAE18D7"/>
    <w:p w14:paraId="5994BDDC">
      <w:pPr>
        <w:pStyle w:val="7"/>
      </w:pPr>
    </w:p>
    <w:p w14:paraId="51F60F8D">
      <w:pPr>
        <w:pStyle w:val="3"/>
      </w:pPr>
    </w:p>
    <w:p w14:paraId="715B8195"/>
    <w:p w14:paraId="793F6BC2">
      <w:pPr>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4AB05D5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bookmarkStart w:id="0" w:name="_GoBack"/>
      <w:bookmarkEnd w:id="0"/>
    </w:p>
    <w:p w14:paraId="2AE81CE8">
      <w:pPr>
        <w:pStyle w:val="12"/>
        <w:jc w:val="center"/>
        <w:rPr>
          <w:rFonts w:hint="eastAsia" w:ascii="仿宋_GB2312" w:hAnsi="仿宋_GB2312" w:eastAsia="仿宋_GB2312" w:cs="仿宋_GB2312"/>
          <w:sz w:val="32"/>
          <w:szCs w:val="32"/>
        </w:rPr>
      </w:pPr>
    </w:p>
    <w:p w14:paraId="1D47518A">
      <w:pPr>
        <w:pStyle w:val="3"/>
      </w:pPr>
    </w:p>
    <w:p w14:paraId="580CF8E4"/>
    <w:p w14:paraId="0C17744C">
      <w:pPr>
        <w:pStyle w:val="7"/>
      </w:pPr>
    </w:p>
    <w:p w14:paraId="7B8BABF4">
      <w:pPr>
        <w:pStyle w:val="3"/>
      </w:pPr>
    </w:p>
    <w:p w14:paraId="1942C0DC"/>
    <w:p w14:paraId="6E2D1EEF">
      <w:pPr>
        <w:pStyle w:val="7"/>
      </w:pPr>
    </w:p>
    <w:p w14:paraId="5F6ABC3B">
      <w:pPr>
        <w:pStyle w:val="3"/>
      </w:pPr>
    </w:p>
    <w:p w14:paraId="51BE6437"/>
    <w:p w14:paraId="05344CBA">
      <w:pPr>
        <w:pStyle w:val="7"/>
      </w:pPr>
    </w:p>
    <w:p w14:paraId="5C9170AD">
      <w:pPr>
        <w:pStyle w:val="3"/>
      </w:pPr>
    </w:p>
    <w:p w14:paraId="29D3A91E"/>
    <w:p w14:paraId="0D2A994E">
      <w:pPr>
        <w:pStyle w:val="7"/>
      </w:pPr>
    </w:p>
    <w:p w14:paraId="59CBCCA7">
      <w:pPr>
        <w:pStyle w:val="3"/>
      </w:pPr>
    </w:p>
    <w:p w14:paraId="67806EBD"/>
    <w:p w14:paraId="7C18BB03">
      <w:pPr>
        <w:pStyle w:val="7"/>
      </w:pPr>
    </w:p>
    <w:p w14:paraId="29230CAD">
      <w:pPr>
        <w:pStyle w:val="3"/>
      </w:pPr>
    </w:p>
    <w:p w14:paraId="724E0A54"/>
    <w:p w14:paraId="496F732E">
      <w:pPr>
        <w:pStyle w:val="7"/>
      </w:pPr>
    </w:p>
    <w:p w14:paraId="354ECFD8">
      <w:pPr>
        <w:pStyle w:val="3"/>
      </w:pPr>
    </w:p>
    <w:p w14:paraId="51C67B38"/>
    <w:p w14:paraId="4D131F3E"/>
    <w:p w14:paraId="7CFBCE3C">
      <w:pPr>
        <w:pStyle w:val="7"/>
      </w:pPr>
    </w:p>
    <w:p w14:paraId="5C3DE094">
      <w:pPr>
        <w:pStyle w:val="12"/>
        <w:jc w:val="both"/>
        <w:rPr>
          <w:rFonts w:hint="eastAsia" w:ascii="方正小标宋_GBK" w:hAnsi="方正小标宋_GBK" w:eastAsia="方正小标宋_GBK" w:cs="方正小标宋_GBK"/>
          <w:sz w:val="72"/>
          <w:szCs w:val="72"/>
        </w:rPr>
      </w:pPr>
    </w:p>
    <w:p w14:paraId="0C1858E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2"/>
        <w:jc w:val="both"/>
        <w:rPr>
          <w:rFonts w:hint="eastAsia" w:ascii="方正小标宋_GBK" w:hAnsi="方正小标宋_GBK" w:eastAsia="方正小标宋_GBK" w:cs="方正小标宋_GBK"/>
          <w:sz w:val="70"/>
          <w:szCs w:val="70"/>
          <w:lang w:eastAsia="zh-CN"/>
        </w:rPr>
      </w:pPr>
    </w:p>
    <w:p w14:paraId="490142D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AC1B29"/>
    <w:rsid w:val="059958AD"/>
    <w:rsid w:val="06A905A2"/>
    <w:rsid w:val="06C857E7"/>
    <w:rsid w:val="06F46B41"/>
    <w:rsid w:val="08C24A73"/>
    <w:rsid w:val="0F753717"/>
    <w:rsid w:val="11944E2C"/>
    <w:rsid w:val="123A6FE6"/>
    <w:rsid w:val="12583BA5"/>
    <w:rsid w:val="13BA5B9C"/>
    <w:rsid w:val="154F67B8"/>
    <w:rsid w:val="1CA218C3"/>
    <w:rsid w:val="1D97DEFF"/>
    <w:rsid w:val="1DFF72E5"/>
    <w:rsid w:val="1EFC6F07"/>
    <w:rsid w:val="1F0527A6"/>
    <w:rsid w:val="22AC03C2"/>
    <w:rsid w:val="283B15FE"/>
    <w:rsid w:val="287E31E4"/>
    <w:rsid w:val="2FDF85B8"/>
    <w:rsid w:val="2FFFEE04"/>
    <w:rsid w:val="31C95635"/>
    <w:rsid w:val="34DF85B0"/>
    <w:rsid w:val="3B8F36BC"/>
    <w:rsid w:val="3D594838"/>
    <w:rsid w:val="3E4B3711"/>
    <w:rsid w:val="43EB5BA5"/>
    <w:rsid w:val="47BA0F5A"/>
    <w:rsid w:val="491FF225"/>
    <w:rsid w:val="4EC310A1"/>
    <w:rsid w:val="4FFD214C"/>
    <w:rsid w:val="5352765A"/>
    <w:rsid w:val="5777D4F5"/>
    <w:rsid w:val="57F22B6F"/>
    <w:rsid w:val="59DD8326"/>
    <w:rsid w:val="5DEF592A"/>
    <w:rsid w:val="5FC6BB1E"/>
    <w:rsid w:val="5FF720F1"/>
    <w:rsid w:val="622964C1"/>
    <w:rsid w:val="67FF5C0B"/>
    <w:rsid w:val="68104F00"/>
    <w:rsid w:val="6BAA4A2F"/>
    <w:rsid w:val="6DDEC5C0"/>
    <w:rsid w:val="6EFC0924"/>
    <w:rsid w:val="6FB74722"/>
    <w:rsid w:val="6FEF8B7E"/>
    <w:rsid w:val="717FE77F"/>
    <w:rsid w:val="71A6591B"/>
    <w:rsid w:val="737D59BA"/>
    <w:rsid w:val="737F32B1"/>
    <w:rsid w:val="73BD3FCA"/>
    <w:rsid w:val="776BDA01"/>
    <w:rsid w:val="77C37683"/>
    <w:rsid w:val="790D4E3B"/>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5149</Words>
  <Characters>5813</Characters>
  <Lines>63</Lines>
  <Paragraphs>18</Paragraphs>
  <TotalTime>0</TotalTime>
  <ScaleCrop>false</ScaleCrop>
  <LinksUpToDate>false</LinksUpToDate>
  <CharactersWithSpaces>5828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严碧琪</cp:lastModifiedBy>
  <cp:lastPrinted>2024-08-11T02:20:00Z</cp:lastPrinted>
  <dcterms:modified xsi:type="dcterms:W3CDTF">2025-09-28T08:41:01Z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DD3F273089E445E3B3DDE0C3593B8954_13</vt:lpwstr>
  </property>
  <property fmtid="{D5CDD505-2E9C-101B-9397-08002B2CF9AE}" pid="4" name="KSOTemplateDocerSaveRecord">
    <vt:lpwstr>eyJoZGlkIjoiNjgxZmIyZGM1NjlmYzFmNTczZGVkNWYyNWIwMGFjMmUiLCJ1c2VySWQiOiIyOTMyNjEyNDMifQ==</vt:lpwstr>
  </property>
</Properties>
</file>