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DCFF1">
      <w:pPr>
        <w:pStyle w:val="12"/>
        <w:jc w:val="center"/>
        <w:rPr>
          <w:sz w:val="56"/>
          <w:szCs w:val="56"/>
        </w:rPr>
      </w:pPr>
    </w:p>
    <w:p w14:paraId="3BDF5AB8">
      <w:pPr>
        <w:pStyle w:val="12"/>
        <w:jc w:val="center"/>
        <w:rPr>
          <w:sz w:val="56"/>
          <w:szCs w:val="56"/>
        </w:rPr>
      </w:pPr>
    </w:p>
    <w:p w14:paraId="60CA4575">
      <w:pPr>
        <w:pStyle w:val="12"/>
        <w:jc w:val="center"/>
        <w:rPr>
          <w:sz w:val="84"/>
          <w:szCs w:val="84"/>
        </w:rPr>
      </w:pPr>
    </w:p>
    <w:p w14:paraId="215EB31D">
      <w:pPr>
        <w:pStyle w:val="12"/>
        <w:jc w:val="center"/>
        <w:rPr>
          <w:sz w:val="84"/>
          <w:szCs w:val="84"/>
        </w:rPr>
      </w:pPr>
    </w:p>
    <w:p w14:paraId="376C8602">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14:paraId="6934EBE9">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岳阳市生态环境局华容分局</w:t>
      </w:r>
      <w:r>
        <w:rPr>
          <w:rFonts w:hint="eastAsia" w:ascii="方正小标宋_GBK" w:hAnsi="方正小标宋_GBK" w:eastAsia="方正小标宋_GBK" w:cs="方正小标宋_GBK"/>
          <w:sz w:val="84"/>
          <w:szCs w:val="84"/>
        </w:rPr>
        <w:t>部门决算</w:t>
      </w:r>
    </w:p>
    <w:p w14:paraId="3A699C16">
      <w:pPr>
        <w:pStyle w:val="12"/>
        <w:jc w:val="center"/>
        <w:rPr>
          <w:rFonts w:hint="eastAsia" w:ascii="方正小标宋_GBK" w:hAnsi="方正小标宋_GBK" w:eastAsia="方正小标宋_GBK" w:cs="方正小标宋_GBK"/>
          <w:sz w:val="56"/>
          <w:szCs w:val="56"/>
        </w:rPr>
      </w:pPr>
    </w:p>
    <w:p w14:paraId="72C8FB58">
      <w:pPr>
        <w:pStyle w:val="12"/>
        <w:jc w:val="center"/>
        <w:rPr>
          <w:sz w:val="56"/>
          <w:szCs w:val="56"/>
        </w:rPr>
      </w:pPr>
    </w:p>
    <w:p w14:paraId="25018D25">
      <w:pPr>
        <w:pStyle w:val="12"/>
        <w:jc w:val="center"/>
        <w:rPr>
          <w:sz w:val="56"/>
          <w:szCs w:val="56"/>
        </w:rPr>
      </w:pPr>
    </w:p>
    <w:p w14:paraId="5EE73A38">
      <w:pPr>
        <w:pStyle w:val="12"/>
        <w:jc w:val="center"/>
        <w:rPr>
          <w:sz w:val="56"/>
          <w:szCs w:val="56"/>
        </w:rPr>
      </w:pPr>
    </w:p>
    <w:p w14:paraId="297571C5">
      <w:pPr>
        <w:pStyle w:val="12"/>
        <w:jc w:val="center"/>
        <w:rPr>
          <w:sz w:val="32"/>
          <w:szCs w:val="32"/>
        </w:rPr>
      </w:pPr>
    </w:p>
    <w:p w14:paraId="08493D1E">
      <w:pPr>
        <w:pStyle w:val="12"/>
        <w:jc w:val="center"/>
        <w:rPr>
          <w:sz w:val="32"/>
          <w:szCs w:val="32"/>
        </w:rPr>
      </w:pPr>
    </w:p>
    <w:p w14:paraId="5BD6E8BD">
      <w:pPr>
        <w:pStyle w:val="12"/>
        <w:jc w:val="center"/>
        <w:rPr>
          <w:sz w:val="32"/>
          <w:szCs w:val="32"/>
        </w:rPr>
      </w:pPr>
    </w:p>
    <w:p w14:paraId="1062A3B4">
      <w:pPr>
        <w:pStyle w:val="12"/>
        <w:jc w:val="center"/>
        <w:rPr>
          <w:sz w:val="32"/>
          <w:szCs w:val="32"/>
        </w:rPr>
      </w:pPr>
    </w:p>
    <w:p w14:paraId="24F3309B">
      <w:pPr>
        <w:pStyle w:val="12"/>
        <w:spacing w:line="500" w:lineRule="exact"/>
        <w:jc w:val="center"/>
        <w:rPr>
          <w:b/>
          <w:sz w:val="36"/>
          <w:szCs w:val="28"/>
        </w:rPr>
      </w:pPr>
      <w:r>
        <w:rPr>
          <w:rFonts w:hint="eastAsia"/>
          <w:b/>
          <w:sz w:val="36"/>
          <w:szCs w:val="28"/>
        </w:rPr>
        <w:t>目录</w:t>
      </w:r>
    </w:p>
    <w:p w14:paraId="6CBD0C22">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岳阳市生态环境局华容分局</w:t>
      </w:r>
      <w:r>
        <w:rPr>
          <w:rFonts w:hint="eastAsia" w:ascii="黑体" w:hAnsi="黑体" w:eastAsia="黑体" w:cs="黑体"/>
          <w:b w:val="0"/>
          <w:bCs/>
          <w:sz w:val="28"/>
          <w:szCs w:val="28"/>
        </w:rPr>
        <w:t>概况</w:t>
      </w:r>
    </w:p>
    <w:p w14:paraId="060CB1D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315E49DA">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CE431DD">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B1DE22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8DAEA9B">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189E141">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621647E">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28E0B171">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A1DA96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2E9A333">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16661B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382758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69B4707F">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0D2819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2F99AFEC">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69796A8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2F5763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551B6B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BC2CE3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1D8554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F6B554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14:paraId="71D9102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371B64F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1624E73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6C86A3E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E15A64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5BD7D26C">
      <w:pPr>
        <w:pStyle w:val="12"/>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14:paraId="51852483">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7D866A9C">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2E7F14A9">
      <w:pPr>
        <w:pStyle w:val="12"/>
        <w:jc w:val="center"/>
        <w:rPr>
          <w:rFonts w:hint="eastAsia" w:ascii="方正小标宋_GBK" w:hAnsi="方正小标宋_GBK" w:eastAsia="方正小标宋_GBK" w:cs="方正小标宋_GBK"/>
          <w:sz w:val="84"/>
          <w:szCs w:val="84"/>
        </w:rPr>
      </w:pPr>
    </w:p>
    <w:p w14:paraId="1095DEAB">
      <w:pPr>
        <w:pStyle w:val="12"/>
        <w:jc w:val="center"/>
        <w:rPr>
          <w:rFonts w:hint="eastAsia" w:ascii="方正小标宋_GBK" w:hAnsi="方正小标宋_GBK" w:eastAsia="方正小标宋_GBK" w:cs="方正小标宋_GBK"/>
          <w:sz w:val="84"/>
          <w:szCs w:val="84"/>
        </w:rPr>
      </w:pPr>
    </w:p>
    <w:p w14:paraId="0DEEC249">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5EF69A9D">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岳阳市生态环境局华容分局</w:t>
      </w:r>
      <w:r>
        <w:rPr>
          <w:rFonts w:hint="eastAsia" w:ascii="方正小标宋_GBK" w:hAnsi="方正小标宋_GBK" w:eastAsia="方正小标宋_GBK" w:cs="方正小标宋_GBK"/>
          <w:sz w:val="84"/>
          <w:szCs w:val="84"/>
        </w:rPr>
        <w:t>概况</w:t>
      </w:r>
    </w:p>
    <w:p w14:paraId="77A0C778">
      <w:pPr>
        <w:pStyle w:val="2"/>
        <w:rPr>
          <w:rFonts w:hint="eastAsia" w:ascii="方正小标宋_GBK" w:hAnsi="方正小标宋_GBK" w:eastAsia="方正小标宋_GBK" w:cs="方正小标宋_GBK"/>
          <w:sz w:val="84"/>
          <w:szCs w:val="84"/>
        </w:rPr>
      </w:pPr>
    </w:p>
    <w:p w14:paraId="397AC3FB">
      <w:pPr>
        <w:pStyle w:val="3"/>
        <w:rPr>
          <w:rFonts w:hint="eastAsia" w:ascii="方正小标宋_GBK" w:hAnsi="方正小标宋_GBK" w:eastAsia="方正小标宋_GBK" w:cs="方正小标宋_GBK"/>
          <w:sz w:val="84"/>
          <w:szCs w:val="84"/>
        </w:rPr>
      </w:pPr>
    </w:p>
    <w:p w14:paraId="13F2C40A">
      <w:pPr>
        <w:rPr>
          <w:rFonts w:hint="eastAsia" w:ascii="方正小标宋_GBK" w:hAnsi="方正小标宋_GBK" w:eastAsia="方正小标宋_GBK" w:cs="方正小标宋_GBK"/>
          <w:sz w:val="84"/>
          <w:szCs w:val="84"/>
        </w:rPr>
      </w:pPr>
    </w:p>
    <w:p w14:paraId="128B0AE2">
      <w:pPr>
        <w:pStyle w:val="2"/>
        <w:rPr>
          <w:rFonts w:hint="eastAsia" w:ascii="方正小标宋_GBK" w:hAnsi="方正小标宋_GBK" w:eastAsia="方正小标宋_GBK" w:cs="方正小标宋_GBK"/>
          <w:sz w:val="84"/>
          <w:szCs w:val="84"/>
        </w:rPr>
      </w:pPr>
    </w:p>
    <w:p w14:paraId="1469560B">
      <w:pPr>
        <w:pStyle w:val="3"/>
        <w:rPr>
          <w:rFonts w:hint="eastAsia" w:ascii="方正小标宋_GBK" w:hAnsi="方正小标宋_GBK" w:eastAsia="方正小标宋_GBK" w:cs="方正小标宋_GBK"/>
          <w:sz w:val="84"/>
          <w:szCs w:val="84"/>
        </w:rPr>
      </w:pPr>
    </w:p>
    <w:p w14:paraId="55E857AF">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30307305">
      <w:pPr>
        <w:ind w:firstLine="640" w:firstLineChars="20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贯彻执行国家、省和市有关生态环境的法律法规和政策，根据职责和授权拟订生态环境保护规范性文件并监督实施。负责生态环境保护方面的制度建设；协调和监督管理辖区内生态环境保护工作；监督管理减排目标的落实；环境污染防治的监督管理；指导协调和监督生态保护修复工作；辐射环境安全的监督管理；生态环境准入的监督管理；生态环境监测工作；承担生态环境保护综合执法工作；组织开展生态环境科技工作；会同有关部门管理生态环境保护有关资金项目；组织开展和指导生态环境宣传教育工作；完成市生态环境局交办的其他任务，协助华容县委、县政府开展生态环境保护工作，指导辖区内乡镇（街道）的生态环境保护工作</w:t>
      </w:r>
      <w:r>
        <w:rPr>
          <w:rFonts w:hint="eastAsia" w:ascii="Times New Roman" w:hAnsi="Times New Roman" w:eastAsia="仿宋_GB2312" w:cs="仿宋_GB2312"/>
          <w:sz w:val="32"/>
          <w:szCs w:val="32"/>
          <w:lang w:eastAsia="zh-CN"/>
        </w:rPr>
        <w:t>。</w:t>
      </w:r>
    </w:p>
    <w:p w14:paraId="2DC82B10">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5B2EEC5A">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val="zh-CN"/>
        </w:rPr>
        <w:t>岳阳市生态环境局华容分局</w:t>
      </w:r>
      <w:r>
        <w:rPr>
          <w:rFonts w:hint="eastAsia" w:ascii="Times New Roman" w:hAnsi="Times New Roman" w:eastAsia="仿宋_GB2312" w:cs="仿宋_GB2312"/>
          <w:bCs/>
          <w:kern w:val="0"/>
          <w:sz w:val="32"/>
          <w:szCs w:val="32"/>
        </w:rPr>
        <w:t>单位内设机构包括：办公室、生态环境监督股、法制宣教股、土壤生态股、水生态环境股、大气环境与应对气候变化股、固体废物股、行政审批</w:t>
      </w:r>
      <w:r>
        <w:rPr>
          <w:rFonts w:hint="eastAsia" w:ascii="Times New Roman" w:hAnsi="Times New Roman" w:eastAsia="仿宋_GB2312" w:cs="仿宋_GB2312"/>
          <w:bCs/>
          <w:kern w:val="0"/>
          <w:sz w:val="32"/>
          <w:szCs w:val="32"/>
          <w:lang w:eastAsia="zh-CN"/>
        </w:rPr>
        <w:t>办</w:t>
      </w:r>
      <w:r>
        <w:rPr>
          <w:rFonts w:hint="eastAsia" w:ascii="Times New Roman" w:hAnsi="Times New Roman" w:eastAsia="仿宋_GB2312" w:cs="仿宋_GB2312"/>
          <w:bCs/>
          <w:kern w:val="0"/>
          <w:sz w:val="32"/>
          <w:szCs w:val="32"/>
        </w:rPr>
        <w:t>、规划与财务股、人事股</w:t>
      </w:r>
      <w:r>
        <w:rPr>
          <w:rFonts w:hint="eastAsia" w:ascii="Times New Roman" w:hAnsi="Times New Roman" w:eastAsia="仿宋_GB2312" w:cs="仿宋_GB2312"/>
          <w:bCs/>
          <w:kern w:val="0"/>
          <w:sz w:val="32"/>
          <w:szCs w:val="32"/>
          <w:lang w:eastAsia="zh-CN"/>
        </w:rPr>
        <w:t>、党建办</w:t>
      </w:r>
      <w:r>
        <w:rPr>
          <w:rFonts w:hint="eastAsia" w:ascii="Times New Roman" w:hAnsi="Times New Roman" w:eastAsia="仿宋_GB2312" w:cs="仿宋_GB2312"/>
          <w:bCs/>
          <w:kern w:val="0"/>
          <w:sz w:val="32"/>
          <w:szCs w:val="32"/>
        </w:rPr>
        <w:t>。下设县生态环境保护综合行政执法大队、岳阳市华容生态环境监测站</w:t>
      </w:r>
      <w:r>
        <w:rPr>
          <w:rFonts w:hint="eastAsia" w:ascii="Times New Roman" w:hAnsi="Times New Roman" w:eastAsia="仿宋_GB2312" w:cs="仿宋_GB2312"/>
          <w:bCs/>
          <w:kern w:val="0"/>
          <w:sz w:val="32"/>
          <w:szCs w:val="32"/>
          <w:lang w:eastAsia="zh-CN"/>
        </w:rPr>
        <w:t>、岳阳市华容生态环境事务中心三</w:t>
      </w:r>
      <w:r>
        <w:rPr>
          <w:rFonts w:hint="eastAsia" w:ascii="Times New Roman" w:hAnsi="Times New Roman" w:eastAsia="仿宋_GB2312" w:cs="仿宋_GB2312"/>
          <w:bCs/>
          <w:kern w:val="0"/>
          <w:sz w:val="32"/>
          <w:szCs w:val="32"/>
        </w:rPr>
        <w:t>个二级机构</w:t>
      </w:r>
      <w:r>
        <w:rPr>
          <w:rFonts w:hint="eastAsia" w:ascii="Times New Roman" w:hAnsi="Times New Roman" w:eastAsia="仿宋_GB2312" w:cs="仿宋_GB2312"/>
          <w:bCs/>
          <w:kern w:val="0"/>
          <w:sz w:val="32"/>
          <w:szCs w:val="32"/>
          <w:lang w:val="en-US" w:eastAsia="zh-CN"/>
        </w:rPr>
        <w:t>（二级机构财务上未独立核算）。</w:t>
      </w:r>
    </w:p>
    <w:p w14:paraId="38F8B787">
      <w:pPr>
        <w:widowControl/>
        <w:spacing w:line="600" w:lineRule="exact"/>
        <w:ind w:firstLine="640" w:firstLineChars="200"/>
        <w:rPr>
          <w:rFonts w:ascii="仿宋_GB2312" w:eastAsia="仿宋_GB2312" w:hAnsiTheme="minorEastAsia"/>
          <w:sz w:val="28"/>
          <w:szCs w:val="32"/>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val="en-US" w:eastAsia="zh-CN"/>
        </w:rPr>
        <w:t>岳阳市生态环境局华容分局</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年部门决算汇总公开单位构成包括：</w:t>
      </w:r>
      <w:r>
        <w:rPr>
          <w:rFonts w:hint="eastAsia" w:ascii="Times New Roman" w:hAnsi="Times New Roman" w:eastAsia="仿宋_GB2312" w:cs="仿宋_GB2312"/>
          <w:bCs/>
          <w:kern w:val="0"/>
          <w:sz w:val="32"/>
          <w:szCs w:val="32"/>
          <w:lang w:eastAsia="zh-CN"/>
        </w:rPr>
        <w:t>本单位无独立核算的下属单位，</w:t>
      </w:r>
      <w:r>
        <w:rPr>
          <w:rFonts w:hint="eastAsia" w:ascii="Times New Roman" w:hAnsi="Times New Roman" w:eastAsia="仿宋_GB2312" w:cs="仿宋_GB2312"/>
          <w:bCs/>
          <w:kern w:val="0"/>
          <w:sz w:val="32"/>
          <w:szCs w:val="32"/>
          <w:lang w:val="en-US" w:eastAsia="zh-CN"/>
        </w:rPr>
        <w:t>2024年度部门决算汇总公开单位仅包括岳阳市生态环境局华容分局本级。</w:t>
      </w:r>
    </w:p>
    <w:p w14:paraId="38152785"/>
    <w:p w14:paraId="3CE56614">
      <w:pPr>
        <w:pStyle w:val="2"/>
      </w:pPr>
    </w:p>
    <w:p w14:paraId="70B4D569">
      <w:pPr>
        <w:pStyle w:val="3"/>
      </w:pPr>
    </w:p>
    <w:p w14:paraId="5B1D6CBC"/>
    <w:p w14:paraId="7D6C31E4">
      <w:pPr>
        <w:pStyle w:val="2"/>
      </w:pPr>
    </w:p>
    <w:p w14:paraId="056E4ECA">
      <w:pPr>
        <w:pStyle w:val="3"/>
      </w:pPr>
    </w:p>
    <w:p w14:paraId="3288C9C5"/>
    <w:p w14:paraId="14507043">
      <w:pPr>
        <w:pStyle w:val="2"/>
      </w:pPr>
    </w:p>
    <w:p w14:paraId="465EA8BD">
      <w:pPr>
        <w:pStyle w:val="3"/>
      </w:pPr>
    </w:p>
    <w:p w14:paraId="1A174866">
      <w:pPr>
        <w:pStyle w:val="12"/>
        <w:jc w:val="center"/>
        <w:rPr>
          <w:rFonts w:hint="eastAsia" w:ascii="方正小标宋_GBK" w:hAnsi="方正小标宋_GBK" w:eastAsia="方正小标宋_GBK" w:cs="方正小标宋_GBK"/>
          <w:sz w:val="84"/>
          <w:szCs w:val="84"/>
        </w:rPr>
      </w:pPr>
    </w:p>
    <w:p w14:paraId="2B49F2B7">
      <w:pPr>
        <w:pStyle w:val="12"/>
        <w:jc w:val="center"/>
        <w:rPr>
          <w:rFonts w:hint="eastAsia" w:ascii="方正小标宋_GBK" w:hAnsi="方正小标宋_GBK" w:eastAsia="方正小标宋_GBK" w:cs="方正小标宋_GBK"/>
          <w:sz w:val="84"/>
          <w:szCs w:val="84"/>
        </w:rPr>
      </w:pPr>
    </w:p>
    <w:p w14:paraId="661BBFC8">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FB02ED5">
      <w:pPr>
        <w:pStyle w:val="12"/>
        <w:jc w:val="center"/>
        <w:rPr>
          <w:rFonts w:hint="eastAsia" w:ascii="方正小标宋_GBK" w:hAnsi="方正小标宋_GBK" w:eastAsia="方正小标宋_GBK" w:cs="方正小标宋_GBK"/>
          <w:sz w:val="84"/>
          <w:szCs w:val="84"/>
        </w:rPr>
      </w:pPr>
    </w:p>
    <w:p w14:paraId="3860F185">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0A5962C">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325AF5B5">
      <w:pPr>
        <w:pStyle w:val="12"/>
        <w:jc w:val="center"/>
        <w:rPr>
          <w:rFonts w:hint="eastAsia" w:ascii="仿宋_GB2312" w:hAnsi="仿宋_GB2312" w:eastAsia="仿宋_GB2312" w:cs="仿宋_GB2312"/>
          <w:b w:val="0"/>
          <w:bCs w:val="0"/>
          <w:sz w:val="72"/>
          <w:szCs w:val="72"/>
          <w:lang w:eastAsia="zh-CN"/>
        </w:rPr>
      </w:pPr>
    </w:p>
    <w:p w14:paraId="0568D1B8">
      <w:pPr>
        <w:pStyle w:val="12"/>
        <w:jc w:val="center"/>
        <w:rPr>
          <w:rFonts w:hint="eastAsia" w:ascii="仿宋_GB2312" w:hAnsi="仿宋_GB2312" w:eastAsia="仿宋_GB2312" w:cs="仿宋_GB2312"/>
          <w:b w:val="0"/>
          <w:bCs w:val="0"/>
          <w:sz w:val="72"/>
          <w:szCs w:val="72"/>
          <w:lang w:eastAsia="zh-CN"/>
        </w:rPr>
      </w:pPr>
    </w:p>
    <w:p w14:paraId="5C65B646">
      <w:pPr>
        <w:pStyle w:val="12"/>
        <w:jc w:val="center"/>
        <w:rPr>
          <w:rFonts w:hint="eastAsia" w:ascii="仿宋_GB2312" w:hAnsi="仿宋_GB2312" w:eastAsia="仿宋_GB2312" w:cs="仿宋_GB2312"/>
          <w:b w:val="0"/>
          <w:bCs w:val="0"/>
          <w:sz w:val="72"/>
          <w:szCs w:val="72"/>
          <w:lang w:eastAsia="zh-CN"/>
        </w:rPr>
      </w:pPr>
    </w:p>
    <w:p w14:paraId="62EA5E89">
      <w:pPr>
        <w:pStyle w:val="12"/>
        <w:jc w:val="center"/>
        <w:rPr>
          <w:rFonts w:hint="eastAsia" w:ascii="仿宋_GB2312" w:hAnsi="仿宋_GB2312" w:eastAsia="仿宋_GB2312" w:cs="仿宋_GB2312"/>
          <w:b w:val="0"/>
          <w:bCs w:val="0"/>
          <w:sz w:val="72"/>
          <w:szCs w:val="72"/>
          <w:lang w:eastAsia="zh-CN"/>
        </w:rPr>
      </w:pPr>
    </w:p>
    <w:p w14:paraId="63BFFD84">
      <w:pPr>
        <w:pStyle w:val="12"/>
        <w:jc w:val="center"/>
        <w:rPr>
          <w:rFonts w:hint="eastAsia" w:ascii="仿宋_GB2312" w:hAnsi="仿宋_GB2312" w:eastAsia="仿宋_GB2312" w:cs="仿宋_GB2312"/>
          <w:b w:val="0"/>
          <w:bCs w:val="0"/>
          <w:sz w:val="72"/>
          <w:szCs w:val="72"/>
          <w:lang w:eastAsia="zh-CN"/>
        </w:rPr>
      </w:pPr>
    </w:p>
    <w:p w14:paraId="4565BABE">
      <w:pPr>
        <w:pStyle w:val="12"/>
        <w:jc w:val="center"/>
        <w:rPr>
          <w:rFonts w:hint="eastAsia" w:ascii="仿宋_GB2312" w:hAnsi="仿宋_GB2312" w:eastAsia="仿宋_GB2312" w:cs="仿宋_GB2312"/>
          <w:b w:val="0"/>
          <w:bCs w:val="0"/>
          <w:sz w:val="72"/>
          <w:szCs w:val="72"/>
          <w:lang w:eastAsia="zh-CN"/>
        </w:rPr>
      </w:pPr>
    </w:p>
    <w:p w14:paraId="6EEAB3EF">
      <w:pPr>
        <w:pStyle w:val="12"/>
        <w:jc w:val="center"/>
        <w:rPr>
          <w:rFonts w:hint="eastAsia" w:ascii="仿宋_GB2312" w:hAnsi="仿宋_GB2312" w:eastAsia="仿宋_GB2312" w:cs="仿宋_GB2312"/>
          <w:b w:val="0"/>
          <w:bCs w:val="0"/>
          <w:sz w:val="72"/>
          <w:szCs w:val="72"/>
          <w:lang w:eastAsia="zh-CN"/>
        </w:rPr>
      </w:pPr>
    </w:p>
    <w:p w14:paraId="603C04A7">
      <w:pPr>
        <w:pStyle w:val="12"/>
        <w:jc w:val="center"/>
        <w:rPr>
          <w:rFonts w:hint="eastAsia" w:ascii="方正小标宋_GBK" w:hAnsi="方正小标宋_GBK" w:eastAsia="方正小标宋_GBK" w:cs="方正小标宋_GBK"/>
          <w:sz w:val="72"/>
          <w:szCs w:val="72"/>
        </w:rPr>
      </w:pPr>
    </w:p>
    <w:p w14:paraId="7A44A82E">
      <w:pPr>
        <w:pStyle w:val="12"/>
        <w:jc w:val="center"/>
        <w:rPr>
          <w:rFonts w:hint="eastAsia" w:ascii="方正小标宋_GBK" w:hAnsi="方正小标宋_GBK" w:eastAsia="方正小标宋_GBK" w:cs="方正小标宋_GBK"/>
          <w:sz w:val="72"/>
          <w:szCs w:val="72"/>
        </w:rPr>
      </w:pPr>
    </w:p>
    <w:p w14:paraId="06211665">
      <w:pPr>
        <w:pStyle w:val="12"/>
        <w:jc w:val="both"/>
        <w:rPr>
          <w:rFonts w:hint="eastAsia" w:ascii="方正小标宋_GBK" w:hAnsi="方正小标宋_GBK" w:eastAsia="方正小标宋_GBK" w:cs="方正小标宋_GBK"/>
          <w:sz w:val="72"/>
          <w:szCs w:val="72"/>
        </w:rPr>
      </w:pPr>
    </w:p>
    <w:p w14:paraId="7804FBAA">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D53C949">
      <w:pPr>
        <w:pStyle w:val="12"/>
        <w:jc w:val="center"/>
        <w:rPr>
          <w:rFonts w:hint="eastAsia" w:ascii="方正小标宋_GBK" w:hAnsi="方正小标宋_GBK" w:eastAsia="方正小标宋_GBK" w:cs="方正小标宋_GBK"/>
          <w:sz w:val="70"/>
          <w:szCs w:val="70"/>
        </w:rPr>
      </w:pPr>
    </w:p>
    <w:p w14:paraId="4F77A5A6">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14:paraId="17862F93">
      <w:pPr>
        <w:pStyle w:val="12"/>
        <w:jc w:val="center"/>
        <w:rPr>
          <w:rFonts w:hint="eastAsia" w:ascii="方正小标宋_GBK" w:hAnsi="方正小标宋_GBK" w:eastAsia="方正小标宋_GBK" w:cs="方正小标宋_GBK"/>
          <w:sz w:val="70"/>
          <w:szCs w:val="70"/>
        </w:rPr>
      </w:pPr>
    </w:p>
    <w:p w14:paraId="6EEC30AB">
      <w:pPr>
        <w:pStyle w:val="12"/>
        <w:jc w:val="center"/>
        <w:rPr>
          <w:rFonts w:hint="eastAsia" w:ascii="方正小标宋_GBK" w:hAnsi="方正小标宋_GBK" w:eastAsia="方正小标宋_GBK" w:cs="方正小标宋_GBK"/>
          <w:sz w:val="70"/>
          <w:szCs w:val="70"/>
        </w:rPr>
      </w:pPr>
    </w:p>
    <w:p w14:paraId="417367C1">
      <w:pPr>
        <w:pStyle w:val="12"/>
        <w:jc w:val="center"/>
        <w:rPr>
          <w:rFonts w:hint="eastAsia" w:ascii="方正小标宋_GBK" w:hAnsi="方正小标宋_GBK" w:eastAsia="方正小标宋_GBK" w:cs="方正小标宋_GBK"/>
          <w:sz w:val="70"/>
          <w:szCs w:val="70"/>
        </w:rPr>
      </w:pPr>
    </w:p>
    <w:p w14:paraId="5EF1049C">
      <w:pPr>
        <w:pStyle w:val="12"/>
        <w:jc w:val="center"/>
        <w:rPr>
          <w:rFonts w:hint="eastAsia" w:ascii="方正小标宋_GBK" w:hAnsi="方正小标宋_GBK" w:eastAsia="方正小标宋_GBK" w:cs="方正小标宋_GBK"/>
          <w:sz w:val="70"/>
          <w:szCs w:val="70"/>
        </w:rPr>
      </w:pPr>
    </w:p>
    <w:p w14:paraId="7E4B3CF9">
      <w:pPr>
        <w:pStyle w:val="12"/>
        <w:jc w:val="center"/>
        <w:rPr>
          <w:rFonts w:hint="eastAsia" w:ascii="方正小标宋_GBK" w:hAnsi="方正小标宋_GBK" w:eastAsia="方正小标宋_GBK" w:cs="方正小标宋_GBK"/>
          <w:sz w:val="70"/>
          <w:szCs w:val="70"/>
        </w:rPr>
      </w:pPr>
    </w:p>
    <w:p w14:paraId="514C0722">
      <w:pPr>
        <w:pStyle w:val="12"/>
        <w:jc w:val="center"/>
        <w:rPr>
          <w:rFonts w:hint="eastAsia" w:ascii="方正小标宋_GBK" w:hAnsi="方正小标宋_GBK" w:eastAsia="方正小标宋_GBK" w:cs="方正小标宋_GBK"/>
          <w:sz w:val="70"/>
          <w:szCs w:val="70"/>
        </w:rPr>
      </w:pPr>
    </w:p>
    <w:p w14:paraId="111D7AB8">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2411C08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0E0052D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i/>
          <w:iCs/>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6025.22</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696.8</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13.07</w:t>
      </w:r>
      <w:r>
        <w:rPr>
          <w:rFonts w:hint="eastAsia" w:ascii="仿宋_GB2312" w:hAnsi="仿宋_GB2312" w:eastAsia="仿宋_GB2312" w:cs="仿宋_GB2312"/>
          <w:sz w:val="32"/>
          <w:szCs w:val="32"/>
        </w:rPr>
        <w:t>%，主要是因为</w:t>
      </w:r>
      <w:r>
        <w:rPr>
          <w:rFonts w:hint="eastAsia" w:ascii="Times New Roman" w:hAnsi="Times New Roman" w:eastAsia="仿宋_GB2312"/>
          <w:sz w:val="32"/>
          <w:szCs w:val="32"/>
          <w:lang w:eastAsia="zh-CN"/>
        </w:rPr>
        <w:t>华容县财政项目支出</w:t>
      </w:r>
      <w:r>
        <w:rPr>
          <w:rFonts w:hint="eastAsia" w:ascii="Times New Roman" w:hAnsi="Times New Roman" w:eastAsia="仿宋_GB2312"/>
          <w:sz w:val="32"/>
          <w:szCs w:val="32"/>
          <w:lang w:val="en-US" w:eastAsia="zh-CN"/>
        </w:rPr>
        <w:t>增加。</w:t>
      </w:r>
    </w:p>
    <w:p w14:paraId="07DA9E3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3128467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6025.22</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1795.58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29.8</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4229.64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70.2</w:t>
      </w:r>
      <w:r>
        <w:rPr>
          <w:rFonts w:hint="eastAsia" w:ascii="仿宋_GB2312" w:hAnsi="仿宋_GB2312" w:eastAsia="仿宋_GB2312" w:cs="仿宋_GB2312"/>
          <w:sz w:val="32"/>
          <w:szCs w:val="32"/>
        </w:rPr>
        <w:t>%。</w:t>
      </w:r>
    </w:p>
    <w:p w14:paraId="2D1A2B4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306115A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6025.22</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1027.75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17.06</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4997.47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82.94</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6985752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4ED35F49">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1795.58</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5.52</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%，主要是因为</w:t>
      </w:r>
      <w:r>
        <w:rPr>
          <w:rFonts w:hint="eastAsia" w:ascii="Times New Roman" w:hAnsi="Times New Roman" w:eastAsia="仿宋_GB2312"/>
          <w:sz w:val="32"/>
          <w:szCs w:val="32"/>
          <w:lang w:val="zh-CN"/>
        </w:rPr>
        <w:t>工作任务增加导致的项目支出增加。</w:t>
      </w:r>
    </w:p>
    <w:p w14:paraId="4BB30A6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023283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36F15B1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i/>
          <w:iCs/>
          <w:color w:val="FF0000"/>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1795.58</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29.8</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5.52</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%，主要是因为</w:t>
      </w:r>
      <w:r>
        <w:rPr>
          <w:rFonts w:hint="eastAsia" w:ascii="Times New Roman" w:hAnsi="Times New Roman" w:eastAsia="仿宋_GB2312"/>
          <w:sz w:val="32"/>
          <w:szCs w:val="32"/>
          <w:lang w:val="zh-CN"/>
        </w:rPr>
        <w:t>工作任务增加导致的项目支出增加。</w:t>
      </w:r>
    </w:p>
    <w:p w14:paraId="66C54C8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100B560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1795.58</w:t>
      </w:r>
      <w:r>
        <w:rPr>
          <w:rFonts w:hint="eastAsia" w:ascii="仿宋_GB2312" w:hAnsi="仿宋_GB2312" w:eastAsia="仿宋_GB2312" w:cs="仿宋_GB2312"/>
          <w:sz w:val="32"/>
          <w:szCs w:val="32"/>
        </w:rPr>
        <w:t>万元，主要用于以下方面：社会保障和就业支出（类）支出</w:t>
      </w:r>
      <w:r>
        <w:rPr>
          <w:rFonts w:hint="eastAsia" w:ascii="仿宋_GB2312" w:hAnsi="仿宋_GB2312" w:eastAsia="仿宋_GB2312" w:cs="仿宋_GB2312"/>
          <w:sz w:val="32"/>
          <w:szCs w:val="32"/>
          <w:lang w:val="en-US" w:eastAsia="zh-CN"/>
        </w:rPr>
        <w:t>75.42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4.2</w:t>
      </w:r>
      <w:r>
        <w:rPr>
          <w:rFonts w:hint="eastAsia" w:ascii="仿宋_GB2312" w:hAnsi="仿宋_GB2312" w:eastAsia="仿宋_GB2312" w:cs="仿宋_GB2312"/>
          <w:sz w:val="32"/>
          <w:szCs w:val="32"/>
        </w:rPr>
        <w:t>%；卫生健康支出（类）支出</w:t>
      </w:r>
      <w:r>
        <w:rPr>
          <w:rFonts w:hint="eastAsia" w:ascii="仿宋_GB2312" w:hAnsi="仿宋_GB2312" w:eastAsia="仿宋_GB2312" w:cs="仿宋_GB2312"/>
          <w:sz w:val="32"/>
          <w:szCs w:val="32"/>
          <w:lang w:val="en-US" w:eastAsia="zh-CN"/>
        </w:rPr>
        <w:t>50.19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节能环保支出（类）支出</w:t>
      </w:r>
      <w:r>
        <w:rPr>
          <w:rFonts w:hint="eastAsia" w:ascii="仿宋_GB2312" w:hAnsi="仿宋_GB2312" w:eastAsia="仿宋_GB2312" w:cs="仿宋_GB2312"/>
          <w:sz w:val="32"/>
          <w:szCs w:val="32"/>
          <w:lang w:val="en-US" w:eastAsia="zh-CN"/>
        </w:rPr>
        <w:t>1616.11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住房保障支出（类）支出</w:t>
      </w:r>
      <w:r>
        <w:rPr>
          <w:rFonts w:hint="eastAsia" w:ascii="仿宋_GB2312" w:hAnsi="仿宋_GB2312" w:eastAsia="仿宋_GB2312" w:cs="仿宋_GB2312"/>
          <w:sz w:val="32"/>
          <w:szCs w:val="32"/>
          <w:lang w:val="en-US" w:eastAsia="zh-CN"/>
        </w:rPr>
        <w:t>53.85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5CDBADF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B07DAE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1693.61</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1795.58</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106</w:t>
      </w:r>
      <w:r>
        <w:rPr>
          <w:rFonts w:hint="eastAsia" w:ascii="仿宋_GB2312" w:hAnsi="仿宋_GB2312" w:eastAsia="仿宋_GB2312" w:cs="仿宋_GB2312"/>
          <w:sz w:val="32"/>
          <w:szCs w:val="32"/>
        </w:rPr>
        <w:t>%，其中：</w:t>
      </w:r>
    </w:p>
    <w:p w14:paraId="237A4D6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1、社会保障和就业支出（类）行政事业单位养老支出（款）机关事业单位基本养老保险缴费支出（项）。</w:t>
      </w:r>
    </w:p>
    <w:p w14:paraId="7523608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78.18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75.42</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96.47</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人员退休及人员异动导致经费支出减少。</w:t>
      </w:r>
    </w:p>
    <w:p w14:paraId="3443D2A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2、社会保障和就业支出（类）残疾人事业（款）其他残疾人事业支出（项）。</w:t>
      </w:r>
    </w:p>
    <w:p w14:paraId="6D40D85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6.3</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val="en-US" w:eastAsia="zh-CN"/>
        </w:rPr>
        <w:t>此项为预算自动生成项，本单位实际无此项支出。</w:t>
      </w:r>
    </w:p>
    <w:p w14:paraId="359D9EB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、卫生健康支出（类）行政事业单位医疗（款）行政单位医疗（项）。</w:t>
      </w:r>
    </w:p>
    <w:p w14:paraId="333A684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50.44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50.19</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99.5</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人员退休及人员异动导致支出减少。</w:t>
      </w:r>
    </w:p>
    <w:p w14:paraId="70843D0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、卫生健康支出（类）行政事业单位医疗（款）公务员医疗补助（项）。</w:t>
      </w:r>
    </w:p>
    <w:p w14:paraId="6F91C3D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9.31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%，决算数小于年初预算数的主要原因是：</w:t>
      </w:r>
      <w:r>
        <w:rPr>
          <w:rFonts w:hint="eastAsia" w:ascii="Times New Roman" w:hAnsi="Times New Roman" w:eastAsia="仿宋_GB2312"/>
          <w:sz w:val="32"/>
          <w:szCs w:val="32"/>
          <w:lang w:val="en-US" w:eastAsia="zh-CN"/>
        </w:rPr>
        <w:t>此项为财政代扣项，未拨付至单位进行支出。</w:t>
      </w:r>
    </w:p>
    <w:p w14:paraId="4AC58B6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、节能环保支出（类）环境保护管理事务（款）行政运行（项）。</w:t>
      </w:r>
    </w:p>
    <w:p w14:paraId="078BAA8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301.96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306.77</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101.59</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eastAsia="zh-CN"/>
        </w:rPr>
        <w:t>人员异动导致支出</w:t>
      </w:r>
      <w:r>
        <w:rPr>
          <w:rFonts w:hint="eastAsia" w:ascii="仿宋_GB2312" w:hAnsi="仿宋_GB2312" w:eastAsia="仿宋_GB2312" w:cs="仿宋_GB2312"/>
          <w:sz w:val="32"/>
          <w:szCs w:val="32"/>
          <w:lang w:val="en-US" w:eastAsia="zh-CN"/>
        </w:rPr>
        <w:t>增加</w:t>
      </w:r>
      <w:r>
        <w:rPr>
          <w:rFonts w:hint="eastAsia" w:ascii="仿宋_GB2312" w:hAnsi="仿宋_GB2312" w:eastAsia="仿宋_GB2312" w:cs="仿宋_GB2312"/>
          <w:sz w:val="32"/>
          <w:szCs w:val="32"/>
          <w:lang w:val="zh-CN"/>
        </w:rPr>
        <w:t>。</w:t>
      </w:r>
    </w:p>
    <w:p w14:paraId="583D40C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、节能环保支出（类）环境保护管理事务（款）一般行政管理事务（项）。</w:t>
      </w:r>
    </w:p>
    <w:p w14:paraId="43D6CC0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1190.97</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1042.37</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87.52</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人员退休及人员异动导致经费支出减少。</w:t>
      </w:r>
    </w:p>
    <w:p w14:paraId="2B34CA9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、节能环保支出（类）环境保护管理事务（款）其他环境保护管理事务支出（项）。</w:t>
      </w:r>
    </w:p>
    <w:p w14:paraId="7C35B87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106.14</w:t>
      </w:r>
      <w:r>
        <w:rPr>
          <w:rFonts w:hint="eastAsia" w:ascii="仿宋_GB2312" w:hAnsi="仿宋_GB2312" w:eastAsia="仿宋_GB2312" w:cs="仿宋_GB2312"/>
          <w:sz w:val="32"/>
          <w:szCs w:val="32"/>
        </w:rPr>
        <w:t>万元，决算数大于年初预算数的主要原因是：</w:t>
      </w:r>
      <w:r>
        <w:rPr>
          <w:rFonts w:hint="eastAsia" w:ascii="Times New Roman" w:hAnsi="Times New Roman" w:eastAsia="仿宋_GB2312"/>
          <w:sz w:val="32"/>
          <w:szCs w:val="32"/>
          <w:lang w:eastAsia="zh-CN"/>
        </w:rPr>
        <w:t>新增上年专项安排及结转资金的支出</w:t>
      </w:r>
      <w:r>
        <w:rPr>
          <w:rFonts w:hint="eastAsia" w:ascii="仿宋_GB2312" w:hAnsi="仿宋_GB2312" w:eastAsia="仿宋_GB2312" w:cs="仿宋_GB2312"/>
          <w:sz w:val="32"/>
          <w:szCs w:val="32"/>
          <w:highlight w:val="none"/>
          <w:lang w:val="en-US" w:eastAsia="zh-CN"/>
        </w:rPr>
        <w:t>。</w:t>
      </w:r>
    </w:p>
    <w:p w14:paraId="2F0ACD5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、节能环保支出（类）环境监测与监察（款）其他环境监测与监察支出（项）。</w:t>
      </w:r>
    </w:p>
    <w:p w14:paraId="5669098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33</w:t>
      </w:r>
      <w:r>
        <w:rPr>
          <w:rFonts w:hint="eastAsia" w:ascii="仿宋_GB2312" w:hAnsi="仿宋_GB2312" w:eastAsia="仿宋_GB2312" w:cs="仿宋_GB2312"/>
          <w:sz w:val="32"/>
          <w:szCs w:val="32"/>
        </w:rPr>
        <w:t>万元，决算数大于年初预算数的主要原因是：</w:t>
      </w:r>
      <w:r>
        <w:rPr>
          <w:rFonts w:hint="eastAsia" w:ascii="Times New Roman" w:hAnsi="Times New Roman" w:eastAsia="仿宋_GB2312"/>
          <w:sz w:val="32"/>
          <w:szCs w:val="32"/>
          <w:lang w:eastAsia="zh-CN"/>
        </w:rPr>
        <w:t>新增上年专项安排及结转资金的支出。</w:t>
      </w:r>
    </w:p>
    <w:p w14:paraId="5650A7D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、节能环保支出（类）污染防治（款）其他污染防治支出（项）。</w:t>
      </w:r>
    </w:p>
    <w:p w14:paraId="4712D5F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44.12</w:t>
      </w:r>
      <w:r>
        <w:rPr>
          <w:rFonts w:hint="eastAsia" w:ascii="仿宋_GB2312" w:hAnsi="仿宋_GB2312" w:eastAsia="仿宋_GB2312" w:cs="仿宋_GB2312"/>
          <w:sz w:val="32"/>
          <w:szCs w:val="32"/>
        </w:rPr>
        <w:t>万元，决算数大于年初预算数的主要原因是：</w:t>
      </w:r>
      <w:r>
        <w:rPr>
          <w:rFonts w:hint="eastAsia" w:ascii="Times New Roman" w:hAnsi="Times New Roman" w:eastAsia="仿宋_GB2312"/>
          <w:sz w:val="32"/>
          <w:szCs w:val="32"/>
          <w:lang w:eastAsia="zh-CN"/>
        </w:rPr>
        <w:t>新增上年专项安排及结转资金的支出。</w:t>
      </w:r>
    </w:p>
    <w:p w14:paraId="7061FA7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、节能环保支出（类）污染减排（款）生态环境执法监察（项）。</w:t>
      </w:r>
    </w:p>
    <w:p w14:paraId="19583B2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highlight w:val="none"/>
          <w:lang w:val="en-US" w:eastAsia="zh-CN"/>
        </w:rPr>
        <w:t>新增项目支出</w:t>
      </w:r>
    </w:p>
    <w:p w14:paraId="7642291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、节能环保支出（类）其他节能环保支出（款）其他节能环保支出（项）。</w:t>
      </w:r>
    </w:p>
    <w:p w14:paraId="167CBA7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77.71</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val="en-US" w:eastAsia="zh-CN"/>
        </w:rPr>
        <w:t>新增人员及项目支出。</w:t>
      </w:r>
    </w:p>
    <w:p w14:paraId="3E9B108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、住房保障支出（类）住房改革支出（款）住房公积金（项）。</w:t>
      </w:r>
    </w:p>
    <w:p w14:paraId="7E230B7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56.45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53.85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95.39</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人员退休及人员异动导致支出减少。</w:t>
      </w:r>
    </w:p>
    <w:p w14:paraId="373E8BA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293AEB6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w:t>
      </w:r>
      <w:r>
        <w:rPr>
          <w:rFonts w:hint="eastAsia" w:ascii="仿宋_GB2312" w:hAnsi="仿宋_GB2312" w:eastAsia="仿宋_GB2312" w:cs="仿宋_GB2312"/>
          <w:sz w:val="32"/>
          <w:szCs w:val="32"/>
          <w:lang w:val="en-US" w:eastAsia="zh-CN"/>
        </w:rPr>
        <w:t>991.43</w:t>
      </w:r>
      <w:r>
        <w:rPr>
          <w:rFonts w:hint="eastAsia" w:ascii="仿宋_GB2312" w:hAnsi="仿宋_GB2312" w:eastAsia="仿宋_GB2312" w:cs="仿宋_GB2312"/>
          <w:sz w:val="32"/>
          <w:szCs w:val="32"/>
        </w:rPr>
        <w:t>万元，其中：</w:t>
      </w:r>
    </w:p>
    <w:p w14:paraId="6E76165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lang w:val="en-US" w:eastAsia="zh-CN"/>
        </w:rPr>
        <w:t>890.19</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89.79</w:t>
      </w:r>
      <w:r>
        <w:rPr>
          <w:rFonts w:hint="eastAsia" w:ascii="仿宋_GB2312" w:hAnsi="仿宋_GB2312" w:eastAsia="仿宋_GB2312" w:cs="仿宋_GB2312"/>
          <w:sz w:val="32"/>
          <w:szCs w:val="32"/>
        </w:rPr>
        <w:t>%,主要包括基本工资、津贴补贴、奖金、伙食补助费</w:t>
      </w:r>
      <w:r>
        <w:rPr>
          <w:rFonts w:hint="eastAsia" w:ascii="仿宋_GB2312" w:hAnsi="仿宋_GB2312" w:eastAsia="仿宋_GB2312" w:cs="仿宋_GB2312"/>
          <w:sz w:val="32"/>
          <w:szCs w:val="32"/>
          <w:lang w:eastAsia="zh-CN"/>
        </w:rPr>
        <w:t>、绩效工资、机关事业单位基本养老保险缴费、职业年金缴费、职工基本医疗保险缴费、其他社会保障缴费、住房公积金、医疗费、其他工资福利支出、退休费、医疗费补助、奖励金、其他对个人和家庭的补助。</w:t>
      </w:r>
    </w:p>
    <w:p w14:paraId="4A7CE8E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101.24</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10.21</w:t>
      </w:r>
      <w:r>
        <w:rPr>
          <w:rFonts w:hint="eastAsia" w:ascii="仿宋_GB2312" w:hAnsi="仿宋_GB2312" w:eastAsia="仿宋_GB2312" w:cs="仿宋_GB2312"/>
          <w:sz w:val="32"/>
          <w:szCs w:val="32"/>
        </w:rPr>
        <w:t>%，主要包括办公费、水费、电费、邮电费</w:t>
      </w:r>
      <w:r>
        <w:rPr>
          <w:rFonts w:hint="eastAsia" w:ascii="仿宋_GB2312" w:hAnsi="仿宋_GB2312" w:eastAsia="仿宋_GB2312" w:cs="仿宋_GB2312"/>
          <w:sz w:val="32"/>
          <w:szCs w:val="32"/>
          <w:lang w:eastAsia="zh-CN"/>
        </w:rPr>
        <w:t>、差旅费、维修（护）费、培训费、公务接待费、工会经费、福利费、公务用车运行维护费、其他交通费用、其他商品和服务支出</w:t>
      </w:r>
      <w:r>
        <w:rPr>
          <w:rFonts w:hint="eastAsia" w:ascii="仿宋_GB2312" w:hAnsi="仿宋_GB2312" w:eastAsia="仿宋_GB2312" w:cs="仿宋_GB2312"/>
          <w:sz w:val="32"/>
          <w:szCs w:val="32"/>
        </w:rPr>
        <w:t>。</w:t>
      </w:r>
    </w:p>
    <w:p w14:paraId="238B276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12592558">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Times New Roman" w:hAnsi="Times New Roman" w:eastAsia="仿宋_GB2312"/>
          <w:sz w:val="32"/>
          <w:szCs w:val="32"/>
          <w:lang w:val="en-US" w:eastAsia="zh-CN"/>
        </w:rPr>
        <w:t xml:space="preserve"> 2024年度政府性基金预算财政拨款收入0万元；年初结转和结余0万元；支出0万元，其中基本支出0万元，项目支出0万元；年末结转和结余0万元。</w:t>
      </w:r>
    </w:p>
    <w:p w14:paraId="28BDC77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64D19482">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highlight w:val="none"/>
          <w:lang w:val="en-US" w:eastAsia="zh-CN" w:bidi="ar-SA"/>
        </w:rPr>
        <w:t>2024年度国有资本经营预算财政拨款收入0万元；年初结转和结余0万；支出0万元，其中：基本支出0万元，项目支出0万元；年末结转和结余0万元。</w:t>
      </w:r>
    </w:p>
    <w:p w14:paraId="5876C25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6298EF1D">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14:paraId="730E9443">
      <w:pPr>
        <w:pStyle w:val="12"/>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7</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5.04</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72</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0.35</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6.5</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sz w:val="32"/>
          <w:szCs w:val="32"/>
          <w:lang w:val="en-US"/>
        </w:rPr>
        <w:t>认真贯彻落实中央“八项规定”精神和厉行节约要求，从严控制“三公”经费开支</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sz w:val="32"/>
          <w:szCs w:val="32"/>
          <w:lang w:val="en-US"/>
        </w:rPr>
        <w:t>认真贯彻落实中央“八项规定”精神和厉行节约要求，从严控制“三公”经费开支</w:t>
      </w:r>
      <w:r>
        <w:rPr>
          <w:rFonts w:ascii="Times New Roman" w:hAnsi="Times New Roman" w:eastAsia="仿宋_GB2312" w:cs="Times New Roman"/>
          <w:sz w:val="32"/>
          <w:szCs w:val="32"/>
        </w:rPr>
        <w:t>。</w:t>
      </w:r>
    </w:p>
    <w:p w14:paraId="352D03A7">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14:paraId="1CF083E8">
      <w:pPr>
        <w:pStyle w:val="12"/>
        <w:overflowPunct w:val="0"/>
        <w:autoSpaceDE/>
        <w:autoSpaceDN/>
        <w:spacing w:line="600" w:lineRule="exact"/>
        <w:ind w:firstLine="640" w:firstLineChars="200"/>
        <w:jc w:val="both"/>
        <w:rPr>
          <w:rFonts w:hint="eastAsia" w:ascii="Times New Roman" w:hAnsi="Times New Roman" w:eastAsia="仿宋_GB2312" w:cs="Times New Roman"/>
          <w:b/>
          <w:bCs/>
          <w:i/>
          <w:color w:val="auto"/>
          <w:sz w:val="32"/>
          <w:szCs w:val="32"/>
          <w:lang w:eastAsia="zh-CN"/>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决算数等于预算数</w:t>
      </w:r>
      <w:r>
        <w:rPr>
          <w:rFonts w:hint="eastAsia" w:ascii="Times New Roman" w:hAnsi="Times New Roman" w:eastAsia="仿宋_GB2312" w:cs="Times New Roman"/>
          <w:sz w:val="32"/>
          <w:szCs w:val="32"/>
          <w:lang w:val="en-US" w:eastAsia="zh-CN"/>
        </w:rPr>
        <w:t>，主要原因是我单位严格按预算执行决算</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与上年一致，无增减变动，主要原因是未安排因公出国（境）活动。</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14:paraId="65978CAB">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2.06</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68.67</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0.28</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15.73</w:t>
      </w:r>
      <w:r>
        <w:rPr>
          <w:rFonts w:ascii="Times New Roman" w:hAnsi="Times New Roman" w:eastAsia="仿宋_GB2312" w:cs="Times New Roman"/>
          <w:sz w:val="32"/>
          <w:szCs w:val="32"/>
        </w:rPr>
        <w:t>%。其中：</w:t>
      </w:r>
    </w:p>
    <w:p w14:paraId="07AF86AC">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color w:val="000000" w:themeColor="text1"/>
          <w:sz w:val="32"/>
          <w:szCs w:val="32"/>
          <w14:textFill>
            <w14:solidFill>
              <w14:schemeClr w14:val="tx1"/>
            </w14:solidFill>
          </w14:textFill>
        </w:rPr>
        <w:t>公务用车购置费支出预算为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w:t>
      </w:r>
      <w:r>
        <w:rPr>
          <w:rFonts w:ascii="Times New Roman" w:hAnsi="Times New Roman" w:eastAsia="仿宋_GB2312" w:cs="Times New Roman"/>
          <w:color w:val="000000" w:themeColor="text1"/>
          <w:sz w:val="32"/>
          <w:szCs w:val="32"/>
          <w14:textFill>
            <w14:solidFill>
              <w14:schemeClr w14:val="tx1"/>
            </w14:solidFill>
          </w14:textFill>
        </w:rPr>
        <w:t>万元，支出决算为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w:t>
      </w:r>
      <w:r>
        <w:rPr>
          <w:rFonts w:ascii="Times New Roman" w:hAnsi="Times New Roman" w:eastAsia="仿宋_GB2312" w:cs="Times New Roman"/>
          <w:color w:val="000000" w:themeColor="text1"/>
          <w:sz w:val="32"/>
          <w:szCs w:val="32"/>
          <w14:textFill>
            <w14:solidFill>
              <w14:schemeClr w14:val="tx1"/>
            </w14:solidFill>
          </w14:textFill>
        </w:rPr>
        <w:t>万元，</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决算数等于预算数，主要原因是我单位严格按预算执行决算</w:t>
      </w:r>
      <w:r>
        <w:rPr>
          <w:rFonts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与上年一致，无增减变动，主要原因是两年均未购置公务用车。本单位</w:t>
      </w:r>
      <w:r>
        <w:rPr>
          <w:rFonts w:ascii="Times New Roman" w:hAnsi="Times New Roman" w:eastAsia="仿宋_GB2312" w:cs="Times New Roman"/>
          <w:color w:val="000000" w:themeColor="text1"/>
          <w:sz w:val="32"/>
          <w:szCs w:val="32"/>
          <w14:textFill>
            <w14:solidFill>
              <w14:schemeClr w14:val="tx1"/>
            </w14:solidFill>
          </w14:textFill>
        </w:rPr>
        <w:t>更新公务用车</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w:t>
      </w:r>
      <w:r>
        <w:rPr>
          <w:rFonts w:ascii="Times New Roman" w:hAnsi="Times New Roman" w:eastAsia="仿宋_GB2312" w:cs="Times New Roman"/>
          <w:color w:val="000000" w:themeColor="text1"/>
          <w:sz w:val="32"/>
          <w:szCs w:val="32"/>
          <w14:textFill>
            <w14:solidFill>
              <w14:schemeClr w14:val="tx1"/>
            </w14:solidFill>
          </w14:textFill>
        </w:rPr>
        <w:t>辆。</w:t>
      </w:r>
    </w:p>
    <w:p w14:paraId="1D422951">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2.06</w:t>
      </w:r>
      <w:r>
        <w:rPr>
          <w:rFonts w:ascii="Times New Roman" w:hAnsi="Times New Roman" w:eastAsia="仿宋_GB2312" w:cs="Times New Roman"/>
          <w:sz w:val="32"/>
          <w:szCs w:val="32"/>
        </w:rPr>
        <w:t>万元，</w:t>
      </w:r>
    </w:p>
    <w:p w14:paraId="75A272CE">
      <w:pPr>
        <w:pStyle w:val="12"/>
        <w:overflowPunct w:val="0"/>
        <w:autoSpaceDE/>
        <w:autoSpaceDN/>
        <w:spacing w:line="600" w:lineRule="exact"/>
        <w:ind w:firstLine="640" w:firstLineChars="200"/>
        <w:jc w:val="both"/>
        <w:rPr>
          <w:rFonts w:ascii="Times New Roman" w:hAnsi="Times New Roman" w:eastAsia="楷体" w:cs="Times New Roman"/>
          <w:b/>
          <w:bCs/>
          <w:i/>
          <w:color w:val="FF0000"/>
          <w:sz w:val="32"/>
          <w:szCs w:val="32"/>
        </w:rPr>
      </w:pPr>
      <w:r>
        <w:rPr>
          <w:rFonts w:ascii="Times New Roman" w:hAnsi="Times New Roman" w:eastAsia="仿宋_GB2312" w:cs="Times New Roman"/>
          <w:sz w:val="32"/>
          <w:szCs w:val="32"/>
        </w:rPr>
        <w:t>主要是</w:t>
      </w:r>
      <w:r>
        <w:rPr>
          <w:rFonts w:hint="eastAsia" w:ascii="Times New Roman" w:hAnsi="Times New Roman" w:eastAsia="仿宋_GB2312"/>
          <w:sz w:val="32"/>
          <w:szCs w:val="32"/>
          <w:lang w:val="zh-CN"/>
        </w:rPr>
        <w:t>按规定保留的公务用车的燃料费、维修费、保险费、年检费等</w:t>
      </w:r>
      <w:r>
        <w:rPr>
          <w:rFonts w:ascii="Times New Roman" w:hAnsi="Times New Roman" w:eastAsia="仿宋_GB2312" w:cs="Times New Roman"/>
          <w:sz w:val="32"/>
          <w:szCs w:val="32"/>
        </w:rPr>
        <w:t>支出，完成预算的</w:t>
      </w:r>
      <w:r>
        <w:rPr>
          <w:rFonts w:hint="eastAsia" w:ascii="Times New Roman" w:hAnsi="Times New Roman" w:eastAsia="仿宋_GB2312" w:cs="Times New Roman"/>
          <w:sz w:val="32"/>
          <w:szCs w:val="32"/>
          <w:lang w:val="en-US" w:eastAsia="zh-CN"/>
        </w:rPr>
        <w:t>68.67</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0.28</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15.73</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sz w:val="32"/>
          <w:szCs w:val="32"/>
          <w:lang w:val="en-US"/>
        </w:rPr>
        <w:t>认真贯彻落实中央“八项规定”精神和厉行节约要求，从严控制“三公”经费开支</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lang w:val="en-US" w:eastAsia="zh-CN"/>
        </w:rPr>
        <w:t>上年度因系统升级未及时支付部分在本年度进行支付</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截止</w:t>
      </w:r>
      <w:r>
        <w:rPr>
          <w:rFonts w:hint="eastAsia" w:ascii="Times New Roman" w:hAnsi="Times New Roman" w:eastAsia="仿宋_GB2312" w:cs="Times New Roman"/>
          <w:sz w:val="32"/>
          <w:szCs w:val="32"/>
          <w:highlight w:val="none"/>
          <w:lang w:eastAsia="zh-CN"/>
        </w:rPr>
        <w:t>到</w:t>
      </w:r>
      <w:r>
        <w:rPr>
          <w:rFonts w:ascii="Times New Roman" w:hAnsi="Times New Roman" w:eastAsia="仿宋_GB2312" w:cs="Times New Roman"/>
          <w:sz w:val="32"/>
          <w:szCs w:val="32"/>
        </w:rPr>
        <w:t>2024年12月31日，我单位开支财政拨款的公务用车保有量为</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辆。</w:t>
      </w:r>
    </w:p>
    <w:p w14:paraId="4B35674B">
      <w:pPr>
        <w:numPr>
          <w:ilvl w:val="0"/>
          <w:numId w:val="0"/>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公务接待费支出预算为</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2.97</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74.25</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0.63</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17.5</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sz w:val="32"/>
          <w:szCs w:val="32"/>
          <w:lang w:val="en-US"/>
        </w:rPr>
        <w:t>认真贯彻落实中央“八项规定”精神和厉行节约要求，从严控制“三公”经费开支</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sz w:val="32"/>
          <w:szCs w:val="32"/>
          <w:lang w:val="en-US"/>
        </w:rPr>
        <w:t>认真贯彻落实中央“八项规定”精神和厉行节约要求，从严控制“三公”经费开支</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33</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216</w:t>
      </w:r>
      <w:r>
        <w:rPr>
          <w:rFonts w:ascii="Times New Roman" w:hAnsi="Times New Roman" w:eastAsia="仿宋_GB2312" w:cs="Times New Roman"/>
          <w:sz w:val="32"/>
          <w:szCs w:val="32"/>
        </w:rPr>
        <w:t>人次，主要是</w:t>
      </w:r>
      <w:r>
        <w:rPr>
          <w:rFonts w:hint="eastAsia" w:ascii="Times New Roman" w:hAnsi="Times New Roman" w:eastAsia="仿宋_GB2312" w:cs="Times New Roman"/>
          <w:sz w:val="32"/>
          <w:szCs w:val="32"/>
          <w:lang w:val="en-US" w:eastAsia="zh-CN"/>
        </w:rPr>
        <w:t>省控站点现场核查、气站常规核查、国控断面水质调查、质控帮扶检查等</w:t>
      </w:r>
      <w:r>
        <w:rPr>
          <w:rFonts w:ascii="Times New Roman" w:hAnsi="Times New Roman" w:eastAsia="仿宋_GB2312" w:cs="Times New Roman"/>
          <w:sz w:val="32"/>
          <w:szCs w:val="32"/>
        </w:rPr>
        <w:t>发生的接待支出。</w:t>
      </w:r>
    </w:p>
    <w:p w14:paraId="3D06ACE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38BA3ACD">
      <w:pPr>
        <w:pStyle w:val="12"/>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val="en-US" w:eastAsia="zh-CN"/>
        </w:rPr>
        <w:t>101.24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highlight w:val="none"/>
        </w:rPr>
        <w:t>比上年决算数减少</w:t>
      </w:r>
      <w:r>
        <w:rPr>
          <w:rFonts w:hint="eastAsia" w:ascii="仿宋_GB2312" w:hAnsi="仿宋_GB2312" w:eastAsia="仿宋_GB2312" w:cs="仿宋_GB2312"/>
          <w:sz w:val="32"/>
          <w:szCs w:val="32"/>
          <w:highlight w:val="none"/>
          <w:lang w:val="en-US" w:eastAsia="zh-CN"/>
        </w:rPr>
        <w:t>40.3</w:t>
      </w:r>
      <w:r>
        <w:rPr>
          <w:rFonts w:hint="eastAsia" w:ascii="仿宋_GB2312" w:hAnsi="仿宋_GB2312" w:eastAsia="仿宋_GB2312" w:cs="仿宋_GB2312"/>
          <w:sz w:val="32"/>
          <w:szCs w:val="32"/>
          <w:highlight w:val="none"/>
        </w:rPr>
        <w:t>万元，降低</w:t>
      </w:r>
      <w:r>
        <w:rPr>
          <w:rFonts w:hint="eastAsia" w:ascii="仿宋_GB2312" w:hAnsi="仿宋_GB2312" w:eastAsia="仿宋_GB2312" w:cs="仿宋_GB2312"/>
          <w:sz w:val="32"/>
          <w:szCs w:val="32"/>
          <w:highlight w:val="none"/>
          <w:lang w:val="en-US" w:eastAsia="zh-CN"/>
        </w:rPr>
        <w:t>28.47</w:t>
      </w:r>
      <w:r>
        <w:rPr>
          <w:rFonts w:hint="eastAsia" w:ascii="仿宋_GB2312" w:hAnsi="仿宋_GB2312" w:eastAsia="仿宋_GB2312" w:cs="仿宋_GB2312"/>
          <w:sz w:val="32"/>
          <w:szCs w:val="32"/>
          <w:highlight w:val="none"/>
        </w:rPr>
        <w:t>%。主要原因是：</w:t>
      </w:r>
      <w:r>
        <w:rPr>
          <w:rFonts w:hint="eastAsia" w:ascii="仿宋_GB2312" w:hAnsi="仿宋_GB2312" w:eastAsia="仿宋_GB2312" w:cs="仿宋_GB2312"/>
          <w:sz w:val="32"/>
          <w:szCs w:val="32"/>
          <w:highlight w:val="none"/>
          <w:lang w:val="en-US"/>
        </w:rPr>
        <w:t>认真贯彻落实中央“八项规定”精神和厉行节约要求，</w:t>
      </w:r>
      <w:r>
        <w:rPr>
          <w:rFonts w:hint="eastAsia" w:ascii="仿宋_GB2312" w:hAnsi="仿宋_GB2312" w:eastAsia="仿宋_GB2312" w:cs="仿宋_GB2312"/>
          <w:sz w:val="32"/>
          <w:szCs w:val="32"/>
          <w:highlight w:val="none"/>
          <w:lang w:val="en-US" w:eastAsia="zh-CN"/>
        </w:rPr>
        <w:t>从严控制机关运行经费。</w:t>
      </w:r>
    </w:p>
    <w:p w14:paraId="39684EF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5E588319">
      <w:pPr>
        <w:pStyle w:val="12"/>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年度，本单位无会议费的预算和支出决算数</w:t>
      </w:r>
      <w:r>
        <w:rPr>
          <w:rFonts w:hint="eastAsia" w:ascii="仿宋_GB2312" w:hAnsi="仿宋_GB2312" w:eastAsia="仿宋_GB2312" w:cs="仿宋_GB2312"/>
          <w:sz w:val="32"/>
          <w:szCs w:val="32"/>
          <w:lang w:eastAsia="zh-CN"/>
        </w:rPr>
        <w:t>。</w:t>
      </w:r>
    </w:p>
    <w:p w14:paraId="6BF19328">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培训费年初预算7.4万元，支出决算为7.4万元，完成年初预算的100%。用于开展生态环境保护综合行政执法业务、生态环境监测分析技术、监测能力提升、重污染天气应急减排等培训，人数53人，内容为</w:t>
      </w:r>
      <w:r>
        <w:rPr>
          <w:rFonts w:hint="eastAsia" w:ascii="Times New Roman" w:hAnsi="Times New Roman" w:eastAsia="仿宋_GB2312"/>
          <w:sz w:val="32"/>
          <w:szCs w:val="32"/>
          <w:lang w:eastAsia="zh-CN"/>
        </w:rPr>
        <w:t>参加培训产生的住宿、差旅和资料费</w:t>
      </w:r>
      <w:r>
        <w:rPr>
          <w:rFonts w:hint="eastAsia" w:ascii="仿宋_GB2312" w:hAnsi="仿宋_GB2312" w:eastAsia="仿宋_GB2312" w:cs="仿宋_GB2312"/>
          <w:color w:val="000000"/>
          <w:kern w:val="0"/>
          <w:sz w:val="32"/>
          <w:szCs w:val="32"/>
          <w:lang w:val="en-US" w:eastAsia="zh-CN" w:bidi="ar-SA"/>
        </w:rPr>
        <w:t>。</w:t>
      </w:r>
    </w:p>
    <w:p w14:paraId="39C2EAB5">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highlight w:val="yellow"/>
          <w:lang w:val="en-US" w:eastAsia="zh-CN" w:bidi="ar-SA"/>
        </w:rPr>
      </w:pPr>
      <w:r>
        <w:rPr>
          <w:rFonts w:hint="eastAsia" w:ascii="仿宋_GB2312" w:hAnsi="仿宋_GB2312" w:eastAsia="仿宋_GB2312" w:cs="仿宋_GB2312"/>
          <w:color w:val="000000"/>
          <w:kern w:val="0"/>
          <w:sz w:val="32"/>
          <w:szCs w:val="32"/>
          <w:lang w:val="en-US" w:eastAsia="zh-CN" w:bidi="ar-SA"/>
        </w:rPr>
        <w:t>本单位无举办节庆、晚会、论坛、赛事等活动的预算和支出决算数。</w:t>
      </w:r>
    </w:p>
    <w:p w14:paraId="252D0BE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4120C9C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933.2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市级采购807.88万元、县级采购125.32万元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，其中：政府采购货物支出</w:t>
      </w:r>
      <w:r>
        <w:rPr>
          <w:rFonts w:hint="eastAsia" w:ascii="仿宋_GB2312" w:hAnsi="仿宋_GB2312" w:eastAsia="仿宋_GB2312" w:cs="仿宋_GB2312"/>
          <w:sz w:val="32"/>
          <w:szCs w:val="32"/>
          <w:lang w:val="en-US" w:eastAsia="zh-CN"/>
        </w:rPr>
        <w:t>50.61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市级采购50.61万元、县级采购0万元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、政府采购工程支出</w:t>
      </w:r>
      <w:r>
        <w:rPr>
          <w:rFonts w:hint="eastAsia" w:ascii="仿宋_GB2312" w:hAnsi="仿宋_GB2312" w:eastAsia="仿宋_GB2312" w:cs="仿宋_GB2312"/>
          <w:sz w:val="32"/>
          <w:szCs w:val="32"/>
          <w:lang w:val="en-US" w:eastAsia="zh-CN"/>
        </w:rPr>
        <w:t>15.37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市级采购15.37万元、县级采购0万元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、政府采购服务支出</w:t>
      </w:r>
      <w:r>
        <w:rPr>
          <w:rFonts w:hint="eastAsia" w:ascii="仿宋_GB2312" w:hAnsi="仿宋_GB2312" w:eastAsia="仿宋_GB2312" w:cs="仿宋_GB2312"/>
          <w:sz w:val="32"/>
          <w:szCs w:val="32"/>
          <w:lang w:val="en-US" w:eastAsia="zh-CN"/>
        </w:rPr>
        <w:t>867.22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市级采购741.9万元、县级采购125.32万元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。授予中小企业合同金额</w:t>
      </w:r>
      <w:r>
        <w:rPr>
          <w:rFonts w:hint="eastAsia" w:ascii="仿宋_GB2312" w:hAnsi="仿宋_GB2312" w:eastAsia="仿宋_GB2312" w:cs="仿宋_GB2312"/>
          <w:sz w:val="32"/>
          <w:szCs w:val="32"/>
          <w:lang w:val="en-US" w:eastAsia="zh-CN"/>
        </w:rPr>
        <w:t>933.2</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933.2</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p w14:paraId="246A0DF6">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37C9D953">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辆，其他用车主要是</w:t>
      </w:r>
      <w:r>
        <w:rPr>
          <w:rFonts w:hint="eastAsia" w:ascii="Times New Roman" w:hAnsi="Times New Roman" w:eastAsia="仿宋_GB2312"/>
          <w:sz w:val="32"/>
          <w:szCs w:val="32"/>
        </w:rPr>
        <w:t>机要通信和应急保障之外公务用途的车辆</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0A8224AC">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14:paraId="0EB60D67">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14:paraId="2559DDC6">
      <w:pPr>
        <w:overflowPunct w:val="0"/>
        <w:spacing w:line="600" w:lineRule="exact"/>
        <w:ind w:firstLine="640" w:firstLineChars="200"/>
        <w:rPr>
          <w:rFonts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ascii="Times New Roman" w:hAnsi="Times New Roman" w:eastAsia="仿宋_GB2312" w:cs="Times New Roman"/>
          <w:kern w:val="0"/>
          <w:sz w:val="32"/>
          <w:szCs w:val="32"/>
        </w:rPr>
        <w:t>组织对2024年度本部门（单位）整体支出开展绩效自评，涉及项目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619.68</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619.68</w:t>
      </w:r>
      <w:r>
        <w:rPr>
          <w:rFonts w:ascii="Times New Roman" w:hAnsi="Times New Roman" w:eastAsia="仿宋_GB2312" w:cs="Times New Roman"/>
          <w:kern w:val="0"/>
          <w:sz w:val="32"/>
          <w:szCs w:val="32"/>
        </w:rPr>
        <w:t>万元，占一般公共预算支出总额的</w:t>
      </w:r>
      <w:r>
        <w:rPr>
          <w:rFonts w:hint="eastAsia" w:ascii="Times New Roman" w:hAnsi="Times New Roman" w:eastAsia="仿宋_GB2312" w:cs="Times New Roman"/>
          <w:kern w:val="0"/>
          <w:sz w:val="32"/>
          <w:szCs w:val="32"/>
          <w:lang w:val="en-US" w:eastAsia="zh-CN"/>
        </w:rPr>
        <w:t>34.51</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万元，占政府性基金预算支出总额的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万元，占国有资本经营预算支出总额的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w:t>
      </w:r>
      <w:r>
        <w:rPr>
          <w:rFonts w:ascii="Times New Roman" w:hAnsi="Times New Roman" w:eastAsia="仿宋_GB2312" w:cs="Times New Roman"/>
          <w:kern w:val="0"/>
          <w:sz w:val="32"/>
          <w:szCs w:val="32"/>
          <w:highlight w:val="none"/>
        </w:rPr>
        <w:t>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万元，占社会保险基金预算支出总额的</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w:t>
      </w:r>
    </w:p>
    <w:p w14:paraId="7C65853C">
      <w:pPr>
        <w:overflowPunct w:val="0"/>
        <w:spacing w:line="600" w:lineRule="exact"/>
        <w:ind w:firstLine="640" w:firstLineChars="200"/>
        <w:rPr>
          <w:rFonts w:hint="eastAsia" w:ascii="Times New Roman" w:hAnsi="Times New Roman" w:eastAsia="仿宋_GB2312" w:cs="Times New Roman"/>
          <w:color w:val="FF0000"/>
          <w:kern w:val="0"/>
          <w:sz w:val="32"/>
          <w:szCs w:val="32"/>
          <w:lang w:eastAsia="zh-CN"/>
        </w:rPr>
      </w:pPr>
      <w:r>
        <w:rPr>
          <w:rFonts w:hint="eastAsia" w:ascii="Times New Roman" w:hAnsi="Times New Roman" w:eastAsia="仿宋_GB2312" w:cs="Times New Roman"/>
          <w:kern w:val="0"/>
          <w:sz w:val="32"/>
          <w:szCs w:val="32"/>
          <w:highlight w:val="none"/>
          <w:lang w:val="en-US" w:eastAsia="zh-CN"/>
        </w:rPr>
        <w:t>2.</w:t>
      </w:r>
      <w:r>
        <w:rPr>
          <w:rFonts w:ascii="Times New Roman" w:hAnsi="Times New Roman" w:eastAsia="仿宋_GB2312" w:cs="Times New Roman"/>
          <w:b/>
          <w:bCs/>
          <w:kern w:val="0"/>
          <w:sz w:val="32"/>
          <w:szCs w:val="32"/>
        </w:rPr>
        <w:t>部门评价开展情况。</w:t>
      </w:r>
      <w:r>
        <w:rPr>
          <w:rFonts w:ascii="Times New Roman" w:hAnsi="Times New Roman" w:eastAsia="仿宋_GB2312" w:cs="Times New Roman"/>
          <w:kern w:val="0"/>
          <w:sz w:val="32"/>
          <w:szCs w:val="32"/>
        </w:rPr>
        <w:t>组织对所属单位2024年度“</w:t>
      </w:r>
      <w:r>
        <w:rPr>
          <w:rFonts w:hint="eastAsia" w:ascii="Times New Roman" w:hAnsi="Times New Roman" w:eastAsia="仿宋_GB2312" w:cs="Times New Roman"/>
          <w:kern w:val="0"/>
          <w:sz w:val="32"/>
          <w:szCs w:val="32"/>
        </w:rPr>
        <w:t>环境监察、监测运行经费</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rPr>
        <w:t>环境监测、监控及监察能力建设</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个项目开展了部门评价，涉及一般公共预算支出</w:t>
      </w:r>
      <w:r>
        <w:rPr>
          <w:rFonts w:hint="eastAsia" w:ascii="Times New Roman" w:hAnsi="Times New Roman" w:eastAsia="仿宋_GB2312" w:cs="Times New Roman"/>
          <w:sz w:val="32"/>
          <w:szCs w:val="32"/>
          <w:lang w:val="en-US" w:eastAsia="zh-CN"/>
        </w:rPr>
        <w:t>619.68</w:t>
      </w:r>
      <w:r>
        <w:rPr>
          <w:rFonts w:ascii="Times New Roman" w:hAnsi="Times New Roman" w:eastAsia="仿宋_GB2312" w:cs="Times New Roman"/>
          <w:kern w:val="0"/>
          <w:sz w:val="32"/>
          <w:szCs w:val="32"/>
        </w:rPr>
        <w:t>万元，政府性基金预算支出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万元，国有资本经营预算支出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万元，社会保险基金预算支出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w:t>
      </w:r>
    </w:p>
    <w:p w14:paraId="004D01B3">
      <w:pPr>
        <w:overflowPunct w:val="0"/>
        <w:spacing w:line="600" w:lineRule="exact"/>
        <w:ind w:firstLine="640" w:firstLineChars="200"/>
        <w:rPr>
          <w:rFonts w:ascii="Times New Roman" w:hAnsi="Times New Roman" w:eastAsia="楷体" w:cs="Times New Roman"/>
          <w:b/>
          <w:bCs/>
          <w:sz w:val="32"/>
          <w:szCs w:val="32"/>
        </w:rPr>
      </w:pP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b/>
          <w:bCs/>
          <w:kern w:val="0"/>
          <w:sz w:val="32"/>
          <w:szCs w:val="32"/>
        </w:rPr>
        <w:t>事前绩效评估开展情况。</w:t>
      </w:r>
      <w:r>
        <w:rPr>
          <w:rFonts w:hint="eastAsia" w:ascii="Times New Roman" w:hAnsi="Times New Roman" w:eastAsia="仿宋_GB2312" w:cs="Times New Roman"/>
          <w:kern w:val="0"/>
          <w:sz w:val="32"/>
          <w:szCs w:val="32"/>
          <w:lang w:val="en-US" w:eastAsia="zh-CN"/>
        </w:rPr>
        <w:t>本单位及所属单位本年度未新增重大政策和重大项目，所以无事前绩效评估开展情况。</w:t>
      </w:r>
    </w:p>
    <w:p w14:paraId="6FC8205B">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14:paraId="3F32372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Times New Roman" w:hAnsi="Times New Roman" w:eastAsia="仿宋_GB2312" w:cs="Times New Roman"/>
          <w:kern w:val="0"/>
          <w:sz w:val="32"/>
          <w:szCs w:val="32"/>
          <w:lang w:eastAsia="zh-CN"/>
        </w:rPr>
      </w:pP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6187.23</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6025.22</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97.38</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98</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优等</w:t>
      </w:r>
      <w:r>
        <w:rPr>
          <w:rFonts w:ascii="Times New Roman" w:hAnsi="Times New Roman" w:eastAsia="仿宋_GB2312" w:cs="Times New Roman"/>
          <w:sz w:val="32"/>
          <w:szCs w:val="32"/>
        </w:rPr>
        <w:t>”。绩效目标完成情况：一是</w:t>
      </w:r>
      <w:r>
        <w:rPr>
          <w:rFonts w:hint="eastAsia" w:ascii="Times New Roman" w:hAnsi="Times New Roman" w:eastAsia="仿宋_GB2312" w:cs="Times New Roman"/>
          <w:sz w:val="32"/>
          <w:szCs w:val="32"/>
          <w:lang w:eastAsia="zh-CN"/>
        </w:rPr>
        <w:t>202</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lang w:eastAsia="zh-CN"/>
        </w:rPr>
        <w:t>年各部门站在“守护好一江碧水”的政治高度，坚决贯彻落实好中央、省、市关于生态环境保护工作的部署安排，进一步强化了责任担当，以改善环境质量为重点，强力推进了污染防治攻坚战“夏季攻势”任务、“洞庭清波”、中央和省级环保督察交办信访件问题整改，相关任务取得圆满销号，我县环境质量得到有效改善</w:t>
      </w:r>
      <w:r>
        <w:rPr>
          <w:rFonts w:ascii="Times New Roman" w:hAnsi="Times New Roman" w:eastAsia="仿宋_GB2312" w:cs="Times New Roman"/>
          <w:sz w:val="32"/>
          <w:szCs w:val="32"/>
        </w:rPr>
        <w:t>；二是</w:t>
      </w:r>
      <w:r>
        <w:rPr>
          <w:rFonts w:hint="eastAsia" w:ascii="Times New Roman" w:hAnsi="Times New Roman" w:eastAsia="仿宋_GB2312" w:cs="Times New Roman"/>
          <w:sz w:val="32"/>
          <w:szCs w:val="32"/>
          <w:lang w:eastAsia="zh-CN"/>
        </w:rPr>
        <w:t>空气质量方面</w:t>
      </w:r>
      <w:r>
        <w:rPr>
          <w:rFonts w:hint="eastAsia" w:ascii="Times New Roman" w:hAnsi="Times New Roman" w:eastAsia="仿宋_GB2312" w:cs="Times New Roman"/>
          <w:sz w:val="32"/>
          <w:szCs w:val="32"/>
          <w:lang w:val="en-US" w:eastAsia="zh-CN"/>
        </w:rPr>
        <w:t>：2024年省市对华容县空气质量的考核目标：PM2.5年均浓度控制在33μg/m3以内，空气质量优良天数比率为91%以上。截至12月31日，我县空气质量优良率为91.8%，同比改善2.5%，PM2.5平均浓度为33.99μg/m3，同比下降1.13%；</w:t>
      </w:r>
      <w:r>
        <w:rPr>
          <w:rFonts w:hint="eastAsia" w:ascii="Times New Roman" w:hAnsi="Times New Roman" w:eastAsia="仿宋_GB2312" w:cs="Times New Roman"/>
          <w:sz w:val="32"/>
          <w:szCs w:val="32"/>
          <w:lang w:eastAsia="zh-CN"/>
        </w:rPr>
        <w:t>水环境质量方面：</w:t>
      </w:r>
      <w:r>
        <w:rPr>
          <w:rFonts w:hint="eastAsia" w:ascii="Times New Roman" w:hAnsi="Times New Roman" w:eastAsia="仿宋_GB2312" w:cs="Times New Roman"/>
          <w:sz w:val="32"/>
          <w:szCs w:val="32"/>
          <w:lang w:val="en-US" w:eastAsia="zh-CN"/>
        </w:rPr>
        <w:t>1-12月份，国、省考断面水质达到Ⅲ类以上断面比例为87.5%（未达标断面为东湖断面，为地表水Ⅳ类水质，主要超标因子为总磷），超过省、市污染防治攻坚战“国、省考断面地表水水质达到或好于Ⅲ类断面比例达到84%以上”考核标准；</w:t>
      </w:r>
      <w:r>
        <w:rPr>
          <w:rFonts w:hint="eastAsia" w:ascii="Times New Roman" w:hAnsi="Times New Roman" w:eastAsia="仿宋_GB2312" w:cs="Times New Roman"/>
          <w:sz w:val="32"/>
          <w:szCs w:val="32"/>
          <w:lang w:eastAsia="zh-CN"/>
        </w:rPr>
        <w:t>中央和省级环保督察问题整改：中央和省级环保督察组交办我县问题已全部完成整改回复，中央交办信访件30件、省级交办信访件10件，均已全部办结;</w:t>
      </w:r>
      <w:r>
        <w:rPr>
          <w:rFonts w:hint="eastAsia" w:ascii="Times New Roman" w:hAnsi="Times New Roman" w:eastAsia="仿宋_GB2312" w:cs="Times New Roman"/>
          <w:sz w:val="32"/>
          <w:szCs w:val="32"/>
          <w:lang w:val="en-US" w:eastAsia="zh-CN"/>
        </w:rPr>
        <w:t>“夏季攻势”：今年“夏季攻势”任务原有37大项，经细分后共有54项任务，截至目前，已全部完成整改销号</w:t>
      </w:r>
      <w:r>
        <w:rPr>
          <w:rFonts w:ascii="Times New Roman" w:hAnsi="Times New Roman" w:eastAsia="仿宋_GB2312" w:cs="Times New Roman"/>
          <w:sz w:val="32"/>
          <w:szCs w:val="32"/>
        </w:rPr>
        <w:t>。发现的主要问题及原因：一是</w:t>
      </w:r>
      <w:r>
        <w:rPr>
          <w:rFonts w:hint="default" w:ascii="Times New Roman" w:hAnsi="Times New Roman" w:eastAsia="仿宋_GB2312" w:cs="Times New Roman"/>
          <w:sz w:val="32"/>
          <w:szCs w:val="32"/>
          <w:lang w:val="en-US" w:eastAsia="zh-CN"/>
        </w:rPr>
        <w:t>由于人员配置不足，绩效评价未能完全涵盖我单位工作的各个方面，未能设置个性化量化考核指标，对各项资金使用的规范性和使用结果的有效性分析并不透彻。下一阶段，我单位将进一步推进绩效管理，做到对各项支出的效果进行跟踪问效，将绩效管理融入单位的日常管理中</w:t>
      </w:r>
      <w:r>
        <w:rPr>
          <w:rFonts w:ascii="Times New Roman" w:hAnsi="Times New Roman" w:eastAsia="仿宋_GB2312" w:cs="Times New Roman"/>
          <w:sz w:val="32"/>
          <w:szCs w:val="32"/>
        </w:rPr>
        <w:t>；二是</w:t>
      </w:r>
      <w:r>
        <w:rPr>
          <w:rFonts w:hint="default" w:ascii="Times New Roman" w:hAnsi="Times New Roman" w:eastAsia="仿宋_GB2312" w:cs="Times New Roman"/>
          <w:sz w:val="32"/>
          <w:szCs w:val="32"/>
          <w:lang w:val="en-US" w:eastAsia="zh-CN"/>
        </w:rPr>
        <w:t>人员素质有待进一步提高，由于绩效管理工作涉及面广，专业性强，加上缺乏系统的培训，单位对绩效管理理解不充分，对绩效管理业务不精通，在一定程度上影响了绩效评价工作质量</w:t>
      </w:r>
      <w:r>
        <w:rPr>
          <w:rFonts w:ascii="Times New Roman" w:hAnsi="Times New Roman" w:eastAsia="仿宋_GB2312" w:cs="Times New Roman"/>
          <w:sz w:val="32"/>
          <w:szCs w:val="32"/>
        </w:rPr>
        <w:t>。下一步改进措施：一是</w:t>
      </w:r>
      <w:r>
        <w:rPr>
          <w:rFonts w:hint="eastAsia" w:ascii="Times New Roman" w:hAnsi="Times New Roman" w:eastAsia="仿宋_GB2312" w:cs="Times New Roman"/>
          <w:sz w:val="32"/>
          <w:szCs w:val="32"/>
          <w:lang w:val="en-US" w:eastAsia="zh-CN"/>
        </w:rPr>
        <w:t>进一步完善资金使用监管机制，动态跟踪资金使用情况，切实加快预算执行，将资金管理与业务活动紧密贴合，对业务类项目进行归并、调整和优化，以项目整合提高统筹效益。保障用对资金，用好资金，将资金用于刀刃上，灵活高效地服务于本部门职能及重点工作任务。同时加强预算资金绩效管理水平，资金申报与绩效目标申报同步，切实做好“花钱必有效，无效必问责”</w:t>
      </w:r>
      <w:r>
        <w:rPr>
          <w:rFonts w:ascii="Times New Roman" w:hAnsi="Times New Roman" w:eastAsia="仿宋_GB2312" w:cs="Times New Roman"/>
          <w:sz w:val="32"/>
          <w:szCs w:val="32"/>
        </w:rPr>
        <w:t>；二是</w:t>
      </w:r>
      <w:r>
        <w:rPr>
          <w:rFonts w:hint="eastAsia" w:ascii="Times New Roman" w:hAnsi="Times New Roman" w:eastAsia="仿宋_GB2312" w:cs="Times New Roman"/>
          <w:sz w:val="32"/>
          <w:szCs w:val="32"/>
          <w:lang w:val="en-US" w:eastAsia="zh-CN"/>
        </w:rPr>
        <w:t>细化预算编制工作，认真做好预算的编制。进一步加强局内部机构各科室的预算管理意识，严格按照预算编制的相关制度和要求，公用经费根据单位的年度工作重点和项目专项工作规划，本着“勤俭节约、保障运转”的原则进行预算的编制；编制范围尽可能的全面，不漏项；在预算编制时首先需满足固定性的、相对刚性的费用支出项目，尽量压缩变动性的、有控制空间的费用项目；进一步提高预算编制的科学性、合理性、严谨性和可控性</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三是加强财务管理，严格财务审核，在费用报账支付时，按照预算规定的费用项目和用途进行资金使用的审核，严格按照费用的实际使用用途进行资金支付项目的列报，严格按照实际的费用支出内容进行财务核算，在预算金额内严格控制费用的支出，控制超支现象的发生。四是在项目资金及时到位的前提下，加快项目实施进度的推进，加强项目开展进度的跟踪，开展项目绩效评价，确保项目绩效目标的完成。五是加强财务核算工作，提高财务的精细化管理，确保财务核算的真实、及时、准确、完整。</w:t>
      </w:r>
    </w:p>
    <w:p w14:paraId="60586D6F">
      <w:pPr>
        <w:overflowPunct w:val="0"/>
        <w:spacing w:line="60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b/>
          <w:bCs/>
          <w:kern w:val="0"/>
          <w:sz w:val="32"/>
          <w:szCs w:val="32"/>
        </w:rPr>
        <w:t>部门评价结果。</w:t>
      </w:r>
      <w:r>
        <w:rPr>
          <w:rFonts w:hint="eastAsia" w:ascii="Times New Roman" w:hAnsi="Times New Roman" w:eastAsia="仿宋_GB2312" w:cs="Times New Roman"/>
          <w:sz w:val="32"/>
          <w:szCs w:val="32"/>
        </w:rPr>
        <w:t>环境监察、监测运行经费</w:t>
      </w:r>
      <w:r>
        <w:rPr>
          <w:rFonts w:ascii="Times New Roman" w:hAnsi="Times New Roman" w:eastAsia="仿宋_GB2312" w:cs="Times New Roman"/>
          <w:sz w:val="32"/>
          <w:szCs w:val="32"/>
        </w:rPr>
        <w:t>项目全年预算数</w:t>
      </w:r>
      <w:r>
        <w:rPr>
          <w:rFonts w:hint="eastAsia" w:ascii="Times New Roman" w:hAnsi="Times New Roman" w:eastAsia="仿宋_GB2312" w:cs="Times New Roman"/>
          <w:sz w:val="32"/>
          <w:szCs w:val="32"/>
          <w:lang w:val="en-US" w:eastAsia="zh-CN"/>
        </w:rPr>
        <w:t>381.06</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311.54</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81.76</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w:t>
      </w:r>
      <w:r>
        <w:rPr>
          <w:rFonts w:ascii="Times New Roman" w:hAnsi="Times New Roman" w:eastAsia="仿宋_GB2312" w:cs="Times New Roman"/>
          <w:sz w:val="32"/>
          <w:szCs w:val="32"/>
        </w:rPr>
        <w:t>部门评价得分</w:t>
      </w:r>
      <w:r>
        <w:rPr>
          <w:rFonts w:hint="eastAsia" w:ascii="Times New Roman" w:hAnsi="Times New Roman" w:eastAsia="仿宋_GB2312" w:cs="Times New Roman"/>
          <w:sz w:val="32"/>
          <w:szCs w:val="32"/>
          <w:lang w:val="en-US" w:eastAsia="zh-CN"/>
        </w:rPr>
        <w:t>99</w:t>
      </w:r>
      <w:r>
        <w:rPr>
          <w:rFonts w:ascii="Times New Roman" w:hAnsi="Times New Roman" w:eastAsia="仿宋_GB2312" w:cs="Times New Roman"/>
          <w:sz w:val="32"/>
          <w:szCs w:val="32"/>
        </w:rPr>
        <w:t>分，评价等级为“</w:t>
      </w:r>
      <w:r>
        <w:rPr>
          <w:rFonts w:hint="eastAsia" w:ascii="Times New Roman" w:hAnsi="Times New Roman" w:eastAsia="仿宋_GB2312" w:cs="Times New Roman"/>
          <w:sz w:val="32"/>
          <w:szCs w:val="32"/>
          <w:lang w:val="en-US" w:eastAsia="zh-CN"/>
        </w:rPr>
        <w:t>优等</w:t>
      </w:r>
      <w:r>
        <w:rPr>
          <w:rFonts w:ascii="Times New Roman" w:hAnsi="Times New Roman" w:eastAsia="仿宋_GB2312" w:cs="Times New Roman"/>
          <w:sz w:val="32"/>
          <w:szCs w:val="32"/>
        </w:rPr>
        <w:t>”</w:t>
      </w:r>
      <w:r>
        <w:rPr>
          <w:rFonts w:ascii="Times New Roman" w:hAnsi="Times New Roman" w:eastAsia="仿宋_GB2312" w:cs="Times New Roman"/>
          <w:color w:val="auto"/>
          <w:sz w:val="32"/>
          <w:szCs w:val="32"/>
        </w:rPr>
        <w:t>。发现的主要问题及原因：</w:t>
      </w:r>
      <w:r>
        <w:rPr>
          <w:rFonts w:hint="eastAsia" w:ascii="Times New Roman" w:hAnsi="Times New Roman" w:eastAsia="仿宋_GB2312" w:cs="Times New Roman"/>
          <w:color w:val="auto"/>
          <w:sz w:val="32"/>
          <w:szCs w:val="32"/>
          <w:lang w:val="en-US" w:eastAsia="zh-CN"/>
        </w:rPr>
        <w:t>项目预算执行未达到100%，主要是由于工作计划动态优化、成本有效节约以及部分支出按合同约定合理跨年度支付等正常积极的因素共同作用的结果</w:t>
      </w:r>
      <w:r>
        <w:rPr>
          <w:rFonts w:ascii="Times New Roman" w:hAnsi="Times New Roman" w:eastAsia="仿宋_GB2312" w:cs="Times New Roman"/>
          <w:color w:val="auto"/>
          <w:sz w:val="32"/>
          <w:szCs w:val="32"/>
        </w:rPr>
        <w:t>。下一步改进措施：</w:t>
      </w:r>
      <w:r>
        <w:rPr>
          <w:rFonts w:hint="eastAsia" w:ascii="Times New Roman" w:hAnsi="Times New Roman" w:eastAsia="仿宋_GB2312" w:cs="Times New Roman"/>
          <w:color w:val="auto"/>
          <w:sz w:val="32"/>
          <w:szCs w:val="32"/>
          <w:lang w:val="en-US" w:eastAsia="zh-CN"/>
        </w:rPr>
        <w:t>在项目预算编制环节进一步加强前瞻性和精准性，力求预算与执行更好的契合。</w:t>
      </w:r>
    </w:p>
    <w:p w14:paraId="1F555EDA">
      <w:pPr>
        <w:overflowPunct w:val="0"/>
        <w:spacing w:line="600" w:lineRule="exact"/>
        <w:ind w:firstLine="640" w:firstLineChars="200"/>
        <w:rPr>
          <w:rFonts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sz w:val="32"/>
          <w:szCs w:val="32"/>
        </w:rPr>
        <w:t>环境监测、监控及监察能力建设</w:t>
      </w:r>
      <w:r>
        <w:rPr>
          <w:rFonts w:ascii="Times New Roman" w:hAnsi="Times New Roman" w:eastAsia="仿宋_GB2312" w:cs="Times New Roman"/>
          <w:color w:val="auto"/>
          <w:sz w:val="32"/>
          <w:szCs w:val="32"/>
        </w:rPr>
        <w:t>项目全年预算数</w:t>
      </w:r>
      <w:r>
        <w:rPr>
          <w:rFonts w:hint="eastAsia" w:ascii="Times New Roman" w:hAnsi="Times New Roman" w:eastAsia="仿宋_GB2312" w:cs="Times New Roman"/>
          <w:color w:val="auto"/>
          <w:sz w:val="32"/>
          <w:szCs w:val="32"/>
          <w:lang w:val="en-US" w:eastAsia="zh-CN"/>
        </w:rPr>
        <w:t>345</w:t>
      </w:r>
      <w:r>
        <w:rPr>
          <w:rFonts w:ascii="Times New Roman" w:hAnsi="Times New Roman" w:eastAsia="仿宋_GB2312" w:cs="Times New Roman"/>
          <w:color w:val="auto"/>
          <w:sz w:val="32"/>
          <w:szCs w:val="32"/>
        </w:rPr>
        <w:t>万元，执行数</w:t>
      </w:r>
      <w:r>
        <w:rPr>
          <w:rFonts w:hint="eastAsia" w:ascii="Times New Roman" w:hAnsi="Times New Roman" w:eastAsia="仿宋_GB2312" w:cs="Times New Roman"/>
          <w:color w:val="auto"/>
          <w:sz w:val="32"/>
          <w:szCs w:val="32"/>
          <w:lang w:val="en-US" w:eastAsia="zh-CN"/>
        </w:rPr>
        <w:t>308.14</w:t>
      </w:r>
      <w:r>
        <w:rPr>
          <w:rFonts w:ascii="Times New Roman" w:hAnsi="Times New Roman" w:eastAsia="仿宋_GB2312" w:cs="Times New Roman"/>
          <w:color w:val="auto"/>
          <w:sz w:val="32"/>
          <w:szCs w:val="32"/>
        </w:rPr>
        <w:t>万元，完成预算的</w:t>
      </w:r>
      <w:r>
        <w:rPr>
          <w:rFonts w:hint="eastAsia" w:ascii="Times New Roman" w:hAnsi="Times New Roman" w:eastAsia="仿宋_GB2312" w:cs="Times New Roman"/>
          <w:color w:val="auto"/>
          <w:sz w:val="32"/>
          <w:szCs w:val="32"/>
          <w:lang w:val="en-US" w:eastAsia="zh-CN"/>
        </w:rPr>
        <w:t>89.32</w:t>
      </w:r>
      <w:r>
        <w:rPr>
          <w:rFonts w:ascii="Times New Roman" w:hAnsi="Times New Roman" w:eastAsia="仿宋_GB2312" w:cs="Times New Roman"/>
          <w:color w:val="auto"/>
          <w:sz w:val="32"/>
          <w:szCs w:val="32"/>
        </w:rPr>
        <w:t>%</w:t>
      </w:r>
      <w:r>
        <w:rPr>
          <w:rFonts w:ascii="Times New Roman" w:hAnsi="Times New Roman" w:eastAsia="仿宋_GB2312" w:cs="Times New Roman"/>
          <w:color w:val="auto"/>
          <w:kern w:val="0"/>
          <w:sz w:val="32"/>
          <w:szCs w:val="32"/>
        </w:rPr>
        <w:t>，</w:t>
      </w:r>
      <w:r>
        <w:rPr>
          <w:rFonts w:ascii="Times New Roman" w:hAnsi="Times New Roman" w:eastAsia="仿宋_GB2312" w:cs="Times New Roman"/>
          <w:color w:val="auto"/>
          <w:sz w:val="32"/>
          <w:szCs w:val="32"/>
        </w:rPr>
        <w:t>部门评价得分</w:t>
      </w:r>
      <w:r>
        <w:rPr>
          <w:rFonts w:hint="eastAsia" w:ascii="Times New Roman" w:hAnsi="Times New Roman" w:eastAsia="仿宋_GB2312" w:cs="Times New Roman"/>
          <w:color w:val="auto"/>
          <w:sz w:val="32"/>
          <w:szCs w:val="32"/>
          <w:lang w:val="en-US" w:eastAsia="zh-CN"/>
        </w:rPr>
        <w:t>99</w:t>
      </w:r>
      <w:r>
        <w:rPr>
          <w:rFonts w:ascii="Times New Roman" w:hAnsi="Times New Roman" w:eastAsia="仿宋_GB2312" w:cs="Times New Roman"/>
          <w:color w:val="auto"/>
          <w:sz w:val="32"/>
          <w:szCs w:val="32"/>
        </w:rPr>
        <w:t>分，评价等级为“</w:t>
      </w:r>
      <w:r>
        <w:rPr>
          <w:rFonts w:hint="eastAsia" w:ascii="Times New Roman" w:hAnsi="Times New Roman" w:eastAsia="仿宋_GB2312" w:cs="Times New Roman"/>
          <w:color w:val="auto"/>
          <w:sz w:val="32"/>
          <w:szCs w:val="32"/>
          <w:lang w:val="en-US" w:eastAsia="zh-CN"/>
        </w:rPr>
        <w:t>优等</w:t>
      </w:r>
      <w:r>
        <w:rPr>
          <w:rFonts w:ascii="Times New Roman" w:hAnsi="Times New Roman" w:eastAsia="仿宋_GB2312" w:cs="Times New Roman"/>
          <w:color w:val="auto"/>
          <w:sz w:val="32"/>
          <w:szCs w:val="32"/>
        </w:rPr>
        <w:t>”。发现的主要问题及原因：</w:t>
      </w:r>
      <w:r>
        <w:rPr>
          <w:rFonts w:hint="eastAsia" w:ascii="Times New Roman" w:hAnsi="Times New Roman" w:eastAsia="仿宋_GB2312" w:cs="Times New Roman"/>
          <w:color w:val="auto"/>
          <w:sz w:val="32"/>
          <w:szCs w:val="32"/>
          <w:lang w:val="en-US" w:eastAsia="zh-CN"/>
        </w:rPr>
        <w:t>项目预算执行未达到100%，主要是由于工作计划动态优化、成本有效节约以及部分支出按合同约定合理跨年度支付等正常积极的因素共同作用的结果</w:t>
      </w:r>
      <w:r>
        <w:rPr>
          <w:rFonts w:ascii="Times New Roman" w:hAnsi="Times New Roman" w:eastAsia="仿宋_GB2312" w:cs="Times New Roman"/>
          <w:color w:val="auto"/>
          <w:sz w:val="32"/>
          <w:szCs w:val="32"/>
        </w:rPr>
        <w:t>。下一步改进措施：</w:t>
      </w:r>
      <w:r>
        <w:rPr>
          <w:rFonts w:hint="eastAsia" w:ascii="Times New Roman" w:hAnsi="Times New Roman" w:eastAsia="仿宋_GB2312" w:cs="Times New Roman"/>
          <w:color w:val="auto"/>
          <w:sz w:val="32"/>
          <w:szCs w:val="32"/>
          <w:lang w:val="en-US" w:eastAsia="zh-CN"/>
        </w:rPr>
        <w:t>在项目预算编制环节进一步加强前瞻性和精准性，力求预算与执行更好的契合。</w:t>
      </w:r>
      <w:bookmarkStart w:id="0" w:name="_GoBack"/>
      <w:bookmarkEnd w:id="0"/>
    </w:p>
    <w:p w14:paraId="594CEC69">
      <w:pPr>
        <w:overflowPunct w:val="0"/>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b/>
          <w:bCs/>
          <w:kern w:val="0"/>
          <w:sz w:val="32"/>
          <w:szCs w:val="32"/>
          <w:highlight w:val="none"/>
          <w:lang w:val="en-US" w:eastAsia="zh-CN"/>
        </w:rPr>
        <w:t>事</w:t>
      </w:r>
      <w:r>
        <w:rPr>
          <w:rFonts w:ascii="Times New Roman" w:hAnsi="Times New Roman" w:eastAsia="仿宋_GB2312" w:cs="Times New Roman"/>
          <w:b/>
          <w:bCs/>
          <w:kern w:val="0"/>
          <w:sz w:val="32"/>
          <w:szCs w:val="32"/>
          <w:highlight w:val="none"/>
        </w:rPr>
        <w:t>前绩效评估结果。</w:t>
      </w:r>
      <w:r>
        <w:rPr>
          <w:rFonts w:hint="eastAsia" w:ascii="Times New Roman" w:hAnsi="Times New Roman" w:eastAsia="仿宋_GB2312" w:cs="Times New Roman"/>
          <w:color w:val="auto"/>
          <w:kern w:val="0"/>
          <w:sz w:val="32"/>
          <w:szCs w:val="32"/>
          <w:lang w:val="en-US" w:eastAsia="zh-CN"/>
        </w:rPr>
        <w:t>本单位及所属单位本年度未开展事前绩效评估，所以无事前绩效评估结果。</w:t>
      </w:r>
    </w:p>
    <w:p w14:paraId="2C89E516">
      <w:pPr>
        <w:numPr>
          <w:ilvl w:val="0"/>
          <w:numId w:val="2"/>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14:paraId="2E1CBAA7">
      <w:pPr>
        <w:numPr>
          <w:ilvl w:val="0"/>
          <w:numId w:val="0"/>
        </w:numPr>
        <w:autoSpaceDE w:val="0"/>
        <w:autoSpaceDN w:val="0"/>
        <w:adjustRightInd w:val="0"/>
        <w:ind w:firstLine="640" w:firstLineChars="200"/>
        <w:jc w:val="left"/>
        <w:rPr>
          <w:rFonts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根据部门整体支出绩效评价指标体系，本局202</w:t>
      </w:r>
      <w:r>
        <w:rPr>
          <w:rFonts w:hint="eastAsia"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年度评价得分</w:t>
      </w:r>
      <w:r>
        <w:rPr>
          <w:rFonts w:hint="eastAsia" w:ascii="Times New Roman" w:hAnsi="Times New Roman" w:eastAsia="仿宋_GB2312" w:cs="Times New Roman"/>
          <w:color w:val="auto"/>
          <w:sz w:val="32"/>
          <w:szCs w:val="32"/>
          <w:highlight w:val="none"/>
          <w:lang w:val="en-US" w:eastAsia="zh-CN"/>
        </w:rPr>
        <w:t>98</w:t>
      </w:r>
      <w:r>
        <w:rPr>
          <w:rFonts w:hint="default" w:ascii="Times New Roman" w:hAnsi="Times New Roman" w:eastAsia="仿宋_GB2312" w:cs="Times New Roman"/>
          <w:color w:val="auto"/>
          <w:sz w:val="32"/>
          <w:szCs w:val="32"/>
          <w:highlight w:val="none"/>
          <w:lang w:val="en-US" w:eastAsia="zh-CN"/>
        </w:rPr>
        <w:t>分。社会效率和有效性评价较好，社会公众满意度评价较好。</w:t>
      </w:r>
    </w:p>
    <w:p w14:paraId="5E8AD5A5">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62BEA247">
      <w:pPr>
        <w:pStyle w:val="2"/>
        <w:rPr>
          <w:rFonts w:hint="eastAsia"/>
          <w:lang w:val="en-US" w:eastAsia="zh-CN"/>
        </w:rPr>
      </w:pPr>
    </w:p>
    <w:p w14:paraId="6FB6F211">
      <w:pPr>
        <w:pStyle w:val="12"/>
        <w:jc w:val="center"/>
        <w:rPr>
          <w:rFonts w:hint="eastAsia" w:ascii="方正小标宋_GBK" w:hAnsi="方正小标宋_GBK" w:eastAsia="方正小标宋_GBK" w:cs="方正小标宋_GBK"/>
          <w:sz w:val="72"/>
          <w:szCs w:val="72"/>
        </w:rPr>
      </w:pPr>
    </w:p>
    <w:p w14:paraId="3A01B6B0">
      <w:pPr>
        <w:pStyle w:val="12"/>
        <w:jc w:val="center"/>
        <w:rPr>
          <w:rFonts w:hint="eastAsia" w:ascii="方正小标宋_GBK" w:hAnsi="方正小标宋_GBK" w:eastAsia="方正小标宋_GBK" w:cs="方正小标宋_GBK"/>
          <w:sz w:val="72"/>
          <w:szCs w:val="72"/>
        </w:rPr>
      </w:pPr>
    </w:p>
    <w:p w14:paraId="475C1000">
      <w:pPr>
        <w:pStyle w:val="12"/>
        <w:jc w:val="center"/>
        <w:rPr>
          <w:rFonts w:hint="eastAsia" w:ascii="方正小标宋_GBK" w:hAnsi="方正小标宋_GBK" w:eastAsia="方正小标宋_GBK" w:cs="方正小标宋_GBK"/>
          <w:sz w:val="72"/>
          <w:szCs w:val="72"/>
        </w:rPr>
      </w:pPr>
    </w:p>
    <w:p w14:paraId="6A5A782C">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DDD6447">
      <w:pPr>
        <w:jc w:val="center"/>
        <w:rPr>
          <w:rFonts w:hint="eastAsia" w:ascii="方正小标宋_GBK" w:hAnsi="方正小标宋_GBK" w:eastAsia="方正小标宋_GBK" w:cs="方正小标宋_GBK"/>
          <w:color w:val="000000"/>
          <w:kern w:val="0"/>
          <w:sz w:val="70"/>
          <w:szCs w:val="70"/>
        </w:rPr>
      </w:pPr>
    </w:p>
    <w:p w14:paraId="41992F86">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571298D0">
      <w:pPr>
        <w:pStyle w:val="2"/>
      </w:pPr>
    </w:p>
    <w:p w14:paraId="5331F884">
      <w:pPr>
        <w:pStyle w:val="3"/>
      </w:pPr>
    </w:p>
    <w:p w14:paraId="2CCAD852"/>
    <w:p w14:paraId="440E89DF">
      <w:pPr>
        <w:pStyle w:val="2"/>
      </w:pPr>
    </w:p>
    <w:p w14:paraId="645B9B76">
      <w:pPr>
        <w:pStyle w:val="3"/>
      </w:pPr>
    </w:p>
    <w:p w14:paraId="539F25AC"/>
    <w:p w14:paraId="47AFAB8F">
      <w:pPr>
        <w:pStyle w:val="2"/>
      </w:pPr>
    </w:p>
    <w:p w14:paraId="479D6353">
      <w:pPr>
        <w:pStyle w:val="3"/>
      </w:pPr>
    </w:p>
    <w:p w14:paraId="648103ED"/>
    <w:p w14:paraId="08A5EA8F">
      <w:pPr>
        <w:pStyle w:val="2"/>
      </w:pPr>
    </w:p>
    <w:p w14:paraId="3FD0BAB6">
      <w:pPr>
        <w:pStyle w:val="3"/>
      </w:pPr>
    </w:p>
    <w:p w14:paraId="1CAE18D7"/>
    <w:p w14:paraId="5994BDDC">
      <w:pPr>
        <w:pStyle w:val="2"/>
      </w:pPr>
    </w:p>
    <w:p w14:paraId="51F60F8D">
      <w:pPr>
        <w:pStyle w:val="3"/>
      </w:pPr>
    </w:p>
    <w:p w14:paraId="715B8195"/>
    <w:p w14:paraId="3F608935">
      <w:pPr>
        <w:pStyle w:val="2"/>
      </w:pPr>
    </w:p>
    <w:p w14:paraId="274FE3C9">
      <w:pPr>
        <w:ind w:firstLine="640" w:firstLineChars="200"/>
        <w:jc w:val="left"/>
        <w:rPr>
          <w:rFonts w:hint="eastAsia" w:ascii="仿宋_GB2312" w:hAnsi="仿宋_GB2312" w:eastAsia="仿宋_GB2312" w:cs="仿宋_GB2312"/>
          <w:color w:val="000000"/>
          <w:kern w:val="0"/>
          <w:sz w:val="32"/>
          <w:szCs w:val="32"/>
        </w:rPr>
      </w:pPr>
    </w:p>
    <w:p w14:paraId="1741E604">
      <w:pPr>
        <w:ind w:firstLine="640" w:firstLineChars="200"/>
        <w:jc w:val="left"/>
        <w:rPr>
          <w:rFonts w:hint="eastAsia" w:ascii="仿宋_GB2312" w:hAnsi="仿宋_GB2312" w:eastAsia="仿宋_GB2312" w:cs="仿宋_GB2312"/>
          <w:color w:val="000000"/>
          <w:kern w:val="0"/>
          <w:sz w:val="32"/>
          <w:szCs w:val="32"/>
        </w:rPr>
      </w:pPr>
    </w:p>
    <w:p w14:paraId="02E59030">
      <w:pPr>
        <w:ind w:firstLine="640" w:firstLineChars="200"/>
        <w:jc w:val="left"/>
        <w:rPr>
          <w:rFonts w:hint="eastAsia" w:ascii="仿宋_GB2312" w:hAnsi="仿宋_GB2312" w:eastAsia="仿宋_GB2312" w:cs="仿宋_GB2312"/>
          <w:color w:val="000000"/>
          <w:kern w:val="0"/>
          <w:sz w:val="32"/>
          <w:szCs w:val="32"/>
        </w:rPr>
      </w:pPr>
    </w:p>
    <w:p w14:paraId="61CE71B9">
      <w:pPr>
        <w:pStyle w:val="2"/>
        <w:rPr>
          <w:rFonts w:hint="eastAsia"/>
        </w:rPr>
      </w:pPr>
    </w:p>
    <w:p w14:paraId="793F6BC2">
      <w:pPr>
        <w:ind w:firstLine="640" w:firstLineChars="200"/>
        <w:jc w:val="left"/>
        <w:rPr>
          <w:rFonts w:hint="eastAsia" w:ascii="仿宋_GB2312" w:hAnsi="仿宋_GB2312" w:eastAsia="仿宋_GB2312" w:cs="仿宋_GB2312"/>
          <w:color w:val="000000"/>
          <w:kern w:val="0"/>
          <w:sz w:val="32"/>
          <w:szCs w:val="32"/>
        </w:rPr>
      </w:pPr>
    </w:p>
    <w:p w14:paraId="754BC716">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75346A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14:paraId="16926212">
      <w:pPr>
        <w:ind w:firstLine="640" w:firstLineChars="200"/>
        <w:jc w:val="left"/>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一般公共预算：原公共财政预算，按照新《预算法》 要求，更名为一般公共预算。是指政府凭借国家政治权力，以 社会管理者身份筹集以税收为主体的财政收入，用于保障和改 善民生、维持国家行政职能正常行使、保障国家安全等方面的 收支预算。一般公共预算收入预算包括：地方本级预算收入、 转移性收入、调入预算稳定调节基金、地方政府债券收入和上 年结余收入。一般公共预算支出预算编制内容包括地方本级预 算支出、转移性支出、地方政府债券还本支出、安排预算稳定 调节基金、增设预算周转金和年末累计结余。</w:t>
      </w:r>
    </w:p>
    <w:p w14:paraId="3EC1559C">
      <w:pPr>
        <w:ind w:firstLine="640" w:firstLineChars="200"/>
        <w:jc w:val="left"/>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rPr>
        <w:t>政府性基金预算：指政府通过向社会征收基金、收费，以及出让土地、发行彩票等方式取得收入，专项用于支持特定基础设施建设和社会事业发展等方面的收支预算。地方政府性基金收入预算编制内容包括地方本级收入、转移性收入和上年结余收入。地方政府性基金支出预算编制内容包括地方本级支出、转移性支出、年末累计结余</w:t>
      </w:r>
      <w:r>
        <w:rPr>
          <w:rFonts w:hint="eastAsia" w:ascii="仿宋_GB2312" w:hAnsi="仿宋_GB2312" w:eastAsia="仿宋_GB2312" w:cs="仿宋_GB2312"/>
          <w:color w:val="000000"/>
          <w:kern w:val="0"/>
          <w:sz w:val="32"/>
          <w:szCs w:val="32"/>
          <w:lang w:eastAsia="zh-CN"/>
        </w:rPr>
        <w:t>。</w:t>
      </w:r>
    </w:p>
    <w:p w14:paraId="2855471F">
      <w:pPr>
        <w:ind w:firstLine="640" w:firstLineChars="200"/>
        <w:jc w:val="left"/>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国有资本经营预算：是指国家以所有者身份依法取得国有资本收益，并对所得收益进行分配而发生的各项收支预算，是政府预算的重要组成部分。</w:t>
      </w:r>
    </w:p>
    <w:p w14:paraId="4E5DF64E">
      <w:pPr>
        <w:ind w:firstLine="640" w:firstLineChars="200"/>
        <w:jc w:val="left"/>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2F63ACF2">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49CD1199">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津贴补贴：反映经国家批准建立的机关事业单位艰苦边远地区津贴、机关工作人员地区附加津贴、机关工作人员岗位津贴、事业单位工作人员特殊岗位津贴补贴等。</w:t>
      </w:r>
    </w:p>
    <w:p w14:paraId="1450F19E">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奖金：反映机关工作人员年终一次性奖金。</w:t>
      </w:r>
    </w:p>
    <w:p w14:paraId="3B688962">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伙食补助费：反映单位发给职工的伙食补助费，如误餐补助等。绩效工资：反映事业单位工作人员的绩效工资。</w:t>
      </w:r>
    </w:p>
    <w:p w14:paraId="5F1B2661">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机关事业单位基本养老保险缴费：反映机关事业单位缴纳的基本养老保险费。由单位代扣的工作人员基本养老保险缴费，不在此科目反映。</w:t>
      </w:r>
    </w:p>
    <w:p w14:paraId="712BBDE4">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职业年金缴费：反映机关事业单位实际缴纳的职业年金支出。由单位代扣的工作人员职业年金缴费，不在此科目反映。</w:t>
      </w:r>
    </w:p>
    <w:p w14:paraId="272EC0A6">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职工基本医疗保险缴费：反映单位为职工缴纳的基本医疗保险费。</w:t>
      </w:r>
    </w:p>
    <w:p w14:paraId="50781F45">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其他社会保障缴费：反映单位为职工缴纳的基本医疗、失业、工伤、生育等社会保险费，残疾人就业保障金，军队（含武警）为军人缴纳的伤亡、退役医疗等社会保险费。</w:t>
      </w:r>
    </w:p>
    <w:p w14:paraId="14A4ABF3">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住房公积金：反映行政事业单位按人力资源和社会保障部、财政部规定的基本工资和津贴补贴以及规定比例为职工缴纳的住房公积金。</w:t>
      </w:r>
    </w:p>
    <w:p w14:paraId="797BFF1B">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医疗费：反映未参加医疗保险单位的医疗经费和单位按规定为职工支出的其他医疗费用。</w:t>
      </w:r>
    </w:p>
    <w:p w14:paraId="60A8BF33">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1B4B08FF">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商品和服务支出：反映单位购买商品和服务的支出（不包括用于购置固定资产的支出、战略性和应急储备支出）。</w:t>
      </w:r>
    </w:p>
    <w:p w14:paraId="46536AE2">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办公费：反映单位购买按财务会计制度规定不符合固定资产确认标准的日常办公用品、书报杂志等支出。</w:t>
      </w:r>
    </w:p>
    <w:p w14:paraId="33E2FB7D">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印刷费：反映单位的印刷费支出。</w:t>
      </w:r>
    </w:p>
    <w:p w14:paraId="4D84CEBE">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咨询费：反映单位咨询方面的支出。</w:t>
      </w:r>
    </w:p>
    <w:p w14:paraId="6D74A07C">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水费：反映单位支付的水费、污水处理费等支出。</w:t>
      </w:r>
    </w:p>
    <w:p w14:paraId="76AB0530">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电费：反映单位的电费支出。</w:t>
      </w:r>
    </w:p>
    <w:p w14:paraId="5AD0EB58">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邮电费：反映单位开支的信函、包裹、货物等物品的邮寄费及电话费、电报费、传真费、网络通讯费等。</w:t>
      </w:r>
    </w:p>
    <w:p w14:paraId="5AE0EFA7">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差旅费：反映单位工作人员出差发生的城市间交通费、住宿费、伙食补贴费和市内交通费。</w:t>
      </w:r>
    </w:p>
    <w:p w14:paraId="70DDF38E">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维修(护)费：反映单位日常开支的固定资产（不包括车船等交通工具）修理和维护费用，网络信息系统运行与维护费用，以及按规定提取的修购基金。</w:t>
      </w:r>
    </w:p>
    <w:p w14:paraId="66B626AA">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会议费：反映会议中按规定开支的住宿费、伙食费、会议室租金、交通费、文件印刷费、医药费等。</w:t>
      </w:r>
    </w:p>
    <w:p w14:paraId="6CE58CAE">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培训费：反映除因公出国（境）培训费以外的各类培训支出。</w:t>
      </w:r>
    </w:p>
    <w:p w14:paraId="5A6B9F9A">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公务接待费：反映单位按规定开支的各类公务接待（含外宾接待）费用。</w:t>
      </w:r>
    </w:p>
    <w:p w14:paraId="2D94AE0A">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专用燃料费：反映用作业务工作设备的车、船设施等的油料支出。</w:t>
      </w:r>
    </w:p>
    <w:p w14:paraId="0FF4C33F">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劳务费：反映支付给单位和个人的劳务费用，如临时聘用人员、钟点工工资，稿费、翻译费，评审费等。</w:t>
      </w:r>
    </w:p>
    <w:p w14:paraId="1E5DB4DB">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工会经费：反映单位按规定提取的工会经费。</w:t>
      </w:r>
    </w:p>
    <w:p w14:paraId="6BDE9CA4">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公务用车运行维护费：反映单位按规定保留的公务用车燃料费、维修费、过桥过路费、保险费、安全奖励费用等支出。</w:t>
      </w:r>
    </w:p>
    <w:p w14:paraId="097B1281">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其他交通费用：反映单位除公务用车运行维护费以外的其他交通费用。如公务交通补贴，租车费用、出租车费用，飞机、船舶等的燃料费、维修费、保险费等。</w:t>
      </w:r>
    </w:p>
    <w:p w14:paraId="3C75B6E7">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其他商品和服务支出：反映上述科目未包括的日常公用支出。如行政赔偿费和诉讼费、国内组织的会员费、来访费、广告宣传、其他劳务费及离休人员特需费、公用经费等。</w:t>
      </w:r>
    </w:p>
    <w:p w14:paraId="0A73F0F4">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对个人和家庭的补助：反映政府用于对个人和家庭的补助支出。</w:t>
      </w:r>
    </w:p>
    <w:p w14:paraId="3DA52F5A">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退休费：反映行政事业单位和军队移交政府安置的退休人员的退休费和其他补贴。</w:t>
      </w:r>
    </w:p>
    <w:p w14:paraId="30E2682B">
      <w:pPr>
        <w:ind w:firstLine="640" w:firstLineChars="200"/>
        <w:jc w:val="left"/>
        <w:rPr>
          <w:rFonts w:hint="eastAsia" w:ascii="仿宋_GB2312" w:hAnsi="仿宋_GB2312" w:eastAsia="仿宋_GB2312" w:cs="仿宋_GB2312"/>
          <w:color w:val="000000"/>
          <w:kern w:val="0"/>
          <w:sz w:val="32"/>
          <w:szCs w:val="32"/>
          <w:lang w:eastAsia="zh-CN"/>
        </w:rPr>
      </w:pPr>
    </w:p>
    <w:p w14:paraId="4A4E5DB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14:paraId="496F732E">
      <w:pPr>
        <w:pStyle w:val="2"/>
      </w:pPr>
    </w:p>
    <w:p w14:paraId="354ECFD8">
      <w:pPr>
        <w:pStyle w:val="3"/>
      </w:pPr>
    </w:p>
    <w:p w14:paraId="51C67B38"/>
    <w:p w14:paraId="4D131F3E"/>
    <w:p w14:paraId="7CFBCE3C">
      <w:pPr>
        <w:pStyle w:val="2"/>
      </w:pPr>
    </w:p>
    <w:p w14:paraId="5C3DE094">
      <w:pPr>
        <w:pStyle w:val="12"/>
        <w:jc w:val="both"/>
        <w:rPr>
          <w:rFonts w:hint="eastAsia" w:ascii="方正小标宋_GBK" w:hAnsi="方正小标宋_GBK" w:eastAsia="方正小标宋_GBK" w:cs="方正小标宋_GBK"/>
          <w:sz w:val="72"/>
          <w:szCs w:val="72"/>
        </w:rPr>
      </w:pPr>
    </w:p>
    <w:p w14:paraId="0C1858E3">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92BF6CA">
      <w:pPr>
        <w:pStyle w:val="12"/>
        <w:jc w:val="both"/>
        <w:rPr>
          <w:rFonts w:hint="eastAsia" w:ascii="方正小标宋_GBK" w:hAnsi="方正小标宋_GBK" w:eastAsia="方正小标宋_GBK" w:cs="方正小标宋_GBK"/>
          <w:sz w:val="70"/>
          <w:szCs w:val="70"/>
          <w:lang w:eastAsia="zh-CN"/>
        </w:rPr>
      </w:pPr>
    </w:p>
    <w:p w14:paraId="490142D3">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243C04E">
      <w:pPr>
        <w:ind w:firstLine="640" w:firstLineChars="200"/>
        <w:jc w:val="left"/>
        <w:rPr>
          <w:rFonts w:hint="eastAsia" w:ascii="宋体" w:hAnsi="宋体" w:eastAsia="宋体" w:cs="黑体"/>
          <w:b/>
          <w:color w:val="000000"/>
          <w:kern w:val="0"/>
          <w:sz w:val="32"/>
          <w:szCs w:val="32"/>
          <w:lang w:val="en-US" w:eastAsia="zh-CN"/>
        </w:rPr>
      </w:pPr>
    </w:p>
    <w:p w14:paraId="4EAC9354">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14:paraId="27E2EE8B">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14:paraId="045AD96C"/>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168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2A4E2C"/>
    <w:rsid w:val="02405F8A"/>
    <w:rsid w:val="02A64576"/>
    <w:rsid w:val="031C69F7"/>
    <w:rsid w:val="049E1AEC"/>
    <w:rsid w:val="05195543"/>
    <w:rsid w:val="059958AD"/>
    <w:rsid w:val="06C857E7"/>
    <w:rsid w:val="08C24A73"/>
    <w:rsid w:val="0A8C6B89"/>
    <w:rsid w:val="0AFA789F"/>
    <w:rsid w:val="0DF11893"/>
    <w:rsid w:val="0EB84989"/>
    <w:rsid w:val="0F334EAC"/>
    <w:rsid w:val="10355FC1"/>
    <w:rsid w:val="11944E2C"/>
    <w:rsid w:val="12583BA5"/>
    <w:rsid w:val="12973B08"/>
    <w:rsid w:val="12E762F1"/>
    <w:rsid w:val="139F634A"/>
    <w:rsid w:val="13BA5B9C"/>
    <w:rsid w:val="168A42D1"/>
    <w:rsid w:val="18925339"/>
    <w:rsid w:val="1D903E12"/>
    <w:rsid w:val="1D97DEFF"/>
    <w:rsid w:val="1DD12460"/>
    <w:rsid w:val="1DFF72E5"/>
    <w:rsid w:val="1EBB6C6C"/>
    <w:rsid w:val="1EFC6F07"/>
    <w:rsid w:val="1F0527A6"/>
    <w:rsid w:val="1FF70178"/>
    <w:rsid w:val="21CE3694"/>
    <w:rsid w:val="22AC03C2"/>
    <w:rsid w:val="236E69A3"/>
    <w:rsid w:val="23D305B4"/>
    <w:rsid w:val="24F720F0"/>
    <w:rsid w:val="27C1265E"/>
    <w:rsid w:val="283B15FE"/>
    <w:rsid w:val="29D97D30"/>
    <w:rsid w:val="2D7F7AE5"/>
    <w:rsid w:val="2E24038A"/>
    <w:rsid w:val="2EBC05C2"/>
    <w:rsid w:val="2FDF85B8"/>
    <w:rsid w:val="2FFFEE04"/>
    <w:rsid w:val="31733360"/>
    <w:rsid w:val="31C95635"/>
    <w:rsid w:val="34DF85B0"/>
    <w:rsid w:val="34E02B31"/>
    <w:rsid w:val="3A836438"/>
    <w:rsid w:val="3B8F36BC"/>
    <w:rsid w:val="43424539"/>
    <w:rsid w:val="43EB5BA5"/>
    <w:rsid w:val="45943BEF"/>
    <w:rsid w:val="483E3337"/>
    <w:rsid w:val="491A08B0"/>
    <w:rsid w:val="491FF225"/>
    <w:rsid w:val="4ABF34BD"/>
    <w:rsid w:val="4EC310A1"/>
    <w:rsid w:val="4FFD214C"/>
    <w:rsid w:val="528D07BF"/>
    <w:rsid w:val="5352765A"/>
    <w:rsid w:val="56551179"/>
    <w:rsid w:val="5777D4F5"/>
    <w:rsid w:val="57F22B6F"/>
    <w:rsid w:val="58EA204C"/>
    <w:rsid w:val="59DD8326"/>
    <w:rsid w:val="5BA77DD1"/>
    <w:rsid w:val="5BB10BFF"/>
    <w:rsid w:val="5C292E8C"/>
    <w:rsid w:val="5CAB38A1"/>
    <w:rsid w:val="5CE84AF5"/>
    <w:rsid w:val="5D0336DD"/>
    <w:rsid w:val="5D5C71A2"/>
    <w:rsid w:val="5DEF592A"/>
    <w:rsid w:val="5EAF7FB0"/>
    <w:rsid w:val="5ED1145A"/>
    <w:rsid w:val="5FC6BB1E"/>
    <w:rsid w:val="5FF720F1"/>
    <w:rsid w:val="5FF72EF8"/>
    <w:rsid w:val="60034DFA"/>
    <w:rsid w:val="60582830"/>
    <w:rsid w:val="622964C1"/>
    <w:rsid w:val="673C07B9"/>
    <w:rsid w:val="67FF5C0B"/>
    <w:rsid w:val="6B30405F"/>
    <w:rsid w:val="6BAA4A2F"/>
    <w:rsid w:val="6C262F44"/>
    <w:rsid w:val="6DDD3AD6"/>
    <w:rsid w:val="6DDEC5C0"/>
    <w:rsid w:val="6E52221F"/>
    <w:rsid w:val="6EFC0924"/>
    <w:rsid w:val="6FB74722"/>
    <w:rsid w:val="6FE67AC9"/>
    <w:rsid w:val="6FEF8B7E"/>
    <w:rsid w:val="70983CE4"/>
    <w:rsid w:val="715B4498"/>
    <w:rsid w:val="717FE77F"/>
    <w:rsid w:val="71A6591B"/>
    <w:rsid w:val="732E0930"/>
    <w:rsid w:val="737D59BA"/>
    <w:rsid w:val="737F32B1"/>
    <w:rsid w:val="73875960"/>
    <w:rsid w:val="73BD3FCA"/>
    <w:rsid w:val="7491561A"/>
    <w:rsid w:val="765D3A06"/>
    <w:rsid w:val="76D37650"/>
    <w:rsid w:val="776BDA01"/>
    <w:rsid w:val="77C37683"/>
    <w:rsid w:val="79DA55B2"/>
    <w:rsid w:val="79FF515B"/>
    <w:rsid w:val="7AB91F99"/>
    <w:rsid w:val="7B580C40"/>
    <w:rsid w:val="7BA619AB"/>
    <w:rsid w:val="7BF07BD0"/>
    <w:rsid w:val="7CBC51FE"/>
    <w:rsid w:val="7D0A71A4"/>
    <w:rsid w:val="7DFBFF20"/>
    <w:rsid w:val="7E9E1962"/>
    <w:rsid w:val="7E9F11B4"/>
    <w:rsid w:val="7EF4298E"/>
    <w:rsid w:val="7F37EC1E"/>
    <w:rsid w:val="7F7C0DDA"/>
    <w:rsid w:val="7F7DCD9D"/>
    <w:rsid w:val="7F970A6F"/>
    <w:rsid w:val="7FC1FFF3"/>
    <w:rsid w:val="7FC69637"/>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21</Pages>
  <Words>9496</Words>
  <Characters>10154</Characters>
  <Lines>63</Lines>
  <Paragraphs>18</Paragraphs>
  <TotalTime>2</TotalTime>
  <ScaleCrop>false</ScaleCrop>
  <LinksUpToDate>false</LinksUpToDate>
  <CharactersWithSpaces>10179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瑛～</cp:lastModifiedBy>
  <cp:lastPrinted>2024-08-11T02:20:00Z</cp:lastPrinted>
  <dcterms:modified xsi:type="dcterms:W3CDTF">2025-09-25T01:04:51Z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7300A697199D42A4909C7769B34561F9_13</vt:lpwstr>
  </property>
  <property fmtid="{D5CDD505-2E9C-101B-9397-08002B2CF9AE}" pid="4" name="KSOTemplateDocerSaveRecord">
    <vt:lpwstr>eyJoZGlkIjoiYmZjM2ZmNTNlNjFiMWIxZThhZTVhMDJmMGFlYzBjMzEiLCJ1c2VySWQiOiI3ODczNjY3ODIifQ==</vt:lpwstr>
  </property>
</Properties>
</file>