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君山分局</w:t>
      </w:r>
      <w:r>
        <w:rPr>
          <w:rFonts w:hint="eastAsia" w:ascii="方正小标宋_GBK" w:hAnsi="方正小标宋_GBK" w:eastAsia="方正小标宋_GBK" w:cs="方正小标宋_GBK"/>
          <w:sz w:val="84"/>
          <w:szCs w:val="84"/>
        </w:rPr>
        <w:t>部门（单位）部门决算</w:t>
      </w: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w:t>
      </w:r>
      <w:r>
        <w:rPr>
          <w:rFonts w:hint="eastAsia" w:hAnsi="黑体" w:cs="黑体"/>
          <w:b w:val="0"/>
          <w:bCs/>
          <w:sz w:val="28"/>
          <w:szCs w:val="28"/>
          <w:lang w:eastAsia="zh-CN"/>
        </w:rPr>
        <w:t>君山分局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w:t>
      </w:r>
      <w:r>
        <w:rPr>
          <w:rFonts w:hint="eastAsia" w:ascii="方正小标宋_GBK" w:hAnsi="方正小标宋_GBK" w:eastAsia="方正小标宋_GBK" w:cs="方正小标宋_GBK"/>
          <w:sz w:val="84"/>
          <w:szCs w:val="84"/>
          <w:lang w:eastAsia="zh-CN"/>
        </w:rPr>
        <w:t>君山分局部门（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1469560B">
      <w:pPr>
        <w:pStyle w:val="3"/>
        <w:rPr>
          <w:rFonts w:hint="eastAsia" w:ascii="方正小标宋_GBK" w:hAnsi="方正小标宋_GBK" w:eastAsia="方正小标宋_GBK" w:cs="方正小标宋_GBK"/>
          <w:sz w:val="84"/>
          <w:szCs w:val="84"/>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A89A3B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rPr>
        <w:t>负责辖区内环境规划、环境管理、环境宣传教育、环境监察等工作</w:t>
      </w:r>
      <w:r>
        <w:rPr>
          <w:rFonts w:hint="eastAsia" w:ascii="Times New Roman" w:hAnsi="Times New Roman" w:eastAsia="仿宋_GB2312" w:cs="仿宋_GB2312"/>
          <w:bCs/>
          <w:kern w:val="0"/>
          <w:sz w:val="32"/>
          <w:szCs w:val="32"/>
          <w:lang w:eastAsia="zh-CN"/>
        </w:rPr>
        <w:t>，会同有关部门编制并监督实施重点区域、流域、饮用水水源地保护等生态环境规划和水、大气环境、声环境功能区划。</w:t>
      </w:r>
    </w:p>
    <w:p w14:paraId="274BAF0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（二）负责</w:t>
      </w:r>
      <w:r>
        <w:rPr>
          <w:rFonts w:hint="eastAsia" w:ascii="Times New Roman" w:hAnsi="Times New Roman" w:eastAsia="仿宋_GB2312" w:cs="仿宋_GB2312"/>
          <w:bCs/>
          <w:kern w:val="0"/>
          <w:sz w:val="32"/>
          <w:szCs w:val="32"/>
          <w:lang w:val="en-US" w:eastAsia="zh-CN"/>
        </w:rPr>
        <w:t>君山区</w:t>
      </w:r>
      <w:r>
        <w:rPr>
          <w:rFonts w:hint="eastAsia" w:ascii="Times New Roman" w:hAnsi="Times New Roman" w:eastAsia="仿宋_GB2312" w:cs="仿宋_GB2312"/>
          <w:bCs/>
          <w:kern w:val="0"/>
          <w:sz w:val="32"/>
          <w:szCs w:val="32"/>
          <w:lang w:eastAsia="zh-CN"/>
        </w:rPr>
        <w:t>生态环境问题的统筹协调和监督管理。</w:t>
      </w:r>
    </w:p>
    <w:p w14:paraId="60BCDB7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（三）负责落实减排目标。</w:t>
      </w:r>
    </w:p>
    <w:p w14:paraId="1236C19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lang w:eastAsia="zh-CN"/>
        </w:rPr>
        <w:t>）负责环境污染防治的监督管理。</w:t>
      </w:r>
    </w:p>
    <w:p w14:paraId="3AB56FC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lang w:eastAsia="zh-CN"/>
        </w:rPr>
        <w:t>）指导协调和监督生态保护修复工作。</w:t>
      </w:r>
    </w:p>
    <w:p w14:paraId="0D1B668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bCs/>
          <w:kern w:val="0"/>
          <w:sz w:val="32"/>
          <w:szCs w:val="32"/>
          <w:lang w:eastAsia="zh-CN"/>
        </w:rPr>
        <w:t>）负责核与辐射安全的监督管理。</w:t>
      </w:r>
    </w:p>
    <w:p w14:paraId="1ECFD7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bCs/>
          <w:kern w:val="0"/>
          <w:sz w:val="32"/>
          <w:szCs w:val="32"/>
          <w:lang w:eastAsia="zh-CN"/>
        </w:rPr>
        <w:t>）负责生态环境准入的监督管理。</w:t>
      </w:r>
    </w:p>
    <w:p w14:paraId="14E410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八</w:t>
      </w:r>
      <w:r>
        <w:rPr>
          <w:rFonts w:hint="eastAsia" w:ascii="Times New Roman" w:hAnsi="Times New Roman" w:eastAsia="仿宋_GB2312" w:cs="仿宋_GB2312"/>
          <w:bCs/>
          <w:kern w:val="0"/>
          <w:sz w:val="32"/>
          <w:szCs w:val="32"/>
          <w:lang w:eastAsia="zh-CN"/>
        </w:rPr>
        <w:t>）负责重点污染源监测工作。</w:t>
      </w:r>
    </w:p>
    <w:p w14:paraId="0534EA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九</w:t>
      </w:r>
      <w:r>
        <w:rPr>
          <w:rFonts w:hint="eastAsia" w:ascii="Times New Roman" w:hAnsi="Times New Roman" w:eastAsia="仿宋_GB2312" w:cs="仿宋_GB2312"/>
          <w:bCs/>
          <w:kern w:val="0"/>
          <w:sz w:val="32"/>
          <w:szCs w:val="32"/>
          <w:lang w:eastAsia="zh-CN"/>
        </w:rPr>
        <w:t>）负责应对气候变化工作。</w:t>
      </w:r>
    </w:p>
    <w:p w14:paraId="1ACD233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（十）配合开展生态环境保护督察工作。</w:t>
      </w:r>
    </w:p>
    <w:p w14:paraId="092F524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（十一）统一监督生态环境执法工作。</w:t>
      </w:r>
    </w:p>
    <w:p w14:paraId="2CE8367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（十二）组织指导和协调生态环境宣传教育工作，贯彻实施生态环境保护宣传教育纲要，推动社会组织和公众参与生态环境保护。</w:t>
      </w:r>
    </w:p>
    <w:p w14:paraId="6B7928B6">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（十三）完成</w:t>
      </w:r>
      <w:r>
        <w:rPr>
          <w:rFonts w:hint="eastAsia" w:ascii="Times New Roman" w:hAnsi="Times New Roman" w:eastAsia="仿宋_GB2312" w:cs="仿宋_GB2312"/>
          <w:bCs/>
          <w:kern w:val="0"/>
          <w:sz w:val="32"/>
          <w:szCs w:val="32"/>
          <w:lang w:val="en-US" w:eastAsia="zh-CN"/>
        </w:rPr>
        <w:t>市生态环境局</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区委、区政府</w:t>
      </w:r>
      <w:r>
        <w:rPr>
          <w:rFonts w:hint="eastAsia" w:ascii="Times New Roman" w:hAnsi="Times New Roman" w:eastAsia="仿宋_GB2312" w:cs="仿宋_GB2312"/>
          <w:bCs/>
          <w:kern w:val="0"/>
          <w:sz w:val="32"/>
          <w:szCs w:val="32"/>
          <w:lang w:eastAsia="zh-CN"/>
        </w:rPr>
        <w:t>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（一）内设机构设置。岳阳市生态环境局</w:t>
      </w:r>
      <w:r>
        <w:rPr>
          <w:rFonts w:hint="eastAsia" w:ascii="Times New Roman" w:hAnsi="Times New Roman" w:eastAsia="仿宋_GB2312" w:cs="仿宋_GB2312"/>
          <w:bCs/>
          <w:kern w:val="0"/>
          <w:sz w:val="32"/>
          <w:szCs w:val="32"/>
          <w:lang w:eastAsia="zh-CN"/>
        </w:rPr>
        <w:t>君山分局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color w:val="auto"/>
          <w:kern w:val="0"/>
          <w:sz w:val="32"/>
          <w:szCs w:val="32"/>
          <w:lang w:eastAsia="zh-CN"/>
        </w:rPr>
        <w:t>办公室、</w:t>
      </w:r>
      <w:r>
        <w:rPr>
          <w:rFonts w:hint="eastAsia" w:ascii="Times New Roman" w:hAnsi="Times New Roman" w:eastAsia="仿宋_GB2312" w:cs="仿宋_GB2312"/>
          <w:bCs/>
          <w:kern w:val="0"/>
          <w:sz w:val="32"/>
          <w:szCs w:val="32"/>
          <w:lang w:eastAsia="zh-CN"/>
        </w:rPr>
        <w:t>管理股、监</w:t>
      </w:r>
      <w:r>
        <w:rPr>
          <w:rFonts w:hint="eastAsia" w:ascii="Times New Roman" w:hAnsi="Times New Roman" w:eastAsia="仿宋_GB2312" w:cs="仿宋_GB2312"/>
          <w:bCs/>
          <w:color w:val="auto"/>
          <w:kern w:val="0"/>
          <w:sz w:val="32"/>
          <w:szCs w:val="32"/>
          <w:lang w:eastAsia="zh-CN"/>
        </w:rPr>
        <w:t>察大队、</w:t>
      </w:r>
      <w:r>
        <w:rPr>
          <w:rFonts w:hint="eastAsia" w:ascii="Times New Roman" w:hAnsi="Times New Roman" w:eastAsia="仿宋_GB2312" w:cs="仿宋_GB2312"/>
          <w:bCs/>
          <w:color w:val="auto"/>
          <w:kern w:val="0"/>
          <w:sz w:val="32"/>
          <w:szCs w:val="32"/>
          <w:lang w:val="en-US" w:eastAsia="zh-CN"/>
        </w:rPr>
        <w:t>党建办</w:t>
      </w:r>
      <w:r>
        <w:rPr>
          <w:rFonts w:hint="eastAsia" w:ascii="Times New Roman" w:hAnsi="Times New Roman" w:eastAsia="仿宋_GB2312" w:cs="仿宋_GB2312"/>
          <w:bCs/>
          <w:kern w:val="0"/>
          <w:sz w:val="32"/>
          <w:szCs w:val="32"/>
        </w:rPr>
        <w:t>4个股室。</w:t>
      </w:r>
      <w:r>
        <w:rPr>
          <w:rFonts w:hint="eastAsia" w:ascii="Times New Roman" w:hAnsi="Times New Roman" w:eastAsia="仿宋_GB2312" w:cs="仿宋_GB2312"/>
          <w:bCs/>
          <w:kern w:val="0"/>
          <w:sz w:val="32"/>
          <w:szCs w:val="32"/>
          <w:lang w:eastAsia="zh-CN"/>
        </w:rPr>
        <w:t>岳阳市生态环境局君山分局属于独立编制，核算机构数1个，</w:t>
      </w:r>
      <w:r>
        <w:rPr>
          <w:rFonts w:hint="eastAsia" w:ascii="Times New Roman" w:hAnsi="Times New Roman" w:eastAsia="仿宋_GB2312" w:cs="仿宋_GB2312"/>
          <w:bCs/>
          <w:color w:val="auto"/>
          <w:kern w:val="0"/>
          <w:sz w:val="32"/>
          <w:szCs w:val="32"/>
          <w:lang w:eastAsia="zh-CN"/>
        </w:rPr>
        <w:t>属于岳阳市生态环境局的派出机构</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eastAsia="zh-CN"/>
        </w:rPr>
        <w:t>核定</w:t>
      </w:r>
      <w:r>
        <w:rPr>
          <w:rFonts w:hint="eastAsia" w:ascii="Times New Roman" w:hAnsi="Times New Roman" w:eastAsia="仿宋_GB2312" w:cs="仿宋_GB2312"/>
          <w:bCs/>
          <w:color w:val="auto"/>
          <w:kern w:val="0"/>
          <w:sz w:val="32"/>
          <w:szCs w:val="32"/>
          <w:lang w:eastAsia="zh-CN"/>
        </w:rPr>
        <w:t>编制数为</w:t>
      </w:r>
      <w:r>
        <w:rPr>
          <w:rFonts w:hint="eastAsia" w:ascii="Times New Roman" w:hAnsi="Times New Roman" w:eastAsia="仿宋_GB2312" w:cs="仿宋_GB2312"/>
          <w:bCs/>
          <w:color w:val="auto"/>
          <w:kern w:val="0"/>
          <w:sz w:val="32"/>
          <w:szCs w:val="32"/>
          <w:lang w:val="en-US" w:eastAsia="zh-CN"/>
        </w:rPr>
        <w:t>12</w:t>
      </w:r>
      <w:r>
        <w:rPr>
          <w:rFonts w:hint="eastAsia" w:ascii="Times New Roman" w:hAnsi="Times New Roman" w:eastAsia="仿宋_GB2312" w:cs="仿宋_GB2312"/>
          <w:bCs/>
          <w:color w:val="auto"/>
          <w:kern w:val="0"/>
          <w:sz w:val="32"/>
          <w:szCs w:val="32"/>
          <w:lang w:eastAsia="zh-CN"/>
        </w:rPr>
        <w:t>人，现在实有编制人员</w:t>
      </w:r>
      <w:r>
        <w:rPr>
          <w:rFonts w:hint="eastAsia" w:ascii="Times New Roman" w:hAnsi="Times New Roman" w:eastAsia="仿宋_GB2312" w:cs="仿宋_GB2312"/>
          <w:bCs/>
          <w:color w:val="auto"/>
          <w:kern w:val="0"/>
          <w:sz w:val="32"/>
          <w:szCs w:val="32"/>
          <w:lang w:val="en-US" w:eastAsia="zh-CN"/>
        </w:rPr>
        <w:t>10</w:t>
      </w:r>
      <w:r>
        <w:rPr>
          <w:rFonts w:hint="eastAsia" w:ascii="Times New Roman" w:hAnsi="Times New Roman" w:eastAsia="仿宋_GB2312" w:cs="仿宋_GB2312"/>
          <w:bCs/>
          <w:kern w:val="0"/>
          <w:sz w:val="32"/>
          <w:szCs w:val="32"/>
          <w:lang w:eastAsia="zh-CN"/>
        </w:rPr>
        <w:t>人。</w:t>
      </w:r>
      <w:r>
        <w:rPr>
          <w:rFonts w:hint="eastAsia" w:ascii="Times New Roman" w:hAnsi="Times New Roman" w:eastAsia="仿宋_GB2312" w:cs="仿宋_GB2312"/>
          <w:bCs/>
          <w:color w:val="auto"/>
          <w:kern w:val="0"/>
          <w:sz w:val="32"/>
          <w:szCs w:val="32"/>
          <w:lang w:val="en-US" w:eastAsia="zh-CN"/>
        </w:rPr>
        <w:t>退休</w:t>
      </w:r>
      <w:r>
        <w:rPr>
          <w:rFonts w:hint="eastAsia" w:ascii="Times New Roman" w:hAnsi="Times New Roman" w:eastAsia="仿宋_GB2312" w:cs="仿宋_GB2312"/>
          <w:bCs/>
          <w:color w:val="auto"/>
          <w:kern w:val="0"/>
          <w:sz w:val="32"/>
          <w:szCs w:val="32"/>
          <w:lang w:eastAsia="zh-CN"/>
        </w:rPr>
        <w:t>人员</w:t>
      </w:r>
      <w:r>
        <w:rPr>
          <w:rFonts w:hint="eastAsia" w:ascii="Times New Roman" w:hAnsi="Times New Roman" w:eastAsia="仿宋_GB2312" w:cs="仿宋_GB2312"/>
          <w:bCs/>
          <w:color w:val="auto"/>
          <w:kern w:val="0"/>
          <w:sz w:val="32"/>
          <w:szCs w:val="32"/>
          <w:lang w:val="en-US" w:eastAsia="zh-CN"/>
        </w:rPr>
        <w:t>4</w:t>
      </w:r>
      <w:r>
        <w:rPr>
          <w:rFonts w:hint="eastAsia" w:ascii="Times New Roman" w:hAnsi="Times New Roman" w:eastAsia="仿宋_GB2312" w:cs="仿宋_GB2312"/>
          <w:bCs/>
          <w:color w:val="auto"/>
          <w:kern w:val="0"/>
          <w:sz w:val="32"/>
          <w:szCs w:val="32"/>
          <w:lang w:eastAsia="zh-CN"/>
        </w:rPr>
        <w:t>人。</w:t>
      </w:r>
    </w:p>
    <w:p w14:paraId="4B70987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rPr>
        <w:t>岳阳市生态环境局</w:t>
      </w:r>
      <w:r>
        <w:rPr>
          <w:rFonts w:hint="eastAsia" w:ascii="Times New Roman" w:hAnsi="Times New Roman" w:eastAsia="仿宋_GB2312" w:cs="仿宋_GB2312"/>
          <w:bCs/>
          <w:kern w:val="0"/>
          <w:sz w:val="32"/>
          <w:szCs w:val="32"/>
          <w:lang w:eastAsia="zh-CN"/>
        </w:rPr>
        <w:t>君山分局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0DD3E46C">
      <w:pPr>
        <w:jc w:val="left"/>
        <w:rPr>
          <w:rFonts w:hint="eastAsia" w:ascii="Times New Roman" w:hAnsi="Times New Roman" w:eastAsia="仿宋_GB2312" w:cs="仿宋_GB2312"/>
          <w:bCs/>
          <w:kern w:val="0"/>
          <w:sz w:val="32"/>
          <w:szCs w:val="32"/>
        </w:rPr>
      </w:pPr>
    </w:p>
    <w:p w14:paraId="38152785"/>
    <w:p w14:paraId="26B0AA77">
      <w:pPr>
        <w:pStyle w:val="2"/>
      </w:pPr>
    </w:p>
    <w:p w14:paraId="7991FFBA">
      <w:pPr>
        <w:pStyle w:val="3"/>
      </w:pPr>
    </w:p>
    <w:p w14:paraId="7FFB1518"/>
    <w:p w14:paraId="5B1D6CBC"/>
    <w:p w14:paraId="01206267">
      <w:pPr>
        <w:pStyle w:val="2"/>
      </w:pPr>
    </w:p>
    <w:p w14:paraId="0464CF32">
      <w:pPr>
        <w:pStyle w:val="3"/>
      </w:pPr>
    </w:p>
    <w:p w14:paraId="78F2E1F2"/>
    <w:p w14:paraId="7A6722B9">
      <w:pPr>
        <w:pStyle w:val="2"/>
      </w:pPr>
    </w:p>
    <w:p w14:paraId="7D6C31E4">
      <w:pPr>
        <w:pStyle w:val="2"/>
      </w:pPr>
    </w:p>
    <w:p w14:paraId="056E4ECA">
      <w:pPr>
        <w:pStyle w:val="3"/>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7A44A82E">
      <w:pPr>
        <w:pStyle w:val="14"/>
        <w:jc w:val="center"/>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417367C1">
      <w:pPr>
        <w:pStyle w:val="14"/>
        <w:jc w:val="center"/>
        <w:rPr>
          <w:rFonts w:hint="eastAsia" w:ascii="方正小标宋_GBK" w:hAnsi="方正小标宋_GBK" w:eastAsia="方正小标宋_GBK" w:cs="方正小标宋_GBK"/>
          <w:sz w:val="70"/>
          <w:szCs w:val="70"/>
        </w:rPr>
      </w:pPr>
    </w:p>
    <w:p w14:paraId="5EF1049C">
      <w:pPr>
        <w:pStyle w:val="14"/>
        <w:jc w:val="center"/>
        <w:rPr>
          <w:rFonts w:hint="eastAsia" w:ascii="方正小标宋_GBK" w:hAnsi="方正小标宋_GBK" w:eastAsia="方正小标宋_GBK" w:cs="方正小标宋_GBK"/>
          <w:sz w:val="70"/>
          <w:szCs w:val="70"/>
        </w:rPr>
      </w:pPr>
    </w:p>
    <w:p w14:paraId="7E4B3CF9">
      <w:pPr>
        <w:pStyle w:val="14"/>
        <w:jc w:val="center"/>
        <w:rPr>
          <w:rFonts w:hint="eastAsia" w:ascii="方正小标宋_GBK" w:hAnsi="方正小标宋_GBK" w:eastAsia="方正小标宋_GBK" w:cs="方正小标宋_GBK"/>
          <w:sz w:val="70"/>
          <w:szCs w:val="70"/>
        </w:rPr>
      </w:pPr>
    </w:p>
    <w:p w14:paraId="514C0722">
      <w:pPr>
        <w:pStyle w:val="14"/>
        <w:jc w:val="center"/>
        <w:rPr>
          <w:rFonts w:hint="eastAsia" w:ascii="方正小标宋_GBK" w:hAnsi="方正小标宋_GBK" w:eastAsia="方正小标宋_GBK" w:cs="方正小标宋_GBK"/>
          <w:sz w:val="70"/>
          <w:szCs w:val="70"/>
        </w:rPr>
      </w:pP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年度收、支总计1687.3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eastAsia="zh-CN"/>
        </w:rPr>
        <w:t>增加420.60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33.20</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color w:val="auto"/>
          <w:sz w:val="32"/>
          <w:szCs w:val="32"/>
          <w:lang w:val="en-US" w:eastAsia="zh-CN"/>
        </w:rPr>
        <w:t>年人员经费调标增加,</w:t>
      </w:r>
      <w:bookmarkStart w:id="0" w:name="_GoBack"/>
      <w:bookmarkEnd w:id="0"/>
      <w:r>
        <w:rPr>
          <w:rFonts w:hint="eastAsia" w:ascii="仿宋_GB2312" w:hAnsi="仿宋_GB2312" w:eastAsia="仿宋_GB2312" w:cs="仿宋_GB2312"/>
          <w:sz w:val="32"/>
          <w:szCs w:val="32"/>
          <w:lang w:val="en-US" w:eastAsia="zh-CN"/>
        </w:rPr>
        <w:t>东洞庭湖滨带君山区水环境综合治理项目增加。</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年度收入合计1470.84万元，其中：财政拨款收入295.69万元，占</w:t>
      </w:r>
      <w:r>
        <w:rPr>
          <w:rFonts w:hint="eastAsia" w:ascii="仿宋_GB2312" w:hAnsi="仿宋_GB2312" w:eastAsia="仿宋_GB2312" w:cs="仿宋_GB2312"/>
          <w:sz w:val="32"/>
          <w:szCs w:val="32"/>
          <w:lang w:val="en-US" w:eastAsia="zh-CN"/>
        </w:rPr>
        <w:t>20.10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%；其他收入1175.15万元，占</w:t>
      </w:r>
      <w:r>
        <w:rPr>
          <w:rFonts w:hint="eastAsia" w:ascii="仿宋_GB2312" w:hAnsi="仿宋_GB2312" w:eastAsia="仿宋_GB2312" w:cs="仿宋_GB2312"/>
          <w:sz w:val="32"/>
          <w:szCs w:val="32"/>
          <w:lang w:val="en-US" w:eastAsia="zh-CN"/>
        </w:rPr>
        <w:t>79.90</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年度支出合计1533.45万元，其中：基本支出254.21万元，占</w:t>
      </w:r>
      <w:r>
        <w:rPr>
          <w:rFonts w:hint="eastAsia" w:ascii="仿宋_GB2312" w:hAnsi="仿宋_GB2312" w:eastAsia="仿宋_GB2312" w:cs="仿宋_GB2312"/>
          <w:sz w:val="32"/>
          <w:szCs w:val="32"/>
          <w:lang w:val="en-US" w:eastAsia="zh-CN"/>
        </w:rPr>
        <w:t>16.58</w:t>
      </w:r>
      <w:r>
        <w:rPr>
          <w:rFonts w:hint="eastAsia" w:ascii="仿宋_GB2312" w:hAnsi="仿宋_GB2312" w:eastAsia="仿宋_GB2312" w:cs="仿宋_GB2312"/>
          <w:sz w:val="32"/>
          <w:szCs w:val="32"/>
        </w:rPr>
        <w:t>%；项目支出1279.24万元，占</w:t>
      </w:r>
      <w:r>
        <w:rPr>
          <w:rFonts w:hint="eastAsia" w:ascii="仿宋_GB2312" w:hAnsi="仿宋_GB2312" w:eastAsia="仿宋_GB2312" w:cs="仿宋_GB2312"/>
          <w:sz w:val="32"/>
          <w:szCs w:val="32"/>
          <w:lang w:val="en-US" w:eastAsia="zh-CN"/>
        </w:rPr>
        <w:t>83.42</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年度财政拨款收、支总计295.69万元，与上年相比，增加</w:t>
      </w:r>
      <w:r>
        <w:rPr>
          <w:rFonts w:hint="eastAsia" w:ascii="仿宋_GB2312" w:hAnsi="仿宋_GB2312" w:eastAsia="仿宋_GB2312" w:cs="仿宋_GB2312"/>
          <w:sz w:val="32"/>
          <w:szCs w:val="32"/>
          <w:lang w:val="en-US" w:eastAsia="zh-CN"/>
        </w:rPr>
        <w:t>42.55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16.81</w:t>
      </w:r>
      <w:r>
        <w:rPr>
          <w:rFonts w:hint="eastAsia" w:ascii="仿宋_GB2312" w:hAnsi="仿宋_GB2312" w:eastAsia="仿宋_GB2312" w:cs="仿宋_GB2312"/>
          <w:sz w:val="32"/>
          <w:szCs w:val="32"/>
        </w:rPr>
        <w:t>%，主要是因为2024年人员经费调标增加。</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年度财政拨款支出295.69万元，占本年支出合计的</w:t>
      </w:r>
      <w:r>
        <w:rPr>
          <w:rFonts w:hint="eastAsia" w:ascii="仿宋_GB2312" w:hAnsi="仿宋_GB2312" w:eastAsia="仿宋_GB2312" w:cs="仿宋_GB2312"/>
          <w:sz w:val="32"/>
          <w:szCs w:val="32"/>
          <w:lang w:val="en-US" w:eastAsia="zh-CN"/>
        </w:rPr>
        <w:t>19.28</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42.55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16.81</w:t>
      </w:r>
      <w:r>
        <w:rPr>
          <w:rFonts w:hint="eastAsia" w:ascii="仿宋_GB2312" w:hAnsi="仿宋_GB2312" w:eastAsia="仿宋_GB2312" w:cs="仿宋_GB2312"/>
          <w:sz w:val="32"/>
          <w:szCs w:val="32"/>
        </w:rPr>
        <w:t>%，主要是因为2024年人员经费调标增加。</w:t>
      </w:r>
    </w:p>
    <w:p w14:paraId="66C54C8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年度财政拨款支出295.69万元，主要用于以下方面：社会保障和就业（类）支出19.35万元，占</w:t>
      </w:r>
      <w:r>
        <w:rPr>
          <w:rFonts w:hint="eastAsia" w:ascii="仿宋_GB2312" w:hAnsi="仿宋_GB2312" w:eastAsia="仿宋_GB2312" w:cs="仿宋_GB2312"/>
          <w:sz w:val="32"/>
          <w:szCs w:val="32"/>
          <w:lang w:val="en-US" w:eastAsia="zh-CN"/>
        </w:rPr>
        <w:t>6.54</w:t>
      </w:r>
      <w:r>
        <w:rPr>
          <w:rFonts w:hint="eastAsia" w:ascii="仿宋_GB2312" w:hAnsi="仿宋_GB2312" w:eastAsia="仿宋_GB2312" w:cs="仿宋_GB2312"/>
          <w:sz w:val="32"/>
          <w:szCs w:val="32"/>
        </w:rPr>
        <w:t>%；卫生健康（类）支出10.88万元，占3.68%；节能环保（类）支出252.8</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万元，占85.5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%；住房保障（类）支出12.66万元，占</w:t>
      </w:r>
      <w:r>
        <w:rPr>
          <w:rFonts w:hint="eastAsia" w:ascii="仿宋_GB2312" w:hAnsi="仿宋_GB2312" w:eastAsia="仿宋_GB2312" w:cs="仿宋_GB2312"/>
          <w:sz w:val="32"/>
          <w:szCs w:val="32"/>
          <w:lang w:val="en-US" w:eastAsia="zh-CN"/>
        </w:rPr>
        <w:t>4.28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年度财政拨款支出年初预算数为21</w:t>
      </w:r>
      <w:r>
        <w:rPr>
          <w:rFonts w:hint="eastAsia" w:ascii="仿宋_GB2312" w:hAnsi="仿宋_GB2312" w:eastAsia="仿宋_GB2312" w:cs="仿宋_GB2312"/>
          <w:sz w:val="32"/>
          <w:szCs w:val="32"/>
          <w:lang w:val="en-US" w:eastAsia="zh-CN"/>
        </w:rPr>
        <w:t>5.22</w:t>
      </w:r>
      <w:r>
        <w:rPr>
          <w:rFonts w:hint="eastAsia" w:ascii="仿宋_GB2312" w:hAnsi="仿宋_GB2312" w:eastAsia="仿宋_GB2312" w:cs="仿宋_GB2312"/>
          <w:sz w:val="32"/>
          <w:szCs w:val="32"/>
        </w:rPr>
        <w:t>万元，支出决算数为295.69万元，完成年初预算的</w:t>
      </w:r>
      <w:r>
        <w:rPr>
          <w:rFonts w:hint="eastAsia" w:ascii="仿宋_GB2312" w:hAnsi="仿宋_GB2312" w:eastAsia="仿宋_GB2312" w:cs="仿宋_GB2312"/>
          <w:sz w:val="32"/>
          <w:szCs w:val="32"/>
          <w:lang w:val="en-US" w:eastAsia="zh-CN"/>
        </w:rPr>
        <w:t>137.39</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年初预算为18.07万元，支出决算为17.86万元，完成年初预算的</w:t>
      </w:r>
      <w:r>
        <w:rPr>
          <w:rFonts w:hint="eastAsia" w:ascii="仿宋_GB2312" w:hAnsi="仿宋_GB2312" w:eastAsia="仿宋_GB2312" w:cs="仿宋_GB2312"/>
          <w:sz w:val="32"/>
          <w:szCs w:val="32"/>
          <w:lang w:val="en-US" w:eastAsia="zh-CN"/>
        </w:rPr>
        <w:t>98.84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年初预算数的主要原因是：2024年执法改革</w:t>
      </w:r>
      <w:r>
        <w:rPr>
          <w:rFonts w:hint="eastAsia" w:ascii="仿宋_GB2312" w:hAnsi="仿宋_GB2312" w:eastAsia="仿宋_GB2312" w:cs="仿宋_GB2312"/>
          <w:sz w:val="32"/>
          <w:szCs w:val="32"/>
          <w:lang w:val="en-US" w:eastAsia="zh-CN"/>
        </w:rPr>
        <w:t>,人员调出减少。</w:t>
      </w:r>
    </w:p>
    <w:p w14:paraId="37A3CD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、社会保障和就业（类）残疾人事业（款）其他残疾人事业支出（项）。</w:t>
      </w:r>
    </w:p>
    <w:p w14:paraId="7909D09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0A3E3D7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、卫生健康（类）行政事业单位医疗（款）行政单位医疗（项）。</w:t>
      </w:r>
    </w:p>
    <w:p w14:paraId="3F9D37A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6.74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99.70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5555E44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794354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6.85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60.73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年初预算数的主要原因是：2024年执法改革</w:t>
      </w:r>
      <w:r>
        <w:rPr>
          <w:rFonts w:hint="eastAsia" w:ascii="仿宋_GB2312" w:hAnsi="仿宋_GB2312" w:eastAsia="仿宋_GB2312" w:cs="仿宋_GB2312"/>
          <w:sz w:val="32"/>
          <w:szCs w:val="32"/>
          <w:lang w:val="en-US" w:eastAsia="zh-CN"/>
        </w:rPr>
        <w:t>,人员调出减少。</w:t>
      </w:r>
    </w:p>
    <w:p w14:paraId="2B0655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022206B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169.01</w:t>
      </w:r>
      <w:r>
        <w:rPr>
          <w:rFonts w:hint="eastAsia" w:ascii="仿宋_GB2312" w:hAnsi="仿宋_GB2312" w:eastAsia="仿宋_GB2312" w:cs="仿宋_GB2312"/>
          <w:sz w:val="32"/>
          <w:szCs w:val="32"/>
        </w:rPr>
        <w:t>万元，支出决算为166.64万元，完成年初预算的</w:t>
      </w:r>
      <w:r>
        <w:rPr>
          <w:rFonts w:hint="eastAsia" w:ascii="仿宋_GB2312" w:hAnsi="仿宋_GB2312" w:eastAsia="仿宋_GB2312" w:cs="仿宋_GB2312"/>
          <w:sz w:val="32"/>
          <w:szCs w:val="32"/>
          <w:lang w:val="en-US" w:eastAsia="zh-CN"/>
        </w:rPr>
        <w:t>98.60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于年初预算数的主要原因是：2024年执法改革</w:t>
      </w:r>
      <w:r>
        <w:rPr>
          <w:rFonts w:hint="eastAsia" w:ascii="仿宋_GB2312" w:hAnsi="仿宋_GB2312" w:eastAsia="仿宋_GB2312" w:cs="仿宋_GB2312"/>
          <w:sz w:val="32"/>
          <w:szCs w:val="32"/>
          <w:lang w:val="en-US" w:eastAsia="zh-CN"/>
        </w:rPr>
        <w:t>,人员调出减少。</w:t>
      </w:r>
    </w:p>
    <w:p w14:paraId="6DC688F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、节能环保（类）环境保护管理事务（款）其他环境保护管理事务支出（项）。</w:t>
      </w:r>
    </w:p>
    <w:p w14:paraId="5937D97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万元，支出决算为21.25万元，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r>
        <w:rPr>
          <w:rFonts w:hint="eastAsia" w:ascii="仿宋_GB2312" w:hAnsi="仿宋_GB2312" w:eastAsia="仿宋_GB2312" w:cs="仿宋_GB2312"/>
          <w:sz w:val="32"/>
          <w:szCs w:val="32"/>
          <w:lang w:eastAsia="zh-CN"/>
        </w:rPr>
        <w:t>。</w:t>
      </w:r>
    </w:p>
    <w:p w14:paraId="1CE6ECD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、节能环保（类）环境监测与监察（款）其他环境监测与监察支出（项）。</w:t>
      </w:r>
    </w:p>
    <w:p w14:paraId="63D3FE2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万元，支出决算为2.44万元，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8BCF59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、节能环保（类）污染减排（款）生态环境执法监察（项）。</w:t>
      </w:r>
    </w:p>
    <w:p w14:paraId="1F2198F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万元，支出决算为54.51万元，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635557D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、节能环保（类）其他节能环保支出（款）其他节能环保支出（项）。</w:t>
      </w:r>
    </w:p>
    <w:p w14:paraId="3B6E297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万元，支出决算为7.96万元，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、住房保障（类）住房改革支出（款）住房公积金（项）。</w:t>
      </w:r>
    </w:p>
    <w:p w14:paraId="2F4442F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年初预算为13.06万元，支出决算为12.66万元，完成年初预算的</w:t>
      </w:r>
      <w:r>
        <w:rPr>
          <w:rFonts w:hint="eastAsia" w:ascii="仿宋_GB2312" w:hAnsi="仿宋_GB2312" w:eastAsia="仿宋_GB2312" w:cs="仿宋_GB2312"/>
          <w:sz w:val="32"/>
          <w:szCs w:val="32"/>
          <w:lang w:val="en-US" w:eastAsia="zh-CN"/>
        </w:rPr>
        <w:t>96.94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年初预算数的主要原因是：2024年执法改革</w:t>
      </w:r>
      <w:r>
        <w:rPr>
          <w:rFonts w:hint="eastAsia" w:ascii="仿宋_GB2312" w:hAnsi="仿宋_GB2312" w:eastAsia="仿宋_GB2312" w:cs="仿宋_GB2312"/>
          <w:sz w:val="32"/>
          <w:szCs w:val="32"/>
          <w:lang w:val="en-US" w:eastAsia="zh-CN"/>
        </w:rPr>
        <w:t>,人员调出减少。</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财政拨款基本支出218.42万元，其中：</w:t>
      </w:r>
    </w:p>
    <w:p w14:paraId="763B78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182.67万元，占基本支出的</w:t>
      </w:r>
      <w:r>
        <w:rPr>
          <w:rFonts w:hint="eastAsia" w:ascii="仿宋_GB2312" w:hAnsi="仿宋_GB2312" w:eastAsia="仿宋_GB2312" w:cs="仿宋_GB2312"/>
          <w:sz w:val="32"/>
          <w:szCs w:val="32"/>
          <w:lang w:val="en-US" w:eastAsia="zh-CN"/>
        </w:rPr>
        <w:t>83.63</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35.75万元，占基本支出的</w:t>
      </w:r>
      <w:r>
        <w:rPr>
          <w:rFonts w:hint="eastAsia" w:ascii="仿宋_GB2312" w:hAnsi="仿宋_GB2312" w:eastAsia="仿宋_GB2312" w:cs="仿宋_GB2312"/>
          <w:sz w:val="32"/>
          <w:szCs w:val="32"/>
          <w:lang w:val="en-US" w:eastAsia="zh-CN"/>
        </w:rPr>
        <w:t>16.37</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2.38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59.50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减少2.19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47.93</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val="en-US" w:eastAsia="zh-CN"/>
        </w:rPr>
        <w:t>接待活动减少</w:t>
      </w:r>
      <w:r>
        <w:rPr>
          <w:rFonts w:ascii="Times New Roman" w:hAnsi="Times New Roman" w:eastAsia="仿宋_GB2312" w:cs="Times New Roman"/>
          <w:sz w:val="32"/>
          <w:szCs w:val="32"/>
        </w:rPr>
        <w:t>。</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2.32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77.33</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1.56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40.21</w:t>
      </w:r>
      <w:r>
        <w:rPr>
          <w:rFonts w:ascii="Times New Roman" w:hAnsi="Times New Roman" w:eastAsia="仿宋_GB2312" w:cs="Times New Roman"/>
          <w:sz w:val="32"/>
          <w:szCs w:val="32"/>
        </w:rPr>
        <w:t>%。其中：</w:t>
      </w:r>
    </w:p>
    <w:p w14:paraId="07AF86AC">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2.32</w:t>
      </w:r>
      <w:r>
        <w:rPr>
          <w:rFonts w:ascii="Times New Roman" w:hAnsi="Times New Roman" w:eastAsia="仿宋_GB2312" w:cs="Times New Roman"/>
          <w:sz w:val="32"/>
          <w:szCs w:val="32"/>
        </w:rPr>
        <w:t>万元，</w:t>
      </w:r>
    </w:p>
    <w:p w14:paraId="75A272CE">
      <w:pPr>
        <w:pStyle w:val="14"/>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77.33</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1.56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40.21</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ascii="Times New Roman" w:hAnsi="Times New Roman" w:eastAsia="仿宋_GB2312" w:cs="Times New Roman"/>
          <w:sz w:val="32"/>
          <w:szCs w:val="32"/>
        </w:rPr>
        <w:t>。决算</w:t>
      </w:r>
      <w:r>
        <w:rPr>
          <w:rFonts w:hint="eastAsia" w:ascii="Times New Roman" w:hAnsi="Times New Roman" w:eastAsia="仿宋_GB2312" w:cs="Times New Roman"/>
          <w:sz w:val="32"/>
          <w:szCs w:val="32"/>
          <w:lang w:val="en-US" w:eastAsia="zh-CN"/>
        </w:rPr>
        <w:t>数小于</w:t>
      </w:r>
      <w:r>
        <w:rPr>
          <w:rFonts w:ascii="Times New Roman" w:hAnsi="Times New Roman" w:eastAsia="仿宋_GB2312" w:cs="Times New Roman"/>
          <w:sz w:val="32"/>
          <w:szCs w:val="32"/>
        </w:rPr>
        <w:t>上年数的主要原因是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B35674B">
      <w:pPr>
        <w:numPr>
          <w:ilvl w:val="0"/>
          <w:numId w:val="2"/>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0.06</w:t>
      </w:r>
      <w:r>
        <w:rPr>
          <w:rFonts w:ascii="Times New Roman" w:hAnsi="Times New Roman" w:eastAsia="仿宋_GB2312" w:cs="Times New Roman"/>
          <w:sz w:val="32"/>
          <w:szCs w:val="32"/>
        </w:rPr>
        <w:t>万元，完成预</w:t>
      </w:r>
      <w:r>
        <w:rPr>
          <w:rFonts w:ascii="Times New Roman" w:hAnsi="Times New Roman" w:eastAsia="仿宋_GB2312" w:cs="Times New Roman"/>
          <w:color w:val="000000"/>
          <w:kern w:val="0"/>
          <w:sz w:val="32"/>
          <w:szCs w:val="32"/>
          <w:lang w:val="en-US" w:eastAsia="zh-CN" w:bidi="ar-SA"/>
        </w:rPr>
        <w:t>算的</w:t>
      </w:r>
      <w:r>
        <w:rPr>
          <w:rFonts w:hint="eastAsia" w:ascii="Times New Roman" w:hAnsi="Times New Roman" w:eastAsia="仿宋_GB2312" w:cs="Times New Roman"/>
          <w:color w:val="000000"/>
          <w:kern w:val="0"/>
          <w:sz w:val="32"/>
          <w:szCs w:val="32"/>
          <w:lang w:val="en-US" w:eastAsia="zh-CN" w:bidi="ar-SA"/>
        </w:rPr>
        <w:t>6.00</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减少0.63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91.30</w:t>
      </w:r>
      <w:r>
        <w:rPr>
          <w:rFonts w:ascii="Times New Roman" w:hAnsi="Times New Roman" w:eastAsia="仿宋_GB2312" w:cs="Times New Roman"/>
          <w:sz w:val="32"/>
          <w:szCs w:val="32"/>
        </w:rPr>
        <w:t>%</w:t>
      </w:r>
      <w:r>
        <w:rPr>
          <w:rFonts w:ascii="Times New Roman" w:hAnsi="Times New Roman" w:eastAsia="仿宋_GB2312" w:cs="Times New Roman"/>
          <w:color w:val="000000"/>
          <w:kern w:val="0"/>
          <w:sz w:val="32"/>
          <w:szCs w:val="32"/>
          <w:lang w:val="en-US" w:eastAsia="zh-CN" w:bidi="ar-SA"/>
        </w:rPr>
        <w:t>。决算数小于预算数的主要原因是</w:t>
      </w:r>
      <w:r>
        <w:rPr>
          <w:rFonts w:hint="eastAsia" w:ascii="Times New Roman" w:hAnsi="Times New Roman" w:eastAsia="仿宋_GB2312" w:cs="Times New Roman"/>
          <w:color w:val="000000"/>
          <w:kern w:val="0"/>
          <w:sz w:val="32"/>
          <w:szCs w:val="32"/>
          <w:lang w:val="en-US" w:eastAsia="zh-CN" w:bidi="ar-SA"/>
        </w:rPr>
        <w:t>厉行节约，严控公务接待支出</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color w:val="000000"/>
          <w:kern w:val="0"/>
          <w:sz w:val="32"/>
          <w:szCs w:val="32"/>
          <w:lang w:val="en-US" w:eastAsia="zh-CN" w:bidi="ar-SA"/>
        </w:rPr>
        <w:t>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2024年度共接待来访团组</w:t>
      </w:r>
      <w:r>
        <w:rPr>
          <w:rFonts w:hint="eastAsia" w:ascii="Times New Roman" w:hAnsi="Times New Roman" w:eastAsia="仿宋_GB2312" w:cs="Times New Roman"/>
          <w:color w:val="000000"/>
          <w:kern w:val="0"/>
          <w:sz w:val="32"/>
          <w:szCs w:val="32"/>
          <w:lang w:val="en-US" w:eastAsia="zh-CN" w:bidi="ar-SA"/>
        </w:rPr>
        <w:t>1</w:t>
      </w:r>
      <w:r>
        <w:rPr>
          <w:rFonts w:ascii="Times New Roman" w:hAnsi="Times New Roman" w:eastAsia="仿宋_GB2312" w:cs="Times New Roman"/>
          <w:color w:val="000000"/>
          <w:kern w:val="0"/>
          <w:sz w:val="32"/>
          <w:szCs w:val="32"/>
          <w:lang w:val="en-US" w:eastAsia="zh-CN" w:bidi="ar-SA"/>
        </w:rPr>
        <w:t>个、来宾</w:t>
      </w:r>
      <w:r>
        <w:rPr>
          <w:rFonts w:hint="eastAsia" w:ascii="Times New Roman" w:hAnsi="Times New Roman" w:eastAsia="仿宋_GB2312" w:cs="Times New Roman"/>
          <w:color w:val="000000"/>
          <w:kern w:val="0"/>
          <w:sz w:val="32"/>
          <w:szCs w:val="32"/>
          <w:lang w:val="en-US" w:eastAsia="zh-CN" w:bidi="ar-SA"/>
        </w:rPr>
        <w:t>6</w:t>
      </w:r>
      <w:r>
        <w:rPr>
          <w:rFonts w:ascii="Times New Roman" w:hAnsi="Times New Roman" w:eastAsia="仿宋_GB2312" w:cs="Times New Roman"/>
          <w:color w:val="000000"/>
          <w:kern w:val="0"/>
          <w:sz w:val="32"/>
          <w:szCs w:val="32"/>
          <w:lang w:val="en-US" w:eastAsia="zh-CN" w:bidi="ar-SA"/>
        </w:rPr>
        <w:t>人次，主要是</w:t>
      </w:r>
      <w:r>
        <w:rPr>
          <w:rFonts w:hint="eastAsia" w:ascii="Times New Roman" w:hAnsi="Times New Roman" w:eastAsia="仿宋_GB2312" w:cs="Times New Roman"/>
          <w:color w:val="000000"/>
          <w:kern w:val="0"/>
          <w:sz w:val="32"/>
          <w:szCs w:val="32"/>
          <w:lang w:val="en-US" w:eastAsia="zh-CN" w:bidi="ar-SA"/>
        </w:rPr>
        <w:t>用于与有关单位工作交流及接受相关部门督察、检查及指导工作</w:t>
      </w:r>
      <w:r>
        <w:rPr>
          <w:rFonts w:ascii="Times New Roman" w:hAnsi="Times New Roman" w:eastAsia="仿宋_GB2312" w:cs="Times New Roman"/>
          <w:color w:val="000000"/>
          <w:kern w:val="0"/>
          <w:sz w:val="32"/>
          <w:szCs w:val="32"/>
          <w:lang w:val="en-US" w:eastAsia="zh-CN" w:bidi="ar-SA"/>
        </w:rPr>
        <w:t>发生的接待支出</w:t>
      </w:r>
      <w:r>
        <w:rPr>
          <w:rFonts w:ascii="Times New Roman" w:hAnsi="Times New Roman" w:eastAsia="仿宋_GB2312" w:cs="Times New Roman"/>
          <w:sz w:val="32"/>
          <w:szCs w:val="32"/>
        </w:rPr>
        <w:t>。</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年度机关运行经费支出35.75万元，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2.11</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6.27</w:t>
      </w:r>
      <w:r>
        <w:rPr>
          <w:rFonts w:hint="eastAsia" w:ascii="仿宋_GB2312" w:hAnsi="仿宋_GB2312" w:eastAsia="仿宋_GB2312" w:cs="仿宋_GB2312"/>
          <w:sz w:val="32"/>
          <w:szCs w:val="32"/>
          <w:highlight w:val="none"/>
        </w:rPr>
        <w:t>%。主要原因是：工会经费</w:t>
      </w:r>
      <w:r>
        <w:rPr>
          <w:rFonts w:hint="eastAsia" w:ascii="仿宋_GB2312" w:hAnsi="仿宋_GB2312" w:eastAsia="仿宋_GB2312" w:cs="仿宋_GB2312"/>
          <w:sz w:val="32"/>
          <w:szCs w:val="32"/>
          <w:highlight w:val="none"/>
          <w:lang w:val="en-US" w:eastAsia="zh-CN"/>
        </w:rPr>
        <w:t>的增加。</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BC426E8">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年度，会议费年初预算0.00万元，支出决算为0.00万元，由于预算数为0，无法计算完成年初预算的百分比。本单位无会议费的预算和支出决算数。</w:t>
      </w:r>
    </w:p>
    <w:p w14:paraId="5473C0F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由于预算数为0，无法计算完成年初预算的百分比。本单位无培训费的预算和支出决算数</w:t>
      </w:r>
      <w:r>
        <w:rPr>
          <w:rFonts w:hint="eastAsia" w:ascii="仿宋_GB2312" w:hAnsi="仿宋_GB2312" w:eastAsia="仿宋_GB2312" w:cs="仿宋_GB2312"/>
          <w:color w:val="000000"/>
          <w:kern w:val="0"/>
          <w:sz w:val="32"/>
          <w:szCs w:val="32"/>
          <w:lang w:val="en-US" w:eastAsia="zh-CN" w:bidi="ar-SA"/>
        </w:rPr>
        <w:t>。</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年度政府采购支出总额87.49万元，其中：政府采购货物支出7.4万元、政府采购工程支出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万元、政府采购服务支出80.09万元。授予中小企业合同金额87.49万元，占政府采购支出总额的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%，其中：授予小微企业合同金额87.49万元，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无</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30.87</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30.87</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2.01</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1687.30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1533.45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90.88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完成“春风行动”“夏季攻势”“利剑行动”和“守护蓝天”四大专项生态环保工作有序开展，辖区环境质量不断改善提升，污染防治攻坚考核明显提档进位，全区未发生较大以上的环境污染事件和生态破坏事件</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水污染质量持续改善</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三是总磷削减项目“攻坚战”有序推进；四是打响生态保护阵地战，确保生态功能区考核稳步向好；五是加大日常环境执法，严厉打击违法行为，不断强化环境监管</w:t>
      </w:r>
      <w:r>
        <w:rPr>
          <w:rFonts w:ascii="Times New Roman" w:hAnsi="Times New Roman" w:eastAsia="仿宋_GB2312" w:cs="Times New Roman"/>
          <w:sz w:val="32"/>
          <w:szCs w:val="32"/>
        </w:rPr>
        <w:t>。</w:t>
      </w:r>
    </w:p>
    <w:p w14:paraId="5CDF5D83">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default" w:ascii="仿宋_GB2312" w:hAnsi="仿宋_GB2312" w:eastAsia="仿宋_GB2312" w:cs="仿宋_GB2312"/>
          <w:color w:val="000000"/>
          <w:spacing w:val="0"/>
          <w:kern w:val="0"/>
          <w:position w:val="0"/>
          <w:sz w:val="32"/>
          <w:szCs w:val="32"/>
          <w:lang w:val="en-US" w:eastAsia="zh-CN"/>
        </w:rPr>
      </w:pPr>
      <w:r>
        <w:rPr>
          <w:rFonts w:ascii="Times New Roman" w:hAnsi="Times New Roman" w:eastAsia="仿宋_GB2312" w:cs="Times New Roman"/>
          <w:sz w:val="32"/>
          <w:szCs w:val="32"/>
        </w:rPr>
        <w:t>发现的主要问题及原因：</w:t>
      </w:r>
      <w:r>
        <w:rPr>
          <w:rFonts w:hint="default" w:ascii="仿宋_GB2312" w:hAnsi="仿宋_GB2312" w:eastAsia="仿宋_GB2312" w:cs="仿宋_GB2312"/>
          <w:color w:val="000000"/>
          <w:spacing w:val="0"/>
          <w:kern w:val="0"/>
          <w:position w:val="0"/>
          <w:sz w:val="32"/>
          <w:szCs w:val="32"/>
          <w:lang w:val="en-US" w:eastAsia="zh-CN"/>
        </w:rPr>
        <w:t>个别项目资金使用方面预算与实际存在差异。问题产生的主要原因</w:t>
      </w:r>
      <w:r>
        <w:rPr>
          <w:rFonts w:hint="eastAsia" w:ascii="仿宋_GB2312" w:hAnsi="仿宋_GB2312" w:eastAsia="仿宋_GB2312" w:cs="仿宋_GB2312"/>
          <w:color w:val="000000"/>
          <w:spacing w:val="0"/>
          <w:kern w:val="0"/>
          <w:position w:val="0"/>
          <w:sz w:val="32"/>
          <w:szCs w:val="32"/>
          <w:lang w:val="en-US" w:eastAsia="zh-CN"/>
        </w:rPr>
        <w:t>：</w:t>
      </w:r>
      <w:r>
        <w:rPr>
          <w:rFonts w:hint="default" w:ascii="仿宋_GB2312" w:hAnsi="仿宋_GB2312" w:eastAsia="仿宋_GB2312" w:cs="仿宋_GB2312"/>
          <w:color w:val="000000"/>
          <w:spacing w:val="0"/>
          <w:kern w:val="0"/>
          <w:position w:val="0"/>
          <w:sz w:val="32"/>
          <w:szCs w:val="32"/>
          <w:lang w:val="en-US" w:eastAsia="zh-CN"/>
        </w:rPr>
        <w:t>绩效管理水平有待提高，特别是绩效指标设置的科学性、合理性有待进一步改善。</w:t>
      </w:r>
    </w:p>
    <w:p w14:paraId="128377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default" w:ascii="仿宋_GB2312" w:hAnsi="仿宋_GB2312" w:eastAsia="仿宋_GB2312" w:cs="仿宋_GB2312"/>
          <w:color w:val="000000"/>
          <w:kern w:val="2"/>
          <w:sz w:val="32"/>
          <w:szCs w:val="32"/>
          <w:lang w:val="en-US" w:eastAsia="zh-CN"/>
        </w:rPr>
        <w:t>预算编制不够明确和细化，预算编制的合理性需要提高，预算执行力度还要进一步加强。绩效管理水平有待提高，特别是绩效指标设置的科学性、合理性有待进一步改善</w:t>
      </w:r>
      <w:r>
        <w:rPr>
          <w:rFonts w:ascii="Times New Roman" w:hAnsi="Times New Roman" w:eastAsia="仿宋_GB2312" w:cs="Times New Roman"/>
          <w:sz w:val="32"/>
          <w:szCs w:val="32"/>
        </w:rPr>
        <w:t>。</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default" w:ascii="仿宋_GB2312" w:hAnsi="仿宋_GB2312" w:eastAsia="仿宋_GB2312" w:cs="仿宋_GB2312"/>
          <w:color w:val="000000"/>
          <w:spacing w:val="0"/>
          <w:position w:val="0"/>
          <w:sz w:val="32"/>
          <w:szCs w:val="32"/>
          <w:lang w:val="en-US" w:eastAsia="zh-CN"/>
        </w:rPr>
        <w:t>加强财务管理，严格财务审批。在费用报账支付时，按照预算规定的费用项目和用途进行资金使用、审核，列报支付，财务核算杜绝超支现象的发生</w:t>
      </w:r>
      <w:r>
        <w:rPr>
          <w:rFonts w:ascii="Times New Roman" w:hAnsi="Times New Roman" w:eastAsia="仿宋_GB2312" w:cs="Times New Roman"/>
          <w:sz w:val="32"/>
          <w:szCs w:val="32"/>
        </w:rPr>
        <w:t>；二是</w:t>
      </w:r>
      <w:r>
        <w:rPr>
          <w:rFonts w:hint="default" w:ascii="仿宋_GB2312" w:hAnsi="仿宋_GB2312" w:eastAsia="仿宋_GB2312" w:cs="仿宋_GB2312"/>
          <w:color w:val="000000"/>
          <w:spacing w:val="0"/>
          <w:position w:val="0"/>
          <w:sz w:val="32"/>
          <w:szCs w:val="32"/>
          <w:lang w:val="en-US" w:eastAsia="zh-CN"/>
        </w:rPr>
        <w:t>加强培训。建议多开展部门整体绩效评价工作的业务工作培训，组织开展部门之间、单位之间的经验交流，特别是要组织非财务部门的人员参与评价工作，切实推进绩效评价工作的开展</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3971199E">
      <w:pPr>
        <w:numPr>
          <w:ilvl w:val="0"/>
          <w:numId w:val="0"/>
        </w:numPr>
        <w:autoSpaceDE w:val="0"/>
        <w:autoSpaceDN w:val="0"/>
        <w:adjustRightInd w:val="0"/>
        <w:jc w:val="left"/>
        <w:rPr>
          <w:sz w:val="72"/>
          <w:szCs w:val="72"/>
        </w:rPr>
      </w:pPr>
    </w:p>
    <w:p w14:paraId="147E06D0">
      <w:pPr>
        <w:pStyle w:val="14"/>
        <w:jc w:val="both"/>
        <w:rPr>
          <w:rFonts w:hint="eastAsia" w:ascii="方正小标宋_GBK" w:hAnsi="方正小标宋_GBK" w:eastAsia="方正小标宋_GBK" w:cs="方正小标宋_GBK"/>
          <w:sz w:val="24"/>
          <w:szCs w:val="24"/>
        </w:rPr>
      </w:pPr>
    </w:p>
    <w:p w14:paraId="5515AA26">
      <w:pPr>
        <w:pStyle w:val="14"/>
        <w:jc w:val="both"/>
        <w:rPr>
          <w:rFonts w:hint="eastAsia" w:ascii="方正小标宋_GBK" w:hAnsi="方正小标宋_GBK" w:eastAsia="方正小标宋_GBK" w:cs="方正小标宋_GBK"/>
          <w:sz w:val="24"/>
          <w:szCs w:val="24"/>
        </w:rPr>
      </w:pPr>
    </w:p>
    <w:p w14:paraId="2D4A1991">
      <w:pPr>
        <w:pStyle w:val="14"/>
        <w:jc w:val="both"/>
        <w:rPr>
          <w:rFonts w:hint="eastAsia" w:ascii="方正小标宋_GBK" w:hAnsi="方正小标宋_GBK" w:eastAsia="方正小标宋_GBK" w:cs="方正小标宋_GBK"/>
          <w:sz w:val="24"/>
          <w:szCs w:val="24"/>
        </w:rPr>
      </w:pPr>
    </w:p>
    <w:p w14:paraId="61121CB9">
      <w:pPr>
        <w:pStyle w:val="14"/>
        <w:jc w:val="both"/>
        <w:rPr>
          <w:rFonts w:hint="eastAsia" w:ascii="方正小标宋_GBK" w:hAnsi="方正小标宋_GBK" w:eastAsia="方正小标宋_GBK" w:cs="方正小标宋_GBK"/>
          <w:sz w:val="24"/>
          <w:szCs w:val="24"/>
        </w:rPr>
      </w:pPr>
    </w:p>
    <w:p w14:paraId="42B655A1">
      <w:pPr>
        <w:pStyle w:val="14"/>
        <w:jc w:val="both"/>
        <w:rPr>
          <w:rFonts w:hint="eastAsia" w:ascii="方正小标宋_GBK" w:hAnsi="方正小标宋_GBK" w:eastAsia="方正小标宋_GBK" w:cs="方正小标宋_GBK"/>
          <w:sz w:val="24"/>
          <w:szCs w:val="24"/>
        </w:rPr>
      </w:pPr>
    </w:p>
    <w:p w14:paraId="5C7B53F4">
      <w:pPr>
        <w:pStyle w:val="14"/>
        <w:jc w:val="both"/>
        <w:rPr>
          <w:rFonts w:hint="eastAsia" w:ascii="方正小标宋_GBK" w:hAnsi="方正小标宋_GBK" w:eastAsia="方正小标宋_GBK" w:cs="方正小标宋_GBK"/>
          <w:sz w:val="24"/>
          <w:szCs w:val="24"/>
        </w:rPr>
      </w:pPr>
    </w:p>
    <w:p w14:paraId="155F0A2A">
      <w:pPr>
        <w:pStyle w:val="14"/>
        <w:jc w:val="both"/>
        <w:rPr>
          <w:rFonts w:hint="eastAsia" w:ascii="方正小标宋_GBK" w:hAnsi="方正小标宋_GBK" w:eastAsia="方正小标宋_GBK" w:cs="方正小标宋_GBK"/>
          <w:sz w:val="24"/>
          <w:szCs w:val="24"/>
        </w:rPr>
      </w:pPr>
    </w:p>
    <w:p w14:paraId="7E5E1E77">
      <w:pPr>
        <w:pStyle w:val="14"/>
        <w:jc w:val="both"/>
        <w:rPr>
          <w:rFonts w:hint="eastAsia" w:ascii="方正小标宋_GBK" w:hAnsi="方正小标宋_GBK" w:eastAsia="方正小标宋_GBK" w:cs="方正小标宋_GBK"/>
          <w:sz w:val="24"/>
          <w:szCs w:val="24"/>
        </w:rPr>
      </w:pPr>
    </w:p>
    <w:p w14:paraId="0EAD01F6">
      <w:pPr>
        <w:pStyle w:val="14"/>
        <w:jc w:val="both"/>
        <w:rPr>
          <w:rFonts w:hint="eastAsia" w:ascii="方正小标宋_GBK" w:hAnsi="方正小标宋_GBK" w:eastAsia="方正小标宋_GBK" w:cs="方正小标宋_GBK"/>
          <w:sz w:val="24"/>
          <w:szCs w:val="24"/>
        </w:rPr>
      </w:pPr>
    </w:p>
    <w:p w14:paraId="62AB7D4C">
      <w:pPr>
        <w:pStyle w:val="14"/>
        <w:jc w:val="both"/>
        <w:rPr>
          <w:rFonts w:hint="eastAsia" w:ascii="方正小标宋_GBK" w:hAnsi="方正小标宋_GBK" w:eastAsia="方正小标宋_GBK" w:cs="方正小标宋_GBK"/>
          <w:sz w:val="24"/>
          <w:szCs w:val="24"/>
        </w:rPr>
      </w:pPr>
    </w:p>
    <w:p w14:paraId="34B3CC53">
      <w:pPr>
        <w:pStyle w:val="14"/>
        <w:jc w:val="both"/>
        <w:rPr>
          <w:rFonts w:hint="eastAsia" w:ascii="方正小标宋_GBK" w:hAnsi="方正小标宋_GBK" w:eastAsia="方正小标宋_GBK" w:cs="方正小标宋_GBK"/>
          <w:sz w:val="24"/>
          <w:szCs w:val="24"/>
        </w:rPr>
      </w:pPr>
    </w:p>
    <w:p w14:paraId="257638A7">
      <w:pPr>
        <w:pStyle w:val="14"/>
        <w:jc w:val="both"/>
        <w:rPr>
          <w:rFonts w:hint="eastAsia" w:ascii="方正小标宋_GBK" w:hAnsi="方正小标宋_GBK" w:eastAsia="方正小标宋_GBK" w:cs="方正小标宋_GBK"/>
          <w:sz w:val="24"/>
          <w:szCs w:val="24"/>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4"/>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F86D25"/>
    <w:rsid w:val="040556DD"/>
    <w:rsid w:val="04581CB1"/>
    <w:rsid w:val="059958AD"/>
    <w:rsid w:val="06C857E7"/>
    <w:rsid w:val="08C24A73"/>
    <w:rsid w:val="091A5787"/>
    <w:rsid w:val="11916802"/>
    <w:rsid w:val="11944E2C"/>
    <w:rsid w:val="12583BA5"/>
    <w:rsid w:val="130A686C"/>
    <w:rsid w:val="13BA5B9C"/>
    <w:rsid w:val="178D2CFF"/>
    <w:rsid w:val="1D97DEFF"/>
    <w:rsid w:val="1DFF72E5"/>
    <w:rsid w:val="1EFC6F07"/>
    <w:rsid w:val="1F0527A6"/>
    <w:rsid w:val="1F3F789D"/>
    <w:rsid w:val="20735A50"/>
    <w:rsid w:val="22AC03C2"/>
    <w:rsid w:val="22DF75A1"/>
    <w:rsid w:val="23DF164F"/>
    <w:rsid w:val="283B15FE"/>
    <w:rsid w:val="2FDF85B8"/>
    <w:rsid w:val="2FFFEE04"/>
    <w:rsid w:val="313905F0"/>
    <w:rsid w:val="31C95635"/>
    <w:rsid w:val="322F37A1"/>
    <w:rsid w:val="34A264AC"/>
    <w:rsid w:val="34DF85B0"/>
    <w:rsid w:val="363E0457"/>
    <w:rsid w:val="38B844F1"/>
    <w:rsid w:val="3959069F"/>
    <w:rsid w:val="3B8F36BC"/>
    <w:rsid w:val="43EB5BA5"/>
    <w:rsid w:val="46350031"/>
    <w:rsid w:val="491FF225"/>
    <w:rsid w:val="4AE23F26"/>
    <w:rsid w:val="4EC310A1"/>
    <w:rsid w:val="4FFD214C"/>
    <w:rsid w:val="5352765A"/>
    <w:rsid w:val="55956812"/>
    <w:rsid w:val="55A848AF"/>
    <w:rsid w:val="5777D4F5"/>
    <w:rsid w:val="57F22B6F"/>
    <w:rsid w:val="59DD8326"/>
    <w:rsid w:val="5AC73C28"/>
    <w:rsid w:val="5D0D28E7"/>
    <w:rsid w:val="5DEF592A"/>
    <w:rsid w:val="5E8B1BDC"/>
    <w:rsid w:val="5FC6BB1E"/>
    <w:rsid w:val="5FF720F1"/>
    <w:rsid w:val="608C2479"/>
    <w:rsid w:val="622964C1"/>
    <w:rsid w:val="637779CB"/>
    <w:rsid w:val="660A5ADC"/>
    <w:rsid w:val="66674C72"/>
    <w:rsid w:val="67FF5C0B"/>
    <w:rsid w:val="69935DE8"/>
    <w:rsid w:val="6A18009C"/>
    <w:rsid w:val="6B9272ED"/>
    <w:rsid w:val="6BAA4A2F"/>
    <w:rsid w:val="6DDEC5C0"/>
    <w:rsid w:val="6EFC0924"/>
    <w:rsid w:val="6FB74722"/>
    <w:rsid w:val="6FEF8B7E"/>
    <w:rsid w:val="717FE77F"/>
    <w:rsid w:val="71A6591B"/>
    <w:rsid w:val="737D59BA"/>
    <w:rsid w:val="737F32B1"/>
    <w:rsid w:val="73BD3FCA"/>
    <w:rsid w:val="755A1EB0"/>
    <w:rsid w:val="75A5137D"/>
    <w:rsid w:val="776BDA01"/>
    <w:rsid w:val="777C68CC"/>
    <w:rsid w:val="77C37683"/>
    <w:rsid w:val="79D55FA9"/>
    <w:rsid w:val="79FF515B"/>
    <w:rsid w:val="7DFBFF20"/>
    <w:rsid w:val="7E9E1962"/>
    <w:rsid w:val="7E9F11B4"/>
    <w:rsid w:val="7F37EC1E"/>
    <w:rsid w:val="7F7C0DDA"/>
    <w:rsid w:val="7F7DCD9D"/>
    <w:rsid w:val="7F840255"/>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next w:val="6"/>
    <w:semiHidden/>
    <w:qFormat/>
    <w:uiPriority w:val="0"/>
    <w:pPr>
      <w:widowControl w:val="0"/>
      <w:jc w:val="both"/>
    </w:pPr>
    <w:rPr>
      <w:rFonts w:ascii="仿宋" w:hAnsi="仿宋" w:eastAsia="仿宋" w:cs="仿宋"/>
      <w:kern w:val="2"/>
      <w:sz w:val="31"/>
      <w:szCs w:val="31"/>
      <w:lang w:val="en-US" w:eastAsia="en-US" w:bidi="ar-SA"/>
    </w:rPr>
  </w:style>
  <w:style w:type="paragraph" w:styleId="6">
    <w:name w:val="toc 5"/>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7">
    <w:name w:val="Balloon Text"/>
    <w:basedOn w:val="1"/>
    <w:link w:val="16"/>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7"/>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8650</Words>
  <Characters>9305</Characters>
  <Lines>63</Lines>
  <Paragraphs>18</Paragraphs>
  <TotalTime>0</TotalTime>
  <ScaleCrop>false</ScaleCrop>
  <LinksUpToDate>false</LinksUpToDate>
  <CharactersWithSpaces>9319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2025-09-24T02:44:47Z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3F6ADE6BFBC74D73AB6152AE0F8C7A9A_13</vt:lpwstr>
  </property>
  <property fmtid="{D5CDD505-2E9C-101B-9397-08002B2CF9AE}" pid="4" name="KSOTemplateDocerSaveRecord">
    <vt:lpwstr>eyJoZGlkIjoiYTI1ZWRhODIzZjNkMzE5ODI3Y2UwZTM2NjQ3YjE4YjIiLCJ1c2VySWQiOiI1Mzg0MzA5MzAifQ==</vt:lpwstr>
  </property>
</Properties>
</file>