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2"/>
        <w:jc w:val="center"/>
        <w:rPr>
          <w:sz w:val="56"/>
          <w:szCs w:val="56"/>
        </w:rPr>
      </w:pPr>
    </w:p>
    <w:p w14:paraId="3BDF5AB8">
      <w:pPr>
        <w:pStyle w:val="12"/>
        <w:jc w:val="center"/>
        <w:rPr>
          <w:sz w:val="56"/>
          <w:szCs w:val="56"/>
        </w:rPr>
      </w:pPr>
    </w:p>
    <w:p w14:paraId="60CA4575">
      <w:pPr>
        <w:pStyle w:val="12"/>
        <w:jc w:val="center"/>
        <w:rPr>
          <w:sz w:val="84"/>
          <w:szCs w:val="84"/>
        </w:rPr>
      </w:pPr>
    </w:p>
    <w:p w14:paraId="215EB31D">
      <w:pPr>
        <w:pStyle w:val="12"/>
        <w:jc w:val="center"/>
        <w:rPr>
          <w:sz w:val="84"/>
          <w:szCs w:val="84"/>
        </w:rPr>
      </w:pPr>
    </w:p>
    <w:p w14:paraId="376C860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岳阳市生态环境局临湘分局部门（单位）部门决算</w:t>
      </w:r>
    </w:p>
    <w:p w14:paraId="3A699C16">
      <w:pPr>
        <w:pStyle w:val="12"/>
        <w:jc w:val="center"/>
        <w:rPr>
          <w:rFonts w:hint="eastAsia" w:ascii="方正小标宋_GBK" w:hAnsi="方正小标宋_GBK" w:eastAsia="方正小标宋_GBK" w:cs="方正小标宋_GBK"/>
          <w:sz w:val="56"/>
          <w:szCs w:val="56"/>
        </w:rPr>
      </w:pPr>
    </w:p>
    <w:p w14:paraId="72C8FB58">
      <w:pPr>
        <w:pStyle w:val="12"/>
        <w:jc w:val="center"/>
        <w:rPr>
          <w:sz w:val="56"/>
          <w:szCs w:val="56"/>
        </w:rPr>
      </w:pPr>
    </w:p>
    <w:p w14:paraId="25018D25">
      <w:pPr>
        <w:pStyle w:val="12"/>
        <w:jc w:val="center"/>
        <w:rPr>
          <w:sz w:val="56"/>
          <w:szCs w:val="56"/>
        </w:rPr>
      </w:pPr>
    </w:p>
    <w:p w14:paraId="5EE73A38">
      <w:pPr>
        <w:pStyle w:val="12"/>
        <w:jc w:val="center"/>
        <w:rPr>
          <w:sz w:val="56"/>
          <w:szCs w:val="56"/>
        </w:rPr>
      </w:pPr>
    </w:p>
    <w:p w14:paraId="297571C5">
      <w:pPr>
        <w:pStyle w:val="12"/>
        <w:jc w:val="center"/>
        <w:rPr>
          <w:sz w:val="32"/>
          <w:szCs w:val="32"/>
        </w:rPr>
      </w:pPr>
    </w:p>
    <w:p w14:paraId="08493D1E">
      <w:pPr>
        <w:pStyle w:val="12"/>
        <w:jc w:val="center"/>
        <w:rPr>
          <w:sz w:val="32"/>
          <w:szCs w:val="32"/>
        </w:rPr>
      </w:pPr>
    </w:p>
    <w:p w14:paraId="5BD6E8BD">
      <w:pPr>
        <w:pStyle w:val="12"/>
        <w:jc w:val="center"/>
        <w:rPr>
          <w:sz w:val="32"/>
          <w:szCs w:val="32"/>
        </w:rPr>
      </w:pPr>
    </w:p>
    <w:p w14:paraId="1062A3B4">
      <w:pPr>
        <w:pStyle w:val="12"/>
        <w:jc w:val="center"/>
        <w:rPr>
          <w:sz w:val="32"/>
          <w:szCs w:val="32"/>
        </w:rPr>
      </w:pPr>
    </w:p>
    <w:p w14:paraId="6311DFC7">
      <w:pPr>
        <w:pStyle w:val="12"/>
        <w:jc w:val="center"/>
        <w:rPr>
          <w:sz w:val="32"/>
          <w:szCs w:val="32"/>
        </w:rPr>
      </w:pPr>
    </w:p>
    <w:p w14:paraId="50228290">
      <w:pPr>
        <w:pStyle w:val="12"/>
        <w:spacing w:line="540" w:lineRule="exact"/>
        <w:jc w:val="center"/>
        <w:rPr>
          <w:sz w:val="56"/>
          <w:szCs w:val="56"/>
        </w:rPr>
      </w:pPr>
    </w:p>
    <w:p w14:paraId="459C483D">
      <w:pPr>
        <w:pStyle w:val="12"/>
        <w:spacing w:line="500" w:lineRule="exact"/>
        <w:jc w:val="both"/>
        <w:rPr>
          <w:b/>
          <w:sz w:val="36"/>
          <w:szCs w:val="28"/>
        </w:rPr>
      </w:pPr>
    </w:p>
    <w:p w14:paraId="24F3309B">
      <w:pPr>
        <w:pStyle w:val="12"/>
        <w:spacing w:line="500" w:lineRule="exact"/>
        <w:jc w:val="center"/>
        <w:rPr>
          <w:b/>
          <w:sz w:val="36"/>
          <w:szCs w:val="28"/>
        </w:rPr>
      </w:pPr>
      <w:r>
        <w:rPr>
          <w:rFonts w:hint="eastAsia"/>
          <w:b/>
          <w:sz w:val="36"/>
          <w:szCs w:val="28"/>
        </w:rPr>
        <w:t>目录</w:t>
      </w:r>
    </w:p>
    <w:p w14:paraId="6CBD0C2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XX</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单位</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概况</w:t>
      </w:r>
    </w:p>
    <w:p w14:paraId="060CB1D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2"/>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2"/>
        <w:jc w:val="center"/>
        <w:rPr>
          <w:rFonts w:hint="eastAsia" w:ascii="方正小标宋_GBK" w:hAnsi="方正小标宋_GBK" w:eastAsia="方正小标宋_GBK" w:cs="方正小标宋_GBK"/>
          <w:sz w:val="84"/>
          <w:szCs w:val="84"/>
        </w:rPr>
      </w:pPr>
    </w:p>
    <w:p w14:paraId="1095DEAB">
      <w:pPr>
        <w:pStyle w:val="12"/>
        <w:jc w:val="center"/>
        <w:rPr>
          <w:rFonts w:hint="eastAsia" w:ascii="方正小标宋_GBK" w:hAnsi="方正小标宋_GBK" w:eastAsia="方正小标宋_GBK" w:cs="方正小标宋_GBK"/>
          <w:sz w:val="84"/>
          <w:szCs w:val="84"/>
        </w:rPr>
      </w:pPr>
    </w:p>
    <w:p w14:paraId="0DEEC24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2"/>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岳阳市生态环境局临湘分局</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单位</w:t>
      </w:r>
      <w:r>
        <w:rPr>
          <w:rFonts w:hint="eastAsia" w:ascii="方正小标宋_GBK" w:hAnsi="方正小标宋_GBK" w:eastAsia="方正小标宋_GBK" w:cs="方正小标宋_GBK"/>
          <w:sz w:val="84"/>
          <w:szCs w:val="84"/>
          <w:lang w:eastAsia="zh-CN"/>
        </w:rPr>
        <w:t>）</w:t>
      </w:r>
      <w:r>
        <w:rPr>
          <w:rFonts w:hint="eastAsia" w:ascii="方正小标宋_GBK" w:hAnsi="方正小标宋_GBK" w:eastAsia="方正小标宋_GBK" w:cs="方正小标宋_GBK"/>
          <w:sz w:val="84"/>
          <w:szCs w:val="84"/>
        </w:rPr>
        <w:t>概况</w:t>
      </w:r>
    </w:p>
    <w:p w14:paraId="77A0C778">
      <w:pPr>
        <w:pStyle w:val="2"/>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3F2C40A">
      <w:pPr>
        <w:rPr>
          <w:rFonts w:hint="eastAsia" w:ascii="方正小标宋_GBK" w:hAnsi="方正小标宋_GBK" w:eastAsia="方正小标宋_GBK" w:cs="方正小标宋_GBK"/>
          <w:sz w:val="84"/>
          <w:szCs w:val="84"/>
        </w:rPr>
      </w:pPr>
    </w:p>
    <w:p w14:paraId="128B0AE2">
      <w:pPr>
        <w:pStyle w:val="2"/>
        <w:rPr>
          <w:rFonts w:hint="eastAsia" w:ascii="方正小标宋_GBK" w:hAnsi="方正小标宋_GBK" w:eastAsia="方正小标宋_GBK" w:cs="方正小标宋_GBK"/>
          <w:sz w:val="84"/>
          <w:szCs w:val="84"/>
        </w:rPr>
      </w:pPr>
    </w:p>
    <w:p w14:paraId="1469560B">
      <w:pPr>
        <w:pStyle w:val="3"/>
        <w:rPr>
          <w:rFonts w:hint="eastAsia" w:ascii="方正小标宋_GBK" w:hAnsi="方正小标宋_GBK" w:eastAsia="方正小标宋_GBK" w:cs="方正小标宋_GBK"/>
          <w:sz w:val="84"/>
          <w:szCs w:val="84"/>
        </w:rPr>
      </w:pPr>
    </w:p>
    <w:p w14:paraId="55E857AF">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CF9307D">
      <w:pPr>
        <w:ind w:firstLine="800" w:firstLineChars="250"/>
        <w:jc w:val="left"/>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一</w:t>
      </w:r>
      <w:r>
        <w:rPr>
          <w:rFonts w:hint="eastAsia" w:ascii="Times New Roman" w:hAnsi="Times New Roman" w:eastAsia="仿宋_GB2312" w:cs="仿宋_GB2312"/>
          <w:sz w:val="32"/>
          <w:szCs w:val="32"/>
          <w:lang w:eastAsia="zh-CN"/>
        </w:rPr>
        <w:t>）、受市生态环境局委托，承担辖区内的生态环境相关工作；承担市生态环境局和市委、市政府交办的其他任务。</w:t>
      </w:r>
    </w:p>
    <w:p w14:paraId="066499E5">
      <w:pPr>
        <w:ind w:firstLine="800" w:firstLineChars="250"/>
        <w:jc w:val="left"/>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二</w:t>
      </w:r>
      <w:r>
        <w:rPr>
          <w:rFonts w:hint="eastAsia" w:ascii="Times New Roman" w:hAnsi="Times New Roman" w:eastAsia="仿宋_GB2312" w:cs="仿宋_GB2312"/>
          <w:sz w:val="32"/>
          <w:szCs w:val="32"/>
          <w:lang w:eastAsia="zh-CN"/>
        </w:rPr>
        <w:t>）负责本辖区内重点污染源在线监控系统现场监督管理；负责受理和办理生态环境保护举报（信访），负责生态环境信访维稳事件的现场调查处置工作；负责环境县级执法事项违法案件调查处理；负责组织协调生态环境保护县级跨部门联合执法行动。</w:t>
      </w:r>
    </w:p>
    <w:p w14:paraId="30307305">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三</w:t>
      </w:r>
      <w:r>
        <w:rPr>
          <w:rFonts w:hint="eastAsia" w:ascii="Times New Roman" w:hAnsi="Times New Roman" w:eastAsia="仿宋_GB2312" w:cs="仿宋_GB2312"/>
          <w:sz w:val="32"/>
          <w:szCs w:val="32"/>
          <w:lang w:eastAsia="zh-CN"/>
        </w:rPr>
        <w:t>）负责本辖区生态环境质量监测、执法监测、污染源监测和应急监测。</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E037E9B">
      <w:pPr>
        <w:widowControl/>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val="en-US" w:eastAsia="zh-CN"/>
        </w:rPr>
        <w:t>岳阳市生态环境局临湘分局内设机构包括：编制人数85人，实际人数85人。下设办公室、政工人事股、科技与财务股、环评与污染排放股、自然生态保护股、水生态环境股、大气环境与应对气候变化股、土壤生态环境股、核辐射与固体废物管理股、法规标准与宣教监测股、综合协调与生态环境监督股、工会与党务办12个股室；综合行政执法大队、生态环境监测站、滨江环保工作站、三湾环保工作站4个二级机构。</w:t>
      </w:r>
    </w:p>
    <w:p w14:paraId="3D9EF3E2">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（二）决算单位构成。岳阳市生态环境局临湘分局202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年部门决算汇总公开单位构成包括：本单位无独立核算的下属单位，202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年度部门决算汇总公开单位仅包括岳阳市生态环境局临湘分局本级。</w:t>
      </w:r>
    </w:p>
    <w:p w14:paraId="38152785"/>
    <w:p w14:paraId="3CE56614">
      <w:pPr>
        <w:pStyle w:val="2"/>
      </w:pPr>
    </w:p>
    <w:p w14:paraId="70B4D569">
      <w:pPr>
        <w:pStyle w:val="3"/>
      </w:pPr>
    </w:p>
    <w:p w14:paraId="5B1D6CBC"/>
    <w:p w14:paraId="7D6C31E4">
      <w:pPr>
        <w:pStyle w:val="2"/>
      </w:pPr>
    </w:p>
    <w:p w14:paraId="056E4ECA">
      <w:pPr>
        <w:pStyle w:val="3"/>
      </w:pPr>
    </w:p>
    <w:p w14:paraId="3288C9C5"/>
    <w:p w14:paraId="14507043">
      <w:pPr>
        <w:pStyle w:val="2"/>
      </w:pPr>
    </w:p>
    <w:p w14:paraId="465EA8BD">
      <w:pPr>
        <w:pStyle w:val="3"/>
      </w:pPr>
    </w:p>
    <w:p w14:paraId="49E51758"/>
    <w:p w14:paraId="3DC8C6CD">
      <w:pPr>
        <w:pStyle w:val="2"/>
      </w:pPr>
    </w:p>
    <w:p w14:paraId="36E702E5">
      <w:pPr>
        <w:pStyle w:val="3"/>
      </w:pPr>
    </w:p>
    <w:p w14:paraId="0416550A"/>
    <w:p w14:paraId="28B49BCE">
      <w:pPr>
        <w:pStyle w:val="2"/>
      </w:pPr>
    </w:p>
    <w:p w14:paraId="43291855">
      <w:pPr>
        <w:pStyle w:val="3"/>
      </w:pPr>
    </w:p>
    <w:p w14:paraId="7CD92489"/>
    <w:p w14:paraId="5267F12B">
      <w:pPr>
        <w:pStyle w:val="2"/>
      </w:pPr>
    </w:p>
    <w:p w14:paraId="28828498">
      <w:pPr>
        <w:pStyle w:val="3"/>
      </w:pPr>
    </w:p>
    <w:p w14:paraId="04E62672"/>
    <w:p w14:paraId="1D6D7A8B">
      <w:pPr>
        <w:pStyle w:val="2"/>
      </w:pPr>
    </w:p>
    <w:p w14:paraId="2E47952B">
      <w:pPr>
        <w:pStyle w:val="3"/>
      </w:pPr>
    </w:p>
    <w:p w14:paraId="18A19BE5"/>
    <w:p w14:paraId="7CCBF86D">
      <w:pPr>
        <w:pStyle w:val="2"/>
      </w:pPr>
    </w:p>
    <w:p w14:paraId="0017F5EC">
      <w:pPr>
        <w:pStyle w:val="3"/>
      </w:pPr>
    </w:p>
    <w:p w14:paraId="76181D4E"/>
    <w:p w14:paraId="1A174866">
      <w:pPr>
        <w:pStyle w:val="12"/>
        <w:jc w:val="center"/>
        <w:rPr>
          <w:rFonts w:hint="eastAsia" w:ascii="方正小标宋_GBK" w:hAnsi="方正小标宋_GBK" w:eastAsia="方正小标宋_GBK" w:cs="方正小标宋_GBK"/>
          <w:sz w:val="84"/>
          <w:szCs w:val="84"/>
        </w:rPr>
      </w:pPr>
    </w:p>
    <w:p w14:paraId="458C14E6">
      <w:pPr>
        <w:pStyle w:val="12"/>
        <w:jc w:val="center"/>
        <w:rPr>
          <w:rFonts w:hint="eastAsia" w:ascii="方正小标宋_GBK" w:hAnsi="方正小标宋_GBK" w:eastAsia="方正小标宋_GBK" w:cs="方正小标宋_GBK"/>
          <w:sz w:val="84"/>
          <w:szCs w:val="84"/>
        </w:rPr>
      </w:pPr>
      <w:bookmarkStart w:id="0" w:name="_GoBack"/>
      <w:bookmarkEnd w:id="0"/>
    </w:p>
    <w:p w14:paraId="2B49F2B7">
      <w:pPr>
        <w:pStyle w:val="12"/>
        <w:jc w:val="center"/>
        <w:rPr>
          <w:rFonts w:hint="eastAsia" w:ascii="方正小标宋_GBK" w:hAnsi="方正小标宋_GBK" w:eastAsia="方正小标宋_GBK" w:cs="方正小标宋_GBK"/>
          <w:sz w:val="84"/>
          <w:szCs w:val="84"/>
        </w:rPr>
      </w:pPr>
    </w:p>
    <w:p w14:paraId="661BBFC8">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2"/>
        <w:jc w:val="center"/>
        <w:rPr>
          <w:rFonts w:hint="eastAsia" w:ascii="方正小标宋_GBK" w:hAnsi="方正小标宋_GBK" w:eastAsia="方正小标宋_GBK" w:cs="方正小标宋_GBK"/>
          <w:sz w:val="84"/>
          <w:szCs w:val="84"/>
        </w:rPr>
      </w:pPr>
    </w:p>
    <w:p w14:paraId="3860F185">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2"/>
        <w:jc w:val="center"/>
        <w:rPr>
          <w:rFonts w:hint="eastAsia" w:ascii="仿宋_GB2312" w:hAnsi="仿宋_GB2312" w:eastAsia="仿宋_GB2312" w:cs="仿宋_GB2312"/>
          <w:b w:val="0"/>
          <w:bCs w:val="0"/>
          <w:sz w:val="72"/>
          <w:szCs w:val="72"/>
          <w:lang w:eastAsia="zh-CN"/>
        </w:rPr>
      </w:pPr>
    </w:p>
    <w:p w14:paraId="0568D1B8">
      <w:pPr>
        <w:pStyle w:val="12"/>
        <w:jc w:val="center"/>
        <w:rPr>
          <w:rFonts w:hint="eastAsia" w:ascii="仿宋_GB2312" w:hAnsi="仿宋_GB2312" w:eastAsia="仿宋_GB2312" w:cs="仿宋_GB2312"/>
          <w:b w:val="0"/>
          <w:bCs w:val="0"/>
          <w:sz w:val="72"/>
          <w:szCs w:val="72"/>
          <w:lang w:eastAsia="zh-CN"/>
        </w:rPr>
      </w:pPr>
    </w:p>
    <w:p w14:paraId="5C65B646">
      <w:pPr>
        <w:pStyle w:val="12"/>
        <w:jc w:val="center"/>
        <w:rPr>
          <w:rFonts w:hint="eastAsia" w:ascii="仿宋_GB2312" w:hAnsi="仿宋_GB2312" w:eastAsia="仿宋_GB2312" w:cs="仿宋_GB2312"/>
          <w:b w:val="0"/>
          <w:bCs w:val="0"/>
          <w:sz w:val="72"/>
          <w:szCs w:val="72"/>
          <w:lang w:eastAsia="zh-CN"/>
        </w:rPr>
      </w:pPr>
    </w:p>
    <w:p w14:paraId="62EA5E89">
      <w:pPr>
        <w:pStyle w:val="12"/>
        <w:jc w:val="center"/>
        <w:rPr>
          <w:rFonts w:hint="eastAsia" w:ascii="仿宋_GB2312" w:hAnsi="仿宋_GB2312" w:eastAsia="仿宋_GB2312" w:cs="仿宋_GB2312"/>
          <w:b w:val="0"/>
          <w:bCs w:val="0"/>
          <w:sz w:val="72"/>
          <w:szCs w:val="72"/>
          <w:lang w:eastAsia="zh-CN"/>
        </w:rPr>
      </w:pPr>
    </w:p>
    <w:p w14:paraId="63BFFD84">
      <w:pPr>
        <w:pStyle w:val="12"/>
        <w:jc w:val="center"/>
        <w:rPr>
          <w:rFonts w:hint="eastAsia" w:ascii="仿宋_GB2312" w:hAnsi="仿宋_GB2312" w:eastAsia="仿宋_GB2312" w:cs="仿宋_GB2312"/>
          <w:b w:val="0"/>
          <w:bCs w:val="0"/>
          <w:sz w:val="72"/>
          <w:szCs w:val="72"/>
          <w:lang w:eastAsia="zh-CN"/>
        </w:rPr>
      </w:pPr>
    </w:p>
    <w:p w14:paraId="4565BABE">
      <w:pPr>
        <w:pStyle w:val="12"/>
        <w:jc w:val="center"/>
        <w:rPr>
          <w:rFonts w:hint="eastAsia" w:ascii="仿宋_GB2312" w:hAnsi="仿宋_GB2312" w:eastAsia="仿宋_GB2312" w:cs="仿宋_GB2312"/>
          <w:b w:val="0"/>
          <w:bCs w:val="0"/>
          <w:sz w:val="72"/>
          <w:szCs w:val="72"/>
          <w:lang w:eastAsia="zh-CN"/>
        </w:rPr>
      </w:pPr>
    </w:p>
    <w:p w14:paraId="6EEAB3EF">
      <w:pPr>
        <w:pStyle w:val="12"/>
        <w:jc w:val="center"/>
        <w:rPr>
          <w:rFonts w:hint="eastAsia" w:ascii="仿宋_GB2312" w:hAnsi="仿宋_GB2312" w:eastAsia="仿宋_GB2312" w:cs="仿宋_GB2312"/>
          <w:b w:val="0"/>
          <w:bCs w:val="0"/>
          <w:sz w:val="72"/>
          <w:szCs w:val="72"/>
          <w:lang w:eastAsia="zh-CN"/>
        </w:rPr>
      </w:pPr>
    </w:p>
    <w:p w14:paraId="603C04A7">
      <w:pPr>
        <w:pStyle w:val="12"/>
        <w:jc w:val="center"/>
        <w:rPr>
          <w:rFonts w:hint="eastAsia" w:ascii="方正小标宋_GBK" w:hAnsi="方正小标宋_GBK" w:eastAsia="方正小标宋_GBK" w:cs="方正小标宋_GBK"/>
          <w:sz w:val="72"/>
          <w:szCs w:val="72"/>
        </w:rPr>
      </w:pPr>
    </w:p>
    <w:p w14:paraId="7A44A82E">
      <w:pPr>
        <w:pStyle w:val="12"/>
        <w:jc w:val="center"/>
        <w:rPr>
          <w:rFonts w:hint="eastAsia" w:ascii="方正小标宋_GBK" w:hAnsi="方正小标宋_GBK" w:eastAsia="方正小标宋_GBK" w:cs="方正小标宋_GBK"/>
          <w:sz w:val="72"/>
          <w:szCs w:val="72"/>
        </w:rPr>
      </w:pPr>
    </w:p>
    <w:p w14:paraId="06211665">
      <w:pPr>
        <w:pStyle w:val="12"/>
        <w:jc w:val="both"/>
        <w:rPr>
          <w:rFonts w:hint="eastAsia" w:ascii="方正小标宋_GBK" w:hAnsi="方正小标宋_GBK" w:eastAsia="方正小标宋_GBK" w:cs="方正小标宋_GBK"/>
          <w:sz w:val="72"/>
          <w:szCs w:val="72"/>
        </w:rPr>
      </w:pPr>
    </w:p>
    <w:p w14:paraId="7804FBAA">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2"/>
        <w:jc w:val="center"/>
        <w:rPr>
          <w:rFonts w:hint="eastAsia" w:ascii="方正小标宋_GBK" w:hAnsi="方正小标宋_GBK" w:eastAsia="方正小标宋_GBK" w:cs="方正小标宋_GBK"/>
          <w:sz w:val="70"/>
          <w:szCs w:val="70"/>
        </w:rPr>
      </w:pPr>
    </w:p>
    <w:p w14:paraId="4F77A5A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2"/>
        <w:jc w:val="center"/>
        <w:rPr>
          <w:rFonts w:hint="eastAsia" w:ascii="方正小标宋_GBK" w:hAnsi="方正小标宋_GBK" w:eastAsia="方正小标宋_GBK" w:cs="方正小标宋_GBK"/>
          <w:sz w:val="70"/>
          <w:szCs w:val="70"/>
        </w:rPr>
      </w:pPr>
    </w:p>
    <w:p w14:paraId="6EEC30AB">
      <w:pPr>
        <w:pStyle w:val="12"/>
        <w:jc w:val="center"/>
        <w:rPr>
          <w:rFonts w:hint="eastAsia" w:ascii="方正小标宋_GBK" w:hAnsi="方正小标宋_GBK" w:eastAsia="方正小标宋_GBK" w:cs="方正小标宋_GBK"/>
          <w:sz w:val="70"/>
          <w:szCs w:val="70"/>
        </w:rPr>
      </w:pPr>
    </w:p>
    <w:p w14:paraId="417367C1">
      <w:pPr>
        <w:pStyle w:val="12"/>
        <w:jc w:val="center"/>
        <w:rPr>
          <w:rFonts w:hint="eastAsia" w:ascii="方正小标宋_GBK" w:hAnsi="方正小标宋_GBK" w:eastAsia="方正小标宋_GBK" w:cs="方正小标宋_GBK"/>
          <w:sz w:val="70"/>
          <w:szCs w:val="70"/>
        </w:rPr>
      </w:pPr>
    </w:p>
    <w:p w14:paraId="5EF1049C">
      <w:pPr>
        <w:pStyle w:val="12"/>
        <w:jc w:val="center"/>
        <w:rPr>
          <w:rFonts w:hint="eastAsia" w:ascii="方正小标宋_GBK" w:hAnsi="方正小标宋_GBK" w:eastAsia="方正小标宋_GBK" w:cs="方正小标宋_GBK"/>
          <w:sz w:val="70"/>
          <w:szCs w:val="70"/>
        </w:rPr>
      </w:pPr>
    </w:p>
    <w:p w14:paraId="7E4B3CF9">
      <w:pPr>
        <w:pStyle w:val="12"/>
        <w:jc w:val="center"/>
        <w:rPr>
          <w:rFonts w:hint="eastAsia" w:ascii="方正小标宋_GBK" w:hAnsi="方正小标宋_GBK" w:eastAsia="方正小标宋_GBK" w:cs="方正小标宋_GBK"/>
          <w:sz w:val="70"/>
          <w:szCs w:val="70"/>
        </w:rPr>
      </w:pPr>
    </w:p>
    <w:p w14:paraId="514C0722">
      <w:pPr>
        <w:pStyle w:val="12"/>
        <w:jc w:val="center"/>
        <w:rPr>
          <w:rFonts w:hint="eastAsia" w:ascii="方正小标宋_GBK" w:hAnsi="方正小标宋_GBK" w:eastAsia="方正小标宋_GBK" w:cs="方正小标宋_GBK"/>
          <w:sz w:val="70"/>
          <w:szCs w:val="70"/>
        </w:rPr>
      </w:pPr>
    </w:p>
    <w:p w14:paraId="2F57288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4B35AC0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118E8BA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140EC96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390FAE7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0D00174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14:paraId="2411C08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2633.08</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693.55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20.85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人员经费减少。</w:t>
      </w:r>
    </w:p>
    <w:p w14:paraId="07DA9E3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2633.00</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1967.43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74.72</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665.57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25.28</w:t>
      </w:r>
      <w:r>
        <w:rPr>
          <w:rFonts w:hint="eastAsia" w:ascii="仿宋_GB2312" w:hAnsi="仿宋_GB2312" w:eastAsia="仿宋_GB2312" w:cs="仿宋_GB2312"/>
          <w:sz w:val="32"/>
          <w:szCs w:val="32"/>
        </w:rPr>
        <w:t>%。</w:t>
      </w:r>
    </w:p>
    <w:p w14:paraId="2D1A2B4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2633.02</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1652.07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62.74</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980.95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37.26</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6985752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4ED35F49">
      <w:pPr>
        <w:pStyle w:val="12"/>
        <w:keepNext w:val="0"/>
        <w:keepLines w:val="0"/>
        <w:pageBreakBefore w:val="0"/>
        <w:widowControl w:val="0"/>
        <w:kinsoku/>
        <w:wordWrap/>
        <w:overflowPunct/>
        <w:topLinePunct w:val="0"/>
        <w:bidi w:val="0"/>
        <w:snapToGrid/>
        <w:spacing w:line="600" w:lineRule="exact"/>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1967.43</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val="en-US" w:eastAsia="zh-CN"/>
        </w:rPr>
        <w:t>增加181.03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增长10.13</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本年节能环保支出增加。</w:t>
      </w:r>
    </w:p>
    <w:p w14:paraId="4BB30A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6CAEDE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1967.43</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74.72</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181.03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10.13</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本年节能环保支出增加。</w:t>
      </w:r>
    </w:p>
    <w:p w14:paraId="66C54C8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1967.43</w:t>
      </w:r>
      <w:r>
        <w:rPr>
          <w:rFonts w:hint="eastAsia" w:ascii="仿宋_GB2312" w:hAnsi="仿宋_GB2312" w:eastAsia="仿宋_GB2312" w:cs="仿宋_GB2312"/>
          <w:sz w:val="32"/>
          <w:szCs w:val="32"/>
        </w:rPr>
        <w:t>万元，主要用于以下方面：社会保障和就业支出155.79万元，占</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%；卫生健康支出48.07万元，占</w:t>
      </w:r>
      <w:r>
        <w:rPr>
          <w:rFonts w:hint="eastAsia" w:ascii="仿宋_GB2312" w:hAnsi="仿宋_GB2312" w:eastAsia="仿宋_GB2312" w:cs="仿宋_GB2312"/>
          <w:sz w:val="32"/>
          <w:szCs w:val="32"/>
          <w:lang w:val="en-US" w:eastAsia="zh-CN"/>
        </w:rPr>
        <w:t>2.44</w:t>
      </w:r>
      <w:r>
        <w:rPr>
          <w:rFonts w:hint="eastAsia" w:ascii="仿宋_GB2312" w:hAnsi="仿宋_GB2312" w:eastAsia="仿宋_GB2312" w:cs="仿宋_GB2312"/>
          <w:sz w:val="32"/>
          <w:szCs w:val="32"/>
        </w:rPr>
        <w:t>%;节能环保</w:t>
      </w:r>
      <w:r>
        <w:rPr>
          <w:rFonts w:hint="eastAsia" w:ascii="仿宋_GB2312" w:hAnsi="仿宋_GB2312" w:eastAsia="仿宋_GB2312" w:cs="仿宋_GB2312"/>
          <w:sz w:val="32"/>
          <w:szCs w:val="32"/>
          <w:lang w:val="en-US" w:eastAsia="zh-CN"/>
        </w:rPr>
        <w:t>支出1671.32万元，占84.95%；住房保障支出92.25万元，占4.69%</w:t>
      </w:r>
    </w:p>
    <w:p w14:paraId="5CDBADF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年度财政拨款支出年初预算数为1745.17万元，支出决算数为2633.02万元，完成年初预算的</w:t>
      </w:r>
      <w:r>
        <w:rPr>
          <w:rFonts w:hint="default" w:ascii="仿宋_GB2312" w:hAnsi="仿宋_GB2312" w:eastAsia="仿宋_GB2312" w:cs="仿宋_GB2312"/>
          <w:sz w:val="32"/>
          <w:szCs w:val="32"/>
        </w:rPr>
        <w:t>133.71</w:t>
      </w:r>
      <w:r>
        <w:rPr>
          <w:rFonts w:hint="eastAsia" w:ascii="仿宋_GB2312" w:hAnsi="仿宋_GB2312" w:eastAsia="仿宋_GB2312" w:cs="仿宋_GB2312"/>
          <w:sz w:val="32"/>
          <w:szCs w:val="32"/>
        </w:rPr>
        <w:t>%，其中：</w:t>
      </w:r>
    </w:p>
    <w:p w14:paraId="237A4D6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7523608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年初预算为127.72万元，支出决算为114.59万元，完成年初预算的</w:t>
      </w:r>
      <w:r>
        <w:rPr>
          <w:rFonts w:hint="eastAsia" w:ascii="仿宋_GB2312" w:hAnsi="仿宋_GB2312" w:eastAsia="仿宋_GB2312" w:cs="仿宋_GB2312"/>
          <w:sz w:val="32"/>
          <w:szCs w:val="32"/>
          <w:lang w:val="en-US" w:eastAsia="zh-CN"/>
        </w:rPr>
        <w:t>89.72</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2024年执法机构改革，执法人员调入支队。</w:t>
      </w:r>
    </w:p>
    <w:p w14:paraId="3443D2A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社会保障和就业支出（类）残疾人事业（款）其他残疾人事业支出（项）。</w:t>
      </w:r>
    </w:p>
    <w:p w14:paraId="5730FC4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年初预算为10.19万元，支出决算为8.78万元，完成年初预算的</w:t>
      </w:r>
      <w:r>
        <w:rPr>
          <w:rFonts w:hint="eastAsia" w:ascii="仿宋_GB2312" w:hAnsi="仿宋_GB2312" w:eastAsia="仿宋_GB2312" w:cs="仿宋_GB2312"/>
          <w:sz w:val="32"/>
          <w:szCs w:val="32"/>
          <w:lang w:val="en-US" w:eastAsia="zh-CN"/>
        </w:rPr>
        <w:t>86.16</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2024年执法机构改革，执法人员调入支队。</w:t>
      </w:r>
    </w:p>
    <w:p w14:paraId="28A774C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rPr>
        <w:t>3</w:t>
      </w:r>
      <w:r>
        <w:rPr>
          <w:rFonts w:hint="eastAsia" w:ascii="仿宋_GB2312" w:hAnsi="仿宋_GB2312" w:eastAsia="仿宋_GB2312" w:cs="仿宋_GB2312"/>
          <w:sz w:val="32"/>
          <w:szCs w:val="32"/>
        </w:rPr>
        <w:t>、社会保障和就业支出（类）其他社会保障和就业支出（款）其他社会保障和就业支出（项）。</w:t>
      </w:r>
    </w:p>
    <w:p w14:paraId="2CD4970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年初预算为32.42万元，支出决算为32.42万元，完成年初预算的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0911351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rPr>
        <w:t>4</w:t>
      </w:r>
      <w:r>
        <w:rPr>
          <w:rFonts w:hint="eastAsia" w:ascii="仿宋_GB2312" w:hAnsi="仿宋_GB2312" w:eastAsia="仿宋_GB2312" w:cs="仿宋_GB2312"/>
          <w:sz w:val="32"/>
          <w:szCs w:val="32"/>
        </w:rPr>
        <w:t>、卫生健康支出（类）行政事业单位医疗（款）行政单位医疗（项）。</w:t>
      </w:r>
    </w:p>
    <w:p w14:paraId="5D720B2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年初预算为48.07万元，支出决算为48.07万元，完成年初预算的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25BC49F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、卫生健康支出（类）行政事业单位医疗（款）公务员医疗补助（项）。</w:t>
      </w:r>
    </w:p>
    <w:p w14:paraId="6C8AA44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年初预算为2.52万元，支出决算为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本年无此项开支。</w:t>
      </w:r>
    </w:p>
    <w:p w14:paraId="0F3F976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、节能环保支出（类）环境保护管理事务（款） 行政运行（项）。</w:t>
      </w:r>
    </w:p>
    <w:p w14:paraId="452C5DC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年初预算为1432</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万元，支出决算为1371.92万元，完成年初预算的</w:t>
      </w:r>
      <w:r>
        <w:rPr>
          <w:rFonts w:hint="eastAsia" w:ascii="仿宋_GB2312" w:hAnsi="仿宋_GB2312" w:eastAsia="仿宋_GB2312" w:cs="仿宋_GB2312"/>
          <w:sz w:val="32"/>
          <w:szCs w:val="32"/>
          <w:lang w:val="en-US" w:eastAsia="zh-CN"/>
        </w:rPr>
        <w:t>95.80</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合理控制行政运行支出。</w:t>
      </w:r>
    </w:p>
    <w:p w14:paraId="3143860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、节能环保支出（类）环境保护管理事务（款） 其他环境保护管理事务支出（项）。</w:t>
      </w:r>
    </w:p>
    <w:p w14:paraId="321F632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万元，支出决算为776.44万元，决算数大于年初预算数的主要原因是：</w:t>
      </w:r>
      <w:r>
        <w:rPr>
          <w:rFonts w:hint="eastAsia" w:ascii="仿宋_GB2312" w:hAnsi="仿宋_GB2312" w:eastAsia="仿宋_GB2312" w:cs="仿宋_GB2312"/>
          <w:sz w:val="32"/>
          <w:szCs w:val="32"/>
          <w:lang w:eastAsia="zh-CN"/>
        </w:rPr>
        <w:t>年初未做</w:t>
      </w:r>
      <w:r>
        <w:rPr>
          <w:rFonts w:hint="eastAsia" w:ascii="仿宋_GB2312" w:hAnsi="仿宋_GB2312" w:eastAsia="仿宋_GB2312" w:cs="仿宋_GB2312"/>
          <w:sz w:val="32"/>
          <w:szCs w:val="32"/>
        </w:rPr>
        <w:t>其他</w:t>
      </w:r>
      <w:r>
        <w:rPr>
          <w:rFonts w:hint="eastAsia" w:ascii="仿宋_GB2312" w:hAnsi="仿宋_GB2312" w:eastAsia="仿宋_GB2312" w:cs="仿宋_GB2312"/>
          <w:sz w:val="32"/>
          <w:szCs w:val="32"/>
          <w:lang w:val="en-US" w:eastAsia="zh-CN"/>
        </w:rPr>
        <w:t>环境保护管理事务</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预算，年中追加</w:t>
      </w:r>
    </w:p>
    <w:p w14:paraId="0A83D5B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、节能环保支出（类）污染防治（款）其他污染防治支出（项）。</w:t>
      </w:r>
    </w:p>
    <w:p w14:paraId="19054FF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万元，支出决算为107.5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eastAsia="zh-CN"/>
        </w:rPr>
        <w:t>年初未做</w:t>
      </w:r>
      <w:r>
        <w:rPr>
          <w:rFonts w:hint="eastAsia" w:ascii="仿宋_GB2312" w:hAnsi="仿宋_GB2312" w:eastAsia="仿宋_GB2312" w:cs="仿宋_GB2312"/>
          <w:sz w:val="32"/>
          <w:szCs w:val="32"/>
        </w:rPr>
        <w:t>其他污染防治支出</w:t>
      </w:r>
      <w:r>
        <w:rPr>
          <w:rFonts w:hint="eastAsia" w:ascii="仿宋_GB2312" w:hAnsi="仿宋_GB2312" w:eastAsia="仿宋_GB2312" w:cs="仿宋_GB2312"/>
          <w:sz w:val="32"/>
          <w:szCs w:val="32"/>
          <w:lang w:eastAsia="zh-CN"/>
        </w:rPr>
        <w:t>预算，年中追加。</w:t>
      </w:r>
    </w:p>
    <w:p w14:paraId="470975F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节能环保支出</w:t>
      </w:r>
      <w:r>
        <w:rPr>
          <w:rFonts w:hint="eastAsia" w:ascii="仿宋_GB2312" w:hAnsi="仿宋_GB2312" w:eastAsia="仿宋_GB2312" w:cs="仿宋_GB2312"/>
          <w:sz w:val="32"/>
          <w:szCs w:val="32"/>
        </w:rPr>
        <w:t>（类）污染减排（款）生态环境执法监察（项）。</w:t>
      </w:r>
    </w:p>
    <w:p w14:paraId="7E72A79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万元，支出决算为6</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eastAsia="zh-CN"/>
        </w:rPr>
        <w:t>年初未做</w:t>
      </w:r>
      <w:r>
        <w:rPr>
          <w:rFonts w:hint="eastAsia" w:ascii="仿宋_GB2312" w:hAnsi="仿宋_GB2312" w:eastAsia="仿宋_GB2312" w:cs="仿宋_GB2312"/>
          <w:sz w:val="32"/>
          <w:szCs w:val="32"/>
          <w:lang w:val="en-US" w:eastAsia="zh-CN"/>
        </w:rPr>
        <w:t>生态环境执法监察</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预算，年中追加。</w:t>
      </w:r>
    </w:p>
    <w:p w14:paraId="4911EE5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、节能环保支出（类）其他节能环保支出（款）其他节能环保支出（项）。</w:t>
      </w:r>
    </w:p>
    <w:p w14:paraId="42C84AE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万元，支出决算为75.05万元，决算数大于（小于）年初预算数的主要原因是：</w:t>
      </w:r>
      <w:r>
        <w:rPr>
          <w:rFonts w:hint="eastAsia" w:ascii="仿宋_GB2312" w:hAnsi="仿宋_GB2312" w:eastAsia="仿宋_GB2312" w:cs="仿宋_GB2312"/>
          <w:sz w:val="32"/>
          <w:szCs w:val="32"/>
          <w:lang w:eastAsia="zh-CN"/>
        </w:rPr>
        <w:t>年初未做</w:t>
      </w:r>
      <w:r>
        <w:rPr>
          <w:rFonts w:hint="eastAsia" w:ascii="仿宋_GB2312" w:hAnsi="仿宋_GB2312" w:eastAsia="仿宋_GB2312" w:cs="仿宋_GB2312"/>
          <w:sz w:val="32"/>
          <w:szCs w:val="32"/>
        </w:rPr>
        <w:t>其他节能环保支出</w:t>
      </w:r>
      <w:r>
        <w:rPr>
          <w:rFonts w:hint="eastAsia" w:ascii="仿宋_GB2312" w:hAnsi="仿宋_GB2312" w:eastAsia="仿宋_GB2312" w:cs="仿宋_GB2312"/>
          <w:sz w:val="32"/>
          <w:szCs w:val="32"/>
          <w:lang w:eastAsia="zh-CN"/>
        </w:rPr>
        <w:t>预算，年中追加。</w:t>
      </w:r>
    </w:p>
    <w:p w14:paraId="26E413C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、住房保障支出（类）住房改革支出（款）住房公积金（项）。</w:t>
      </w:r>
    </w:p>
    <w:p w14:paraId="05D7628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年初预算为92.25万元，支出决算为92.25万元，完成年初预算的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严格按预算数执行。</w:t>
      </w:r>
    </w:p>
    <w:p w14:paraId="373E8BA2">
      <w:pPr>
        <w:pStyle w:val="12"/>
        <w:keepNext w:val="0"/>
        <w:keepLines w:val="0"/>
        <w:pageBreakBefore w:val="0"/>
        <w:widowControl w:val="0"/>
        <w:kinsoku/>
        <w:wordWrap/>
        <w:overflowPunct/>
        <w:topLinePunct w:val="0"/>
        <w:bidi w:val="0"/>
        <w:snapToGrid/>
        <w:spacing w:line="600" w:lineRule="exact"/>
        <w:ind w:firstLine="320" w:firstLineChars="1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财政拨款基本支出1628.08万元，其中：</w:t>
      </w:r>
    </w:p>
    <w:p w14:paraId="763B784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1407.8万元，占基本支出的</w:t>
      </w:r>
      <w:r>
        <w:rPr>
          <w:rFonts w:hint="eastAsia" w:ascii="仿宋_GB2312" w:hAnsi="仿宋_GB2312" w:eastAsia="仿宋_GB2312" w:cs="仿宋_GB2312"/>
          <w:sz w:val="32"/>
          <w:szCs w:val="32"/>
          <w:lang w:val="en-US" w:eastAsia="zh-CN"/>
        </w:rPr>
        <w:t>86.50</w:t>
      </w:r>
      <w:r>
        <w:rPr>
          <w:rFonts w:hint="eastAsia" w:ascii="仿宋_GB2312" w:hAnsi="仿宋_GB2312" w:eastAsia="仿宋_GB2312" w:cs="仿宋_GB2312"/>
          <w:sz w:val="32"/>
          <w:szCs w:val="32"/>
        </w:rPr>
        <w:t>%,主要包括包括基本工资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、抚恤金、</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8A9DF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220.28万元，占基本支出的</w:t>
      </w:r>
      <w:r>
        <w:rPr>
          <w:rFonts w:hint="eastAsia" w:ascii="仿宋_GB2312" w:hAnsi="仿宋_GB2312" w:eastAsia="仿宋_GB2312" w:cs="仿宋_GB2312"/>
          <w:sz w:val="32"/>
          <w:szCs w:val="32"/>
          <w:lang w:val="en-US" w:eastAsia="zh-CN"/>
        </w:rPr>
        <w:t>13.50</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专用材料费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税金及附加费用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238B27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12592558">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2024年度国有资本经营预算财政拨款收入0万元；年初结转和结余0万；支出0万元，其中：基本支出0万元，项目支出0万元；年末结转和结余0万元。</w:t>
      </w:r>
    </w:p>
    <w:p w14:paraId="5876C25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2"/>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w:t>
      </w:r>
      <w:r>
        <w:rPr>
          <w:rFonts w:hint="eastAsia" w:ascii="仿宋_GB2312" w:hAnsi="仿宋_GB2312" w:eastAsia="仿宋_GB2312" w:cs="仿宋_GB2312"/>
          <w:sz w:val="32"/>
          <w:szCs w:val="32"/>
        </w:rPr>
        <w:t>024年度“三公”经费财政拨款支出预算为</w:t>
      </w:r>
      <w:r>
        <w:rPr>
          <w:rFonts w:hint="eastAsia" w:ascii="仿宋_GB2312" w:hAnsi="仿宋_GB2312" w:eastAsia="仿宋_GB2312" w:cs="仿宋_GB2312"/>
          <w:sz w:val="32"/>
          <w:szCs w:val="32"/>
          <w:lang w:val="en-US" w:eastAsia="zh-CN"/>
        </w:rPr>
        <w:t>14.00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7.68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54.86</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6.47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534.71</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预算数的主要原因是厉行节约。</w:t>
      </w:r>
    </w:p>
    <w:p w14:paraId="352D03A7">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3E93095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1.因公出国（境）费支出预算为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val="en-US" w:eastAsia="zh-CN"/>
        </w:rPr>
        <w:t>本年未安排因公出国（境）活动</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一致,无增减变动，</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近两年未安排因公出国（境）活动</w:t>
      </w:r>
      <w:r>
        <w:rPr>
          <w:rFonts w:hint="eastAsia" w:ascii="仿宋_GB2312" w:hAnsi="仿宋_GB2312" w:eastAsia="仿宋_GB2312" w:cs="仿宋_GB2312"/>
          <w:sz w:val="32"/>
          <w:szCs w:val="32"/>
        </w:rPr>
        <w:t>。</w:t>
      </w:r>
    </w:p>
    <w:p w14:paraId="2EA0759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2.公务用车购置费及运行维护费支出预算为</w:t>
      </w:r>
      <w:r>
        <w:rPr>
          <w:rFonts w:hint="eastAsia" w:ascii="仿宋_GB2312" w:hAnsi="仿宋_GB2312" w:eastAsia="仿宋_GB2312" w:cs="仿宋_GB2312"/>
          <w:sz w:val="32"/>
          <w:szCs w:val="32"/>
          <w:lang w:val="en-US" w:eastAsia="zh-CN"/>
        </w:rPr>
        <w:t>9.00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5.82</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64.66</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32.48</w:t>
      </w:r>
      <w:r>
        <w:rPr>
          <w:rFonts w:hint="eastAsia" w:ascii="仿宋_GB2312" w:hAnsi="仿宋_GB2312" w:eastAsia="仿宋_GB2312" w:cs="仿宋_GB2312"/>
          <w:sz w:val="32"/>
          <w:szCs w:val="32"/>
        </w:rPr>
        <w:t>%。其中：</w:t>
      </w:r>
    </w:p>
    <w:p w14:paraId="7FFBEEE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决算数等于预算数，主要原因是我单位严格按预算执行决算</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与上年一致，无增减变动，主要原因是两年均未购置公务用车。本单位</w:t>
      </w:r>
      <w:r>
        <w:rPr>
          <w:rFonts w:hint="eastAsia" w:ascii="仿宋_GB2312" w:hAnsi="仿宋_GB2312" w:eastAsia="仿宋_GB2312" w:cs="仿宋_GB2312"/>
          <w:sz w:val="32"/>
          <w:szCs w:val="32"/>
        </w:rPr>
        <w:t>更新公务用车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w:t>
      </w:r>
    </w:p>
    <w:p w14:paraId="67CE0E8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9.00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5.82</w:t>
      </w:r>
      <w:r>
        <w:rPr>
          <w:rFonts w:hint="eastAsia" w:ascii="仿宋_GB2312" w:hAnsi="仿宋_GB2312" w:eastAsia="仿宋_GB2312" w:cs="仿宋_GB2312"/>
          <w:sz w:val="32"/>
          <w:szCs w:val="32"/>
        </w:rPr>
        <w:t>万元，</w:t>
      </w:r>
    </w:p>
    <w:p w14:paraId="26C228D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主要是公执法车加油、维修、保险支出，完成预算的</w:t>
      </w:r>
      <w:r>
        <w:rPr>
          <w:rFonts w:hint="eastAsia" w:ascii="仿宋_GB2312" w:hAnsi="仿宋_GB2312" w:eastAsia="仿宋_GB2312" w:cs="仿宋_GB2312"/>
          <w:sz w:val="32"/>
          <w:szCs w:val="32"/>
          <w:lang w:val="en-US" w:eastAsia="zh-CN"/>
        </w:rPr>
        <w:t>64.66</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32.48</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val="en-US" w:eastAsia="zh-CN"/>
        </w:rPr>
        <w:t>厉行节约严格，控制三公经费</w:t>
      </w:r>
      <w:r>
        <w:rPr>
          <w:rFonts w:hint="eastAsia" w:ascii="仿宋_GB2312" w:hAnsi="仿宋_GB2312" w:eastAsia="仿宋_GB2312" w:cs="仿宋_GB2312"/>
          <w:sz w:val="32"/>
          <w:szCs w:val="32"/>
        </w:rPr>
        <w:t>。</w:t>
      </w:r>
    </w:p>
    <w:p w14:paraId="039328F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1.86</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37.20</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1.47</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44.14</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val="en-US" w:eastAsia="zh-CN"/>
        </w:rPr>
        <w:t>厉行节约严格，控制三公经费</w:t>
      </w:r>
      <w:r>
        <w:rPr>
          <w:rFonts w:hint="eastAsia" w:ascii="仿宋_GB2312" w:hAnsi="仿宋_GB2312" w:eastAsia="仿宋_GB2312" w:cs="仿宋_GB2312"/>
          <w:sz w:val="32"/>
          <w:szCs w:val="32"/>
        </w:rPr>
        <w:t>。2024年度共接待来访团组</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155</w:t>
      </w:r>
      <w:r>
        <w:rPr>
          <w:rFonts w:hint="eastAsia" w:ascii="仿宋_GB2312" w:hAnsi="仿宋_GB2312" w:eastAsia="仿宋_GB2312" w:cs="仿宋_GB2312"/>
          <w:sz w:val="32"/>
          <w:szCs w:val="32"/>
        </w:rPr>
        <w:t>人次，主要是召开</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次会议，内容为</w:t>
      </w:r>
      <w:r>
        <w:rPr>
          <w:rFonts w:hint="eastAsia" w:ascii="仿宋_GB2312" w:hAnsi="仿宋_GB2312" w:eastAsia="仿宋_GB2312" w:cs="仿宋_GB2312"/>
          <w:sz w:val="32"/>
          <w:szCs w:val="32"/>
          <w:lang w:eastAsia="zh-CN"/>
        </w:rPr>
        <w:t>全市六五环保大会，迎接身患督察动员会，迎接中央环保督察会</w:t>
      </w:r>
      <w:r>
        <w:rPr>
          <w:rFonts w:hint="eastAsia" w:ascii="仿宋_GB2312" w:hAnsi="仿宋_GB2312" w:eastAsia="仿宋_GB2312" w:cs="仿宋_GB2312"/>
          <w:sz w:val="32"/>
          <w:szCs w:val="32"/>
        </w:rPr>
        <w:t>。</w:t>
      </w:r>
    </w:p>
    <w:p w14:paraId="3D06ACE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年度机关运行经费支出1628.08万元，</w:t>
      </w:r>
      <w:r>
        <w:rPr>
          <w:rFonts w:hint="eastAsia" w:ascii="仿宋_GB2312" w:hAnsi="仿宋_GB2312" w:eastAsia="仿宋_GB2312" w:cs="仿宋_GB2312"/>
          <w:sz w:val="32"/>
          <w:szCs w:val="32"/>
          <w:highlight w:val="none"/>
        </w:rPr>
        <w:t>比年初预算数（或者上年决算数）减少</w:t>
      </w:r>
      <w:r>
        <w:rPr>
          <w:rFonts w:hint="eastAsia" w:ascii="仿宋_GB2312" w:hAnsi="仿宋_GB2312" w:eastAsia="仿宋_GB2312" w:cs="仿宋_GB2312"/>
          <w:sz w:val="32"/>
          <w:szCs w:val="32"/>
          <w:highlight w:val="none"/>
          <w:lang w:val="en-US" w:eastAsia="zh-CN"/>
        </w:rPr>
        <w:t>117.09</w:t>
      </w:r>
      <w:r>
        <w:rPr>
          <w:rFonts w:hint="eastAsia" w:ascii="仿宋_GB2312" w:hAnsi="仿宋_GB2312" w:eastAsia="仿宋_GB2312" w:cs="仿宋_GB2312"/>
          <w:sz w:val="32"/>
          <w:szCs w:val="32"/>
          <w:highlight w:val="none"/>
        </w:rPr>
        <w:t xml:space="preserve"> 万元，降低</w:t>
      </w:r>
      <w:r>
        <w:rPr>
          <w:rFonts w:hint="eastAsia" w:ascii="仿宋_GB2312" w:hAnsi="仿宋_GB2312" w:eastAsia="仿宋_GB2312" w:cs="仿宋_GB2312"/>
          <w:sz w:val="32"/>
          <w:szCs w:val="32"/>
          <w:highlight w:val="none"/>
          <w:lang w:val="en-US" w:eastAsia="zh-CN"/>
        </w:rPr>
        <w:t>6.71</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val="en-US" w:eastAsia="zh-CN"/>
        </w:rPr>
        <w:t>人员经费减少</w:t>
      </w:r>
      <w:r>
        <w:rPr>
          <w:rFonts w:hint="eastAsia" w:ascii="楷体" w:hAnsi="楷体" w:eastAsia="楷体" w:cs="楷体"/>
          <w:sz w:val="32"/>
          <w:szCs w:val="32"/>
        </w:rPr>
        <w:t>。</w:t>
      </w:r>
    </w:p>
    <w:p w14:paraId="39684EF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362F9A0F">
      <w:pPr>
        <w:widowControl w:val="0"/>
        <w:autoSpaceDE w:val="0"/>
        <w:autoSpaceDN w:val="0"/>
        <w:adjustRightInd w:val="0"/>
        <w:ind w:firstLine="640" w:firstLineChars="200"/>
        <w:rPr>
          <w:rFonts w:hint="eastAsia" w:ascii="楷体" w:hAnsi="楷体" w:eastAsia="楷体" w:cs="楷体"/>
          <w:b/>
          <w:bCs/>
          <w:i w:val="0"/>
          <w:iCs w:val="0"/>
          <w:color w:val="FF0000"/>
          <w:kern w:val="0"/>
          <w:sz w:val="40"/>
          <w:szCs w:val="40"/>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年度，本单位无会议费的预算和支出决算数；本单位无培训费的预算和支出决算数；本单位无举办节庆、晚会、论坛、赛事等活动的预算和支出决算数</w:t>
      </w:r>
      <w:r>
        <w:rPr>
          <w:rFonts w:hint="eastAsia" w:ascii="仿宋_GB2312" w:hAnsi="仿宋_GB2312" w:eastAsia="仿宋_GB2312" w:cs="仿宋_GB2312"/>
          <w:color w:val="000000"/>
          <w:kern w:val="0"/>
          <w:sz w:val="32"/>
          <w:szCs w:val="32"/>
          <w:lang w:val="en-US" w:eastAsia="zh-CN" w:bidi="ar-SA"/>
        </w:rPr>
        <w:t>。</w:t>
      </w:r>
    </w:p>
    <w:p w14:paraId="252D0BE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087F52B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i/>
          <w:color w:val="FF0000"/>
          <w:sz w:val="32"/>
          <w:szCs w:val="32"/>
          <w:lang w:val="en-US" w:eastAsia="zh-CN"/>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293.07</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293.07</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293.07</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293.07</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246A0DF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044E38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辆，其他用车主要是监测站采样车辆；单位价值100万元以上设备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2559DDC6">
      <w:pPr>
        <w:overflowPunct w:val="0"/>
        <w:spacing w:line="600" w:lineRule="exact"/>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hint="eastAsia" w:ascii="仿宋_GB2312" w:hAnsi="仿宋_GB2312" w:eastAsia="仿宋_GB2312" w:cs="仿宋_GB2312"/>
          <w:color w:val="000000"/>
          <w:kern w:val="0"/>
          <w:sz w:val="32"/>
          <w:szCs w:val="32"/>
          <w:lang w:val="en-US" w:eastAsia="zh-CN" w:bidi="ar-SA"/>
        </w:rPr>
        <w:t>组织对2024年度本部门（单位）整体支出开展绩效自评，涉及项目3 个，共涉及资金195.42万元。其中，一般公共预算项目1 个195.42万元，占一般公共预算支出总额的57.57%；政府性基金预算项目0个0.00 万元，占政府性基金预算支出总额的0.00%；国有资本经营预算项目0个0.00 万元，占国有资本经营预算支出总额的0.00%；社会保险基金预算项目0 个0.00万元，占社会保险基金预算支出总额的0.00%。</w:t>
      </w:r>
    </w:p>
    <w:p w14:paraId="7C65853C">
      <w:pPr>
        <w:overflowPunct w:val="0"/>
        <w:spacing w:line="600" w:lineRule="exact"/>
        <w:ind w:firstLine="640" w:firstLineChars="200"/>
        <w:rPr>
          <w:rFonts w:hint="eastAsia" w:ascii="Times New Roman" w:hAnsi="Times New Roman" w:eastAsia="仿宋_GB2312" w:cs="Times New Roman"/>
          <w:color w:val="FF0000"/>
          <w:kern w:val="0"/>
          <w:sz w:val="32"/>
          <w:szCs w:val="32"/>
          <w:lang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kern w:val="0"/>
          <w:sz w:val="32"/>
          <w:szCs w:val="32"/>
          <w:highlight w:val="none"/>
        </w:rPr>
        <w:t>本单位为二级预算单位，部门评价开展情况可详见上级部门决算公开说明。</w:t>
      </w:r>
    </w:p>
    <w:p w14:paraId="2B23DD89">
      <w:pPr>
        <w:overflowPunct w:val="0"/>
        <w:spacing w:line="600" w:lineRule="exact"/>
        <w:ind w:firstLine="640" w:firstLineChars="200"/>
        <w:rPr>
          <w:rFonts w:hint="eastAsia" w:ascii="Times New Roman" w:hAnsi="Times New Roman" w:eastAsia="仿宋_GB2312" w:cs="Times New Roman"/>
          <w:color w:val="FF0000"/>
          <w:kern w:val="0"/>
          <w:sz w:val="32"/>
          <w:szCs w:val="32"/>
          <w:lang w:val="en-US" w:eastAsia="zh-CN"/>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kern w:val="0"/>
          <w:sz w:val="32"/>
          <w:szCs w:val="32"/>
          <w:highlight w:val="none"/>
        </w:rPr>
        <w:t>本单位为二级预算单位，事前绩效评估开展情况可详见上级部门决算公开说明。</w:t>
      </w:r>
    </w:p>
    <w:p w14:paraId="004D01B3">
      <w:pPr>
        <w:overflowPunct w:val="0"/>
        <w:spacing w:line="600" w:lineRule="exact"/>
        <w:ind w:firstLine="640" w:firstLineChars="200"/>
        <w:rPr>
          <w:rFonts w:ascii="Times New Roman" w:hAnsi="Times New Roman" w:eastAsia="楷体" w:cs="Times New Roman"/>
          <w:b/>
          <w:bCs/>
          <w:sz w:val="32"/>
          <w:szCs w:val="32"/>
        </w:rPr>
      </w:pP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6BE621C7">
      <w:pPr>
        <w:overflowPunct w:val="0"/>
        <w:spacing w:line="600" w:lineRule="exact"/>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hint="eastAsia" w:ascii="仿宋_GB2312" w:hAnsi="仿宋_GB2312" w:eastAsia="仿宋_GB2312" w:cs="仿宋_GB2312"/>
          <w:color w:val="auto"/>
          <w:kern w:val="0"/>
          <w:sz w:val="32"/>
          <w:szCs w:val="32"/>
          <w:lang w:val="en-US" w:eastAsia="zh-CN" w:bidi="ar-SA"/>
        </w:rPr>
        <w:t>2</w:t>
      </w:r>
      <w:r>
        <w:rPr>
          <w:rFonts w:hint="eastAsia" w:ascii="仿宋_GB2312" w:hAnsi="仿宋_GB2312" w:eastAsia="仿宋_GB2312" w:cs="仿宋_GB2312"/>
          <w:color w:val="000000"/>
          <w:kern w:val="0"/>
          <w:sz w:val="32"/>
          <w:szCs w:val="32"/>
          <w:lang w:val="en-US" w:eastAsia="zh-CN" w:bidi="ar-SA"/>
        </w:rPr>
        <w:t>024年度本部门（单位）整体支出全年预算数2753.25万元，执行数2633.08万元，完成预算的95.64%，绩效自评得分100分，评价等级为“优秀”。绩效目标完成情况：一是紧盯问题重点，持续抓好整改销号；</w:t>
      </w:r>
    </w:p>
    <w:p w14:paraId="3F32372E">
      <w:pPr>
        <w:overflowPunct w:val="0"/>
        <w:spacing w:line="600" w:lineRule="exact"/>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是狠抓源头治理，聚力打好水质攻坚战；三是多举措全领域，强力打好蓝天保卫战；四是强化执法监管，防范生态污染事故；五是落实了“双随机、一公开”日常执法制度。六是管理规范有序，其他工作稳步开展。下一步改进措施：一是治污防污成效显著。水污染防治方面，完成饮用水水源地保护区的现场核查及数据填报工作，实施流域综合整治。大气污染防治方面，累计排查涉气企业，上报了企业结构减排氮氧化物、VOCs减排数量，优良率、综合指数改善稳定。土壤污染防治方面，督促沿江化工企业有序开展地块土壤污染状况场地调查，完成了临湘市农村生活污水治理、农用地涉镉重金属污染源头防治、黑臭水体排查整治等工作。二是推动各类问题整改销号。“夏季攻势”整改任务、“洞庭清波”整改销号已完成。三是执法监管全面覆盖。针对大气、水环境污染，整治检查，立案整改、查处。针对环境信访调处，受理、办结率100%，化解率100%，总体满意度95%以上。四是宣传生态环境知识。五是筹办临湘市贯彻学习习近平生态文明思想暨生态环境法律知识培训班，推动了队伍建设与生态环保相结合。六是抓好清廉环保建设，营造良好政治生态。</w:t>
      </w:r>
    </w:p>
    <w:p w14:paraId="1F555EDA">
      <w:pPr>
        <w:overflowPunct w:val="0"/>
        <w:spacing w:line="60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sz w:val="32"/>
          <w:szCs w:val="32"/>
        </w:rPr>
        <w:t>本单位为二级预算单位，部门评价结果可详见上级部门决算公开说明</w:t>
      </w:r>
    </w:p>
    <w:p w14:paraId="5DC4775D">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b/>
          <w:bCs/>
          <w:kern w:val="0"/>
          <w:sz w:val="32"/>
          <w:szCs w:val="32"/>
          <w:highlight w:val="none"/>
          <w:lang w:eastAsia="zh-CN"/>
        </w:rPr>
        <w:t>。</w:t>
      </w:r>
      <w:r>
        <w:rPr>
          <w:rFonts w:hint="eastAsia" w:ascii="Times New Roman" w:hAnsi="Times New Roman" w:eastAsia="仿宋_GB2312" w:cs="Times New Roman"/>
          <w:sz w:val="32"/>
          <w:szCs w:val="32"/>
        </w:rPr>
        <w:t>本单位为二级预算单位，事前绩效评估结果可详见上级部门决算公开说明</w:t>
      </w:r>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2E1CBAA7">
      <w:pPr>
        <w:overflowPunct w:val="0"/>
        <w:spacing w:line="600" w:lineRule="exact"/>
        <w:ind w:firstLine="640" w:firstLineChars="200"/>
        <w:rPr>
          <w:rFonts w:hint="eastAsia" w:ascii="仿宋_GB2312" w:hAnsi="仿宋_GB2312" w:eastAsia="仿宋_GB2312" w:cs="仿宋_GB2312"/>
          <w:color w:val="auto"/>
          <w:kern w:val="0"/>
          <w:sz w:val="32"/>
          <w:szCs w:val="32"/>
          <w:lang w:val="en-US" w:eastAsia="zh-CN" w:bidi="ar-SA"/>
        </w:rPr>
      </w:pPr>
      <w:r>
        <w:rPr>
          <w:rFonts w:ascii="Times New Roman" w:hAnsi="Times New Roman" w:eastAsia="仿宋_GB2312" w:cs="Times New Roman"/>
          <w:color w:val="auto"/>
          <w:sz w:val="32"/>
          <w:szCs w:val="32"/>
          <w:highlight w:val="none"/>
        </w:rPr>
        <w:t>请</w:t>
      </w:r>
      <w:r>
        <w:rPr>
          <w:rFonts w:hint="eastAsia" w:ascii="仿宋_GB2312" w:hAnsi="仿宋_GB2312" w:eastAsia="仿宋_GB2312" w:cs="仿宋_GB2312"/>
          <w:color w:val="auto"/>
          <w:kern w:val="0"/>
          <w:sz w:val="32"/>
          <w:szCs w:val="32"/>
          <w:lang w:val="en-US" w:eastAsia="zh-CN" w:bidi="ar-SA"/>
        </w:rPr>
        <w:t>根据2024年度绩效自评结果、部门评价结果、事前绩效评价结果对本部门2025年度预算安排，支出结构调整，资金管理，制度建设等方面结果运用进行简要说明。</w:t>
      </w:r>
    </w:p>
    <w:p w14:paraId="5E8AD5A5">
      <w:pPr>
        <w:overflowPunct w:val="0"/>
        <w:spacing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auto"/>
          <w:kern w:val="0"/>
          <w:sz w:val="32"/>
          <w:szCs w:val="32"/>
          <w:lang w:val="en-US" w:eastAsia="zh-CN" w:bidi="ar-SA"/>
        </w:rPr>
        <w:t>预算绩效管理开展情况、绩效目标和绩效评价报告等，已在市政府部门财政预决算公开平台上向社会公开，详见附件。</w:t>
      </w:r>
    </w:p>
    <w:p w14:paraId="62BEA247">
      <w:pPr>
        <w:pStyle w:val="2"/>
        <w:rPr>
          <w:rFonts w:hint="eastAsia"/>
          <w:lang w:val="en-US" w:eastAsia="zh-CN"/>
        </w:rPr>
      </w:pPr>
    </w:p>
    <w:p w14:paraId="47586AB8">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147E06D0">
      <w:pPr>
        <w:pStyle w:val="12"/>
        <w:jc w:val="both"/>
        <w:rPr>
          <w:rFonts w:hint="eastAsia" w:ascii="方正小标宋_GBK" w:hAnsi="方正小标宋_GBK" w:eastAsia="方正小标宋_GBK" w:cs="方正小标宋_GBK"/>
          <w:sz w:val="24"/>
          <w:szCs w:val="24"/>
        </w:rPr>
      </w:pPr>
    </w:p>
    <w:p w14:paraId="3D83FDA1">
      <w:pPr>
        <w:pStyle w:val="12"/>
        <w:jc w:val="center"/>
        <w:rPr>
          <w:rFonts w:hint="eastAsia" w:ascii="方正小标宋_GBK" w:hAnsi="方正小标宋_GBK" w:eastAsia="方正小标宋_GBK" w:cs="方正小标宋_GBK"/>
          <w:sz w:val="72"/>
          <w:szCs w:val="72"/>
        </w:rPr>
      </w:pPr>
    </w:p>
    <w:p w14:paraId="6FB6F211">
      <w:pPr>
        <w:pStyle w:val="12"/>
        <w:jc w:val="center"/>
        <w:rPr>
          <w:rFonts w:hint="eastAsia" w:ascii="方正小标宋_GBK" w:hAnsi="方正小标宋_GBK" w:eastAsia="方正小标宋_GBK" w:cs="方正小标宋_GBK"/>
          <w:sz w:val="72"/>
          <w:szCs w:val="72"/>
        </w:rPr>
      </w:pPr>
    </w:p>
    <w:p w14:paraId="3A01B6B0">
      <w:pPr>
        <w:pStyle w:val="12"/>
        <w:jc w:val="center"/>
        <w:rPr>
          <w:rFonts w:hint="eastAsia" w:ascii="方正小标宋_GBK" w:hAnsi="方正小标宋_GBK" w:eastAsia="方正小标宋_GBK" w:cs="方正小标宋_GBK"/>
          <w:sz w:val="72"/>
          <w:szCs w:val="72"/>
        </w:rPr>
      </w:pPr>
    </w:p>
    <w:p w14:paraId="475C1000">
      <w:pPr>
        <w:pStyle w:val="12"/>
        <w:jc w:val="center"/>
        <w:rPr>
          <w:rFonts w:hint="eastAsia" w:ascii="方正小标宋_GBK" w:hAnsi="方正小标宋_GBK" w:eastAsia="方正小标宋_GBK" w:cs="方正小标宋_GBK"/>
          <w:sz w:val="72"/>
          <w:szCs w:val="72"/>
        </w:rPr>
      </w:pPr>
    </w:p>
    <w:p w14:paraId="6A5A782C">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3"/>
      </w:pPr>
    </w:p>
    <w:p w14:paraId="2CCAD852"/>
    <w:p w14:paraId="440E89DF">
      <w:pPr>
        <w:pStyle w:val="2"/>
      </w:pPr>
    </w:p>
    <w:p w14:paraId="645B9B76">
      <w:pPr>
        <w:pStyle w:val="3"/>
      </w:pPr>
    </w:p>
    <w:p w14:paraId="539F25AC"/>
    <w:p w14:paraId="47AFAB8F">
      <w:pPr>
        <w:pStyle w:val="2"/>
      </w:pPr>
    </w:p>
    <w:p w14:paraId="479D6353">
      <w:pPr>
        <w:pStyle w:val="3"/>
      </w:pPr>
    </w:p>
    <w:p w14:paraId="648103ED"/>
    <w:p w14:paraId="08A5EA8F">
      <w:pPr>
        <w:pStyle w:val="2"/>
      </w:pPr>
    </w:p>
    <w:p w14:paraId="3FD0BAB6">
      <w:pPr>
        <w:pStyle w:val="3"/>
      </w:pPr>
    </w:p>
    <w:p w14:paraId="1CAE18D7"/>
    <w:p w14:paraId="5994BDDC">
      <w:pPr>
        <w:pStyle w:val="2"/>
      </w:pPr>
    </w:p>
    <w:p w14:paraId="51F60F8D">
      <w:pPr>
        <w:pStyle w:val="3"/>
      </w:pPr>
    </w:p>
    <w:p w14:paraId="715B8195"/>
    <w:p w14:paraId="3F608935">
      <w:pPr>
        <w:pStyle w:val="2"/>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2"/>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185EC38">
      <w:pPr>
        <w:widowControl/>
        <w:spacing w:after="120"/>
        <w:ind w:left="420" w:leftChars="200"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widowControl/>
        <w:spacing w:after="120"/>
        <w:ind w:left="420" w:leftChars="200"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二、上年结转和结余：指以前年度尚未完成、结转到本年按有关规定继续使用的资金。</w:t>
      </w:r>
    </w:p>
    <w:p w14:paraId="00C4E4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w:t>
      </w:r>
      <w:r>
        <w:rPr>
          <w:rFonts w:hint="eastAsia" w:ascii="仿宋_GB2312" w:hAnsi="仿宋_GB2312" w:eastAsia="仿宋_GB2312" w:cs="仿宋_GB2312"/>
          <w:b w:val="0"/>
          <w:bCs w:val="0"/>
          <w:kern w:val="2"/>
          <w:sz w:val="32"/>
          <w:szCs w:val="32"/>
          <w:lang w:val="en-US" w:eastAsia="zh-CN" w:bidi="ar-SA"/>
        </w:rPr>
        <w:t>体事务、党委办公厅（室）及相关机构事务、组织事务、宣传事务、统战事务、其他一般公共服务等方面的支出，包括保障机构正常运转、完成日常和特定的工作任务或事业发展目标的支出。</w:t>
      </w:r>
    </w:p>
    <w:p w14:paraId="12B5F5C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7D4850A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6DE2432A">
      <w:pPr>
        <w:pStyle w:val="12"/>
        <w:jc w:val="center"/>
        <w:rPr>
          <w:rFonts w:hint="eastAsia" w:ascii="仿宋_GB2312" w:hAnsi="仿宋_GB2312" w:eastAsia="仿宋_GB2312" w:cs="仿宋_GB2312"/>
          <w:sz w:val="32"/>
          <w:szCs w:val="32"/>
        </w:rPr>
      </w:pPr>
    </w:p>
    <w:p w14:paraId="1D47518A">
      <w:pPr>
        <w:pStyle w:val="3"/>
      </w:pPr>
    </w:p>
    <w:p w14:paraId="580CF8E4"/>
    <w:p w14:paraId="0C17744C">
      <w:pPr>
        <w:pStyle w:val="2"/>
      </w:pPr>
    </w:p>
    <w:p w14:paraId="7B8BABF4">
      <w:pPr>
        <w:pStyle w:val="3"/>
      </w:pPr>
    </w:p>
    <w:p w14:paraId="1942C0DC"/>
    <w:p w14:paraId="6E2D1EEF">
      <w:pPr>
        <w:pStyle w:val="2"/>
      </w:pPr>
    </w:p>
    <w:p w14:paraId="5F6ABC3B">
      <w:pPr>
        <w:pStyle w:val="3"/>
      </w:pPr>
    </w:p>
    <w:p w14:paraId="51BE6437"/>
    <w:p w14:paraId="05344CBA">
      <w:pPr>
        <w:pStyle w:val="2"/>
      </w:pPr>
    </w:p>
    <w:p w14:paraId="5C9170AD">
      <w:pPr>
        <w:pStyle w:val="3"/>
      </w:pPr>
    </w:p>
    <w:p w14:paraId="29D3A91E"/>
    <w:p w14:paraId="0D2A994E">
      <w:pPr>
        <w:pStyle w:val="2"/>
      </w:pPr>
    </w:p>
    <w:p w14:paraId="59CBCCA7">
      <w:pPr>
        <w:pStyle w:val="3"/>
      </w:pPr>
    </w:p>
    <w:p w14:paraId="67806EBD"/>
    <w:p w14:paraId="7C18BB03">
      <w:pPr>
        <w:pStyle w:val="2"/>
      </w:pPr>
    </w:p>
    <w:p w14:paraId="29230CAD">
      <w:pPr>
        <w:pStyle w:val="3"/>
      </w:pPr>
    </w:p>
    <w:p w14:paraId="724E0A54"/>
    <w:p w14:paraId="496F732E">
      <w:pPr>
        <w:pStyle w:val="2"/>
      </w:pPr>
    </w:p>
    <w:p w14:paraId="354ECFD8">
      <w:pPr>
        <w:pStyle w:val="3"/>
      </w:pPr>
    </w:p>
    <w:p w14:paraId="51C67B38"/>
    <w:p w14:paraId="4D131F3E"/>
    <w:p w14:paraId="7CFBCE3C">
      <w:pPr>
        <w:pStyle w:val="2"/>
      </w:pPr>
    </w:p>
    <w:p w14:paraId="5C3DE094">
      <w:pPr>
        <w:pStyle w:val="12"/>
        <w:jc w:val="both"/>
        <w:rPr>
          <w:rFonts w:hint="eastAsia" w:ascii="方正小标宋_GBK" w:hAnsi="方正小标宋_GBK" w:eastAsia="方正小标宋_GBK" w:cs="方正小标宋_GBK"/>
          <w:sz w:val="72"/>
          <w:szCs w:val="72"/>
        </w:rPr>
      </w:pPr>
    </w:p>
    <w:p w14:paraId="0C1858E3">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2"/>
        <w:jc w:val="both"/>
        <w:rPr>
          <w:rFonts w:hint="eastAsia" w:ascii="方正小标宋_GBK" w:hAnsi="方正小标宋_GBK" w:eastAsia="方正小标宋_GBK" w:cs="方正小标宋_GBK"/>
          <w:sz w:val="70"/>
          <w:szCs w:val="70"/>
          <w:lang w:eastAsia="zh-CN"/>
        </w:rPr>
      </w:pPr>
    </w:p>
    <w:p w14:paraId="490142D3">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488030D"/>
    <w:rsid w:val="059958AD"/>
    <w:rsid w:val="06C857E7"/>
    <w:rsid w:val="08C24A73"/>
    <w:rsid w:val="11944E2C"/>
    <w:rsid w:val="123A6FE6"/>
    <w:rsid w:val="12583BA5"/>
    <w:rsid w:val="13BA5B9C"/>
    <w:rsid w:val="1D97DEFF"/>
    <w:rsid w:val="1DFF72E5"/>
    <w:rsid w:val="1EFC6F07"/>
    <w:rsid w:val="1F0527A6"/>
    <w:rsid w:val="22AC03C2"/>
    <w:rsid w:val="283B15FE"/>
    <w:rsid w:val="2FDF85B8"/>
    <w:rsid w:val="2FFFEE04"/>
    <w:rsid w:val="31C95635"/>
    <w:rsid w:val="34DF85B0"/>
    <w:rsid w:val="355A71E2"/>
    <w:rsid w:val="3B8F36BC"/>
    <w:rsid w:val="43EB5BA5"/>
    <w:rsid w:val="491FF225"/>
    <w:rsid w:val="4EC310A1"/>
    <w:rsid w:val="4FFD214C"/>
    <w:rsid w:val="5352765A"/>
    <w:rsid w:val="5777D4F5"/>
    <w:rsid w:val="57F22B6F"/>
    <w:rsid w:val="59DD8326"/>
    <w:rsid w:val="5DEF592A"/>
    <w:rsid w:val="5FC6BB1E"/>
    <w:rsid w:val="5FF720F1"/>
    <w:rsid w:val="622964C1"/>
    <w:rsid w:val="67FF5C0B"/>
    <w:rsid w:val="6BAA4A2F"/>
    <w:rsid w:val="6DDEC5C0"/>
    <w:rsid w:val="6EFC0924"/>
    <w:rsid w:val="6FB74722"/>
    <w:rsid w:val="6FEF8B7E"/>
    <w:rsid w:val="717FE77F"/>
    <w:rsid w:val="71A6591B"/>
    <w:rsid w:val="737D59BA"/>
    <w:rsid w:val="737F32B1"/>
    <w:rsid w:val="73BD3FCA"/>
    <w:rsid w:val="76B417A9"/>
    <w:rsid w:val="776BDA01"/>
    <w:rsid w:val="77C37683"/>
    <w:rsid w:val="79FF515B"/>
    <w:rsid w:val="7CCB5FE7"/>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8313</Words>
  <Characters>9021</Characters>
  <Lines>63</Lines>
  <Paragraphs>18</Paragraphs>
  <TotalTime>4</TotalTime>
  <ScaleCrop>false</ScaleCrop>
  <LinksUpToDate>false</LinksUpToDate>
  <CharactersWithSpaces>9049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WPS_1602230868</cp:lastModifiedBy>
  <cp:lastPrinted>2024-08-11T02:20:00Z</cp:lastPrinted>
  <dcterms:modified xsi:type="dcterms:W3CDTF">2025-09-24T10:09:00Z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DD3F273089E445E3B3DDE0C3593B8954_13</vt:lpwstr>
  </property>
  <property fmtid="{D5CDD505-2E9C-101B-9397-08002B2CF9AE}" pid="4" name="KSOTemplateDocerSaveRecord">
    <vt:lpwstr>eyJoZGlkIjoiMjMxZmI5MWY5NDI5Y2UzYTVlMmQwZDRkZjQ5NWQwNjAiLCJ1c2VySWQiOiIxMTI5MDAzNTA2In0=</vt:lpwstr>
  </property>
</Properties>
</file>