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4"/>
        <w:jc w:val="center"/>
        <w:rPr>
          <w:sz w:val="56"/>
          <w:szCs w:val="56"/>
        </w:rPr>
      </w:pPr>
    </w:p>
    <w:p w14:paraId="3BDF5AB8">
      <w:pPr>
        <w:pStyle w:val="14"/>
        <w:jc w:val="center"/>
        <w:rPr>
          <w:sz w:val="56"/>
          <w:szCs w:val="56"/>
        </w:rPr>
      </w:pPr>
    </w:p>
    <w:p w14:paraId="60CA4575">
      <w:pPr>
        <w:pStyle w:val="14"/>
        <w:jc w:val="center"/>
        <w:rPr>
          <w:sz w:val="84"/>
          <w:szCs w:val="84"/>
        </w:rPr>
      </w:pPr>
    </w:p>
    <w:p w14:paraId="215EB31D">
      <w:pPr>
        <w:pStyle w:val="14"/>
        <w:jc w:val="center"/>
        <w:rPr>
          <w:sz w:val="84"/>
          <w:szCs w:val="84"/>
        </w:rPr>
      </w:pPr>
    </w:p>
    <w:p w14:paraId="376C8602">
      <w:pPr>
        <w:pStyle w:val="14"/>
        <w:jc w:val="center"/>
        <w:rPr>
          <w:rFonts w:hint="eastAsia" w:ascii="方正小标宋_GBK" w:hAnsi="方正小标宋_GBK" w:eastAsia="方正小标宋_GBK" w:cs="方正小标宋_GBK"/>
          <w:sz w:val="84"/>
          <w:szCs w:val="84"/>
        </w:rPr>
      </w:pPr>
      <w:bookmarkStart w:id="0" w:name="_GoBack"/>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bookmarkEnd w:id="0"/>
    <w:p w14:paraId="6934EBE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岳阳市生态环境局汨罗分局部门</w:t>
      </w:r>
      <w:r>
        <w:rPr>
          <w:rFonts w:hint="eastAsia" w:ascii="方正小标宋_GBK" w:hAnsi="方正小标宋_GBK" w:eastAsia="方正小标宋_GBK" w:cs="方正小标宋_GBK"/>
          <w:sz w:val="84"/>
          <w:szCs w:val="84"/>
        </w:rPr>
        <w:t>（单位）部门决算</w:t>
      </w:r>
    </w:p>
    <w:p w14:paraId="25018D25">
      <w:pPr>
        <w:pStyle w:val="14"/>
        <w:jc w:val="center"/>
        <w:rPr>
          <w:sz w:val="56"/>
          <w:szCs w:val="56"/>
        </w:rPr>
      </w:pPr>
    </w:p>
    <w:p w14:paraId="5EE73A38">
      <w:pPr>
        <w:pStyle w:val="14"/>
        <w:jc w:val="center"/>
        <w:rPr>
          <w:sz w:val="56"/>
          <w:szCs w:val="56"/>
        </w:rPr>
      </w:pPr>
    </w:p>
    <w:p w14:paraId="297571C5">
      <w:pPr>
        <w:pStyle w:val="14"/>
        <w:jc w:val="center"/>
        <w:rPr>
          <w:sz w:val="32"/>
          <w:szCs w:val="32"/>
        </w:rPr>
      </w:pPr>
    </w:p>
    <w:p w14:paraId="08493D1E">
      <w:pPr>
        <w:pStyle w:val="14"/>
        <w:jc w:val="center"/>
        <w:rPr>
          <w:sz w:val="32"/>
          <w:szCs w:val="32"/>
        </w:rPr>
      </w:pPr>
    </w:p>
    <w:p w14:paraId="5BD6E8BD">
      <w:pPr>
        <w:pStyle w:val="14"/>
        <w:jc w:val="center"/>
        <w:rPr>
          <w:sz w:val="32"/>
          <w:szCs w:val="32"/>
        </w:rPr>
      </w:pPr>
    </w:p>
    <w:p w14:paraId="1062A3B4">
      <w:pPr>
        <w:pStyle w:val="14"/>
        <w:jc w:val="center"/>
        <w:rPr>
          <w:sz w:val="32"/>
          <w:szCs w:val="32"/>
        </w:rPr>
      </w:pPr>
    </w:p>
    <w:p w14:paraId="6311DFC7">
      <w:pPr>
        <w:pStyle w:val="14"/>
        <w:jc w:val="center"/>
        <w:rPr>
          <w:sz w:val="32"/>
          <w:szCs w:val="32"/>
        </w:rPr>
      </w:pPr>
    </w:p>
    <w:p w14:paraId="50228290">
      <w:pPr>
        <w:pStyle w:val="14"/>
        <w:spacing w:line="540" w:lineRule="exact"/>
        <w:jc w:val="center"/>
        <w:rPr>
          <w:sz w:val="56"/>
          <w:szCs w:val="56"/>
        </w:rPr>
      </w:pPr>
    </w:p>
    <w:p w14:paraId="459C483D">
      <w:pPr>
        <w:pStyle w:val="14"/>
        <w:spacing w:line="500" w:lineRule="exact"/>
        <w:jc w:val="both"/>
        <w:rPr>
          <w:b/>
          <w:sz w:val="36"/>
          <w:szCs w:val="28"/>
        </w:rPr>
      </w:pPr>
    </w:p>
    <w:p w14:paraId="24F3309B">
      <w:pPr>
        <w:pStyle w:val="14"/>
        <w:spacing w:line="500" w:lineRule="exact"/>
        <w:jc w:val="center"/>
        <w:rPr>
          <w:b/>
          <w:sz w:val="36"/>
          <w:szCs w:val="28"/>
        </w:rPr>
      </w:pPr>
      <w:r>
        <w:rPr>
          <w:rFonts w:hint="eastAsia"/>
          <w:b/>
          <w:sz w:val="36"/>
          <w:szCs w:val="28"/>
        </w:rPr>
        <w:t>目录</w:t>
      </w:r>
    </w:p>
    <w:p w14:paraId="6CBD0C22">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岳阳市生态环境局汨罗分局部门</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单位</w:t>
      </w:r>
      <w:r>
        <w:rPr>
          <w:rFonts w:hint="eastAsia" w:ascii="黑体" w:hAnsi="黑体" w:eastAsia="黑体" w:cs="黑体"/>
          <w:b w:val="0"/>
          <w:bCs/>
          <w:sz w:val="28"/>
          <w:szCs w:val="28"/>
          <w:lang w:eastAsia="zh-CN"/>
        </w:rPr>
        <w:t>）</w:t>
      </w:r>
      <w:r>
        <w:rPr>
          <w:rFonts w:hint="eastAsia" w:ascii="黑体" w:hAnsi="黑体" w:eastAsia="黑体" w:cs="黑体"/>
          <w:b w:val="0"/>
          <w:bCs/>
          <w:sz w:val="28"/>
          <w:szCs w:val="28"/>
        </w:rPr>
        <w:t>概况</w:t>
      </w:r>
    </w:p>
    <w:p w14:paraId="060CB1D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4"/>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4"/>
        <w:jc w:val="center"/>
        <w:rPr>
          <w:rFonts w:hint="eastAsia" w:ascii="方正小标宋_GBK" w:hAnsi="方正小标宋_GBK" w:eastAsia="方正小标宋_GBK" w:cs="方正小标宋_GBK"/>
          <w:sz w:val="84"/>
          <w:szCs w:val="84"/>
        </w:rPr>
      </w:pPr>
    </w:p>
    <w:p w14:paraId="1095DEAB">
      <w:pPr>
        <w:pStyle w:val="14"/>
        <w:jc w:val="center"/>
        <w:rPr>
          <w:rFonts w:hint="eastAsia" w:ascii="方正小标宋_GBK" w:hAnsi="方正小标宋_GBK" w:eastAsia="方正小标宋_GBK" w:cs="方正小标宋_GBK"/>
          <w:sz w:val="84"/>
          <w:szCs w:val="84"/>
        </w:rPr>
      </w:pPr>
    </w:p>
    <w:p w14:paraId="0DEEC249">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4"/>
        <w:jc w:val="center"/>
        <w:rPr>
          <w:rFonts w:hint="eastAsia" w:ascii="方正小标宋_GBK" w:hAnsi="方正小标宋_GBK" w:eastAsia="方正小标宋_GBK" w:cs="方正小标宋_GBK"/>
          <w:sz w:val="84"/>
          <w:szCs w:val="84"/>
        </w:rPr>
      </w:pP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岳阳市生态环境局汨罗分局部门（</w:t>
      </w:r>
      <w:r>
        <w:rPr>
          <w:rFonts w:hint="eastAsia" w:ascii="方正小标宋_GBK" w:hAnsi="方正小标宋_GBK" w:eastAsia="方正小标宋_GBK" w:cs="方正小标宋_GBK"/>
          <w:sz w:val="84"/>
          <w:szCs w:val="84"/>
        </w:rPr>
        <w:t>单位</w:t>
      </w:r>
      <w:r>
        <w:rPr>
          <w:rFonts w:hint="eastAsia" w:ascii="方正小标宋_GBK" w:hAnsi="方正小标宋_GBK" w:eastAsia="方正小标宋_GBK" w:cs="方正小标宋_GBK"/>
          <w:sz w:val="84"/>
          <w:szCs w:val="84"/>
          <w:lang w:eastAsia="zh-CN"/>
        </w:rPr>
        <w:t>）</w:t>
      </w:r>
      <w:r>
        <w:rPr>
          <w:rFonts w:hint="eastAsia" w:ascii="方正小标宋_GBK" w:hAnsi="方正小标宋_GBK" w:eastAsia="方正小标宋_GBK" w:cs="方正小标宋_GBK"/>
          <w:sz w:val="84"/>
          <w:szCs w:val="84"/>
        </w:rPr>
        <w:t>概况</w:t>
      </w:r>
    </w:p>
    <w:p w14:paraId="77A0C778">
      <w:pPr>
        <w:pStyle w:val="9"/>
        <w:rPr>
          <w:rFonts w:hint="eastAsia" w:ascii="方正小标宋_GBK" w:hAnsi="方正小标宋_GBK" w:eastAsia="方正小标宋_GBK" w:cs="方正小标宋_GBK"/>
          <w:sz w:val="84"/>
          <w:szCs w:val="84"/>
        </w:rPr>
      </w:pPr>
    </w:p>
    <w:p w14:paraId="397AC3FB">
      <w:pPr>
        <w:pStyle w:val="5"/>
        <w:rPr>
          <w:rFonts w:hint="eastAsia" w:ascii="方正小标宋_GBK" w:hAnsi="方正小标宋_GBK" w:eastAsia="方正小标宋_GBK" w:cs="方正小标宋_GBK"/>
          <w:sz w:val="84"/>
          <w:szCs w:val="84"/>
        </w:rPr>
      </w:pPr>
    </w:p>
    <w:p w14:paraId="128B0AE2">
      <w:pPr>
        <w:pStyle w:val="9"/>
        <w:rPr>
          <w:rFonts w:hint="eastAsia" w:ascii="方正小标宋_GBK" w:hAnsi="方正小标宋_GBK" w:eastAsia="方正小标宋_GBK" w:cs="方正小标宋_GBK"/>
          <w:sz w:val="84"/>
          <w:szCs w:val="84"/>
        </w:rPr>
      </w:pPr>
    </w:p>
    <w:p w14:paraId="1469560B">
      <w:pPr>
        <w:pStyle w:val="5"/>
        <w:rPr>
          <w:rFonts w:hint="eastAsia" w:ascii="方正小标宋_GBK" w:hAnsi="方正小标宋_GBK" w:eastAsia="方正小标宋_GBK" w:cs="方正小标宋_GBK"/>
          <w:sz w:val="84"/>
          <w:szCs w:val="84"/>
        </w:rPr>
      </w:pPr>
    </w:p>
    <w:p w14:paraId="55E857AF">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A89A3B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（一）负责建立健全生态环境基本制度。</w:t>
      </w:r>
    </w:p>
    <w:p w14:paraId="274BAF0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（二）负责重大生态环境问题的协调处理和监督管理。</w:t>
      </w:r>
    </w:p>
    <w:p w14:paraId="60BCDB7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（三）负责监督实施监管辖区内减排目标的落实。</w:t>
      </w:r>
    </w:p>
    <w:p w14:paraId="1236C19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bCs/>
          <w:kern w:val="0"/>
          <w:sz w:val="32"/>
          <w:szCs w:val="32"/>
          <w:lang w:eastAsia="zh-CN"/>
        </w:rPr>
        <w:t>）负责环境污染防治的监督管理。</w:t>
      </w:r>
    </w:p>
    <w:p w14:paraId="3AB56FC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bCs/>
          <w:kern w:val="0"/>
          <w:sz w:val="32"/>
          <w:szCs w:val="32"/>
          <w:lang w:eastAsia="zh-CN"/>
        </w:rPr>
        <w:t>）负责管理生态保护修复工作。</w:t>
      </w:r>
    </w:p>
    <w:p w14:paraId="0D1B668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六</w:t>
      </w:r>
      <w:r>
        <w:rPr>
          <w:rFonts w:hint="eastAsia" w:ascii="Times New Roman" w:hAnsi="Times New Roman" w:eastAsia="仿宋_GB2312" w:cs="仿宋_GB2312"/>
          <w:bCs/>
          <w:kern w:val="0"/>
          <w:sz w:val="32"/>
          <w:szCs w:val="32"/>
          <w:lang w:eastAsia="zh-CN"/>
        </w:rPr>
        <w:t>）负责核与辐射安全、放射性废物的监督管理。</w:t>
      </w:r>
    </w:p>
    <w:p w14:paraId="1ECFD7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七</w:t>
      </w:r>
      <w:r>
        <w:rPr>
          <w:rFonts w:hint="eastAsia" w:ascii="Times New Roman" w:hAnsi="Times New Roman" w:eastAsia="仿宋_GB2312" w:cs="仿宋_GB2312"/>
          <w:bCs/>
          <w:kern w:val="0"/>
          <w:sz w:val="32"/>
          <w:szCs w:val="32"/>
          <w:lang w:eastAsia="zh-CN"/>
        </w:rPr>
        <w:t>）负责重点污染源监测工作。</w:t>
      </w:r>
    </w:p>
    <w:p w14:paraId="14E410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八</w:t>
      </w:r>
      <w:r>
        <w:rPr>
          <w:rFonts w:hint="eastAsia" w:ascii="Times New Roman" w:hAnsi="Times New Roman" w:eastAsia="仿宋_GB2312" w:cs="仿宋_GB2312"/>
          <w:bCs/>
          <w:kern w:val="0"/>
          <w:sz w:val="32"/>
          <w:szCs w:val="32"/>
          <w:lang w:eastAsia="zh-CN"/>
        </w:rPr>
        <w:t>）配合开展生态环境保护督察工作。</w:t>
      </w:r>
    </w:p>
    <w:p w14:paraId="0534EA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九</w:t>
      </w:r>
      <w:r>
        <w:rPr>
          <w:rFonts w:hint="eastAsia" w:ascii="Times New Roman" w:hAnsi="Times New Roman" w:eastAsia="仿宋_GB2312" w:cs="仿宋_GB2312"/>
          <w:bCs/>
          <w:kern w:val="0"/>
          <w:sz w:val="32"/>
          <w:szCs w:val="32"/>
          <w:lang w:eastAsia="zh-CN"/>
        </w:rPr>
        <w:t>）统一监督生态环境执法工作。</w:t>
      </w:r>
    </w:p>
    <w:p w14:paraId="1ACD233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（十）组织指导和协调生态环境宣传教育工作，贯彻实施生态环境保护宣传教育纲要，推动社会组织和公众参与生态环境保护。</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8AE043A">
      <w:pPr>
        <w:widowControl/>
        <w:spacing w:line="600" w:lineRule="exact"/>
        <w:ind w:firstLine="640" w:firstLineChars="200"/>
        <w:rPr>
          <w:rFonts w:hint="eastAsia"/>
        </w:rPr>
      </w:pPr>
      <w:r>
        <w:rPr>
          <w:rFonts w:hint="eastAsia" w:ascii="Times New Roman" w:hAnsi="Times New Roman" w:eastAsia="仿宋_GB2312" w:cs="仿宋_GB2312"/>
          <w:bCs/>
          <w:kern w:val="0"/>
          <w:sz w:val="32"/>
          <w:szCs w:val="32"/>
        </w:rPr>
        <w:t>（一）内设机构设置。岳阳市生态环境局</w:t>
      </w:r>
      <w:r>
        <w:rPr>
          <w:rFonts w:hint="eastAsia" w:ascii="Times New Roman" w:hAnsi="Times New Roman" w:eastAsia="仿宋_GB2312" w:cs="仿宋_GB2312"/>
          <w:bCs/>
          <w:kern w:val="0"/>
          <w:sz w:val="32"/>
          <w:szCs w:val="32"/>
          <w:lang w:val="en-US" w:eastAsia="zh-CN"/>
        </w:rPr>
        <w:t>汨罗</w:t>
      </w:r>
      <w:r>
        <w:rPr>
          <w:rFonts w:hint="eastAsia" w:ascii="Times New Roman" w:hAnsi="Times New Roman" w:eastAsia="仿宋_GB2312" w:cs="仿宋_GB2312"/>
          <w:bCs/>
          <w:kern w:val="0"/>
          <w:sz w:val="32"/>
          <w:szCs w:val="32"/>
          <w:lang w:eastAsia="zh-CN"/>
        </w:rPr>
        <w:t>分局</w:t>
      </w:r>
      <w:r>
        <w:rPr>
          <w:rFonts w:hint="eastAsia" w:ascii="Times New Roman" w:hAnsi="Times New Roman" w:eastAsia="仿宋_GB2312" w:cs="仿宋_GB2312"/>
          <w:bCs/>
          <w:kern w:val="0"/>
          <w:sz w:val="32"/>
          <w:szCs w:val="32"/>
        </w:rPr>
        <w:t>单位内设机构包括：</w:t>
      </w:r>
      <w:r>
        <w:rPr>
          <w:rFonts w:hint="eastAsia" w:ascii="Times New Roman" w:hAnsi="Times New Roman" w:eastAsia="仿宋_GB2312" w:cs="仿宋_GB2312"/>
          <w:bCs/>
          <w:kern w:val="0"/>
          <w:sz w:val="32"/>
          <w:szCs w:val="32"/>
          <w:lang w:eastAsia="zh-CN"/>
        </w:rPr>
        <w:t>办公室、监测股、生态环境督察股、自然生态保护与土壤环境股、水生态环境股、大气环境与应对气候变化股、固体废物与化学品及核与辐射管理股、环评和污染排放股（行政审批办公室）、宣教股及机关工会、科技与财务股、人事股、机关党建纪检联络室、综合行政执法大队、监测站、生态环境事务中心、园区执法大队</w:t>
      </w:r>
      <w:r>
        <w:rPr>
          <w:rFonts w:hint="eastAsia" w:ascii="Times New Roman" w:hAnsi="Times New Roman" w:eastAsia="仿宋_GB2312" w:cs="仿宋_GB2312"/>
          <w:bCs/>
          <w:kern w:val="0"/>
          <w:sz w:val="32"/>
          <w:szCs w:val="32"/>
          <w:lang w:val="en-US" w:eastAsia="zh-CN"/>
        </w:rPr>
        <w:t>16个股室</w:t>
      </w:r>
      <w:r>
        <w:rPr>
          <w:rFonts w:hint="eastAsia" w:ascii="Times New Roman" w:hAnsi="Times New Roman" w:eastAsia="仿宋_GB2312" w:cs="仿宋_GB2312"/>
          <w:bCs/>
          <w:kern w:val="0"/>
          <w:sz w:val="32"/>
          <w:szCs w:val="32"/>
        </w:rPr>
        <w:t>。现有编制数</w:t>
      </w:r>
      <w:r>
        <w:rPr>
          <w:rFonts w:hint="eastAsia" w:ascii="Times New Roman" w:hAnsi="Times New Roman" w:eastAsia="仿宋_GB2312" w:cs="仿宋_GB2312"/>
          <w:bCs/>
          <w:kern w:val="0"/>
          <w:sz w:val="32"/>
          <w:szCs w:val="32"/>
          <w:lang w:val="en-US" w:eastAsia="zh-CN"/>
        </w:rPr>
        <w:t>89</w:t>
      </w:r>
      <w:r>
        <w:rPr>
          <w:rFonts w:hint="eastAsia" w:ascii="Times New Roman" w:hAnsi="Times New Roman" w:eastAsia="仿宋_GB2312" w:cs="仿宋_GB2312"/>
          <w:bCs/>
          <w:kern w:val="0"/>
          <w:sz w:val="32"/>
          <w:szCs w:val="32"/>
        </w:rPr>
        <w:t>个，其中公务员和参公编制</w:t>
      </w:r>
      <w:r>
        <w:rPr>
          <w:rFonts w:hint="eastAsia" w:ascii="Times New Roman" w:hAnsi="Times New Roman" w:eastAsia="仿宋_GB2312" w:cs="仿宋_GB2312"/>
          <w:bCs/>
          <w:kern w:val="0"/>
          <w:sz w:val="32"/>
          <w:szCs w:val="32"/>
          <w:lang w:val="en-US" w:eastAsia="zh-CN"/>
        </w:rPr>
        <w:t>37</w:t>
      </w:r>
      <w:r>
        <w:rPr>
          <w:rFonts w:hint="eastAsia" w:ascii="Times New Roman" w:hAnsi="Times New Roman" w:eastAsia="仿宋_GB2312" w:cs="仿宋_GB2312"/>
          <w:bCs/>
          <w:kern w:val="0"/>
          <w:sz w:val="32"/>
          <w:szCs w:val="32"/>
        </w:rPr>
        <w:t>名，全额事业编制5</w:t>
      </w: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名，离退休人员</w:t>
      </w:r>
      <w:r>
        <w:rPr>
          <w:rFonts w:hint="eastAsia" w:ascii="Times New Roman" w:hAnsi="Times New Roman" w:eastAsia="仿宋_GB2312" w:cs="仿宋_GB2312"/>
          <w:bCs/>
          <w:kern w:val="0"/>
          <w:sz w:val="32"/>
          <w:szCs w:val="32"/>
          <w:lang w:val="en-US" w:eastAsia="zh-CN"/>
        </w:rPr>
        <w:t>29</w:t>
      </w:r>
      <w:r>
        <w:rPr>
          <w:rFonts w:hint="eastAsia" w:ascii="Times New Roman" w:hAnsi="Times New Roman" w:eastAsia="仿宋_GB2312" w:cs="仿宋_GB2312"/>
          <w:bCs/>
          <w:kern w:val="0"/>
          <w:sz w:val="32"/>
          <w:szCs w:val="32"/>
        </w:rPr>
        <w:t>人。</w:t>
      </w:r>
    </w:p>
    <w:p w14:paraId="4B709876">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本单位无独立核算的下属单位，</w:t>
      </w:r>
      <w:r>
        <w:rPr>
          <w:rFonts w:hint="eastAsia" w:ascii="Times New Roman" w:hAnsi="Times New Roman" w:eastAsia="仿宋_GB2312" w:cs="仿宋_GB2312"/>
          <w:bCs/>
          <w:kern w:val="0"/>
          <w:sz w:val="32"/>
          <w:szCs w:val="32"/>
          <w:lang w:val="en-US" w:eastAsia="zh-CN"/>
        </w:rPr>
        <w:t>2024年度部门决算汇总公开单位仅包括</w:t>
      </w:r>
      <w:r>
        <w:rPr>
          <w:rFonts w:hint="eastAsia" w:ascii="Times New Roman" w:hAnsi="Times New Roman" w:eastAsia="仿宋_GB2312" w:cs="仿宋_GB2312"/>
          <w:bCs/>
          <w:kern w:val="0"/>
          <w:sz w:val="32"/>
          <w:szCs w:val="32"/>
        </w:rPr>
        <w:t>岳阳市生态环境局</w:t>
      </w:r>
      <w:r>
        <w:rPr>
          <w:rFonts w:hint="eastAsia" w:ascii="Times New Roman" w:hAnsi="Times New Roman" w:eastAsia="仿宋_GB2312" w:cs="仿宋_GB2312"/>
          <w:bCs/>
          <w:kern w:val="0"/>
          <w:sz w:val="32"/>
          <w:szCs w:val="32"/>
          <w:lang w:val="en-US" w:eastAsia="zh-CN"/>
        </w:rPr>
        <w:t>汨罗</w:t>
      </w:r>
      <w:r>
        <w:rPr>
          <w:rFonts w:hint="eastAsia" w:ascii="Times New Roman" w:hAnsi="Times New Roman" w:eastAsia="仿宋_GB2312" w:cs="仿宋_GB2312"/>
          <w:bCs/>
          <w:kern w:val="0"/>
          <w:sz w:val="32"/>
          <w:szCs w:val="32"/>
          <w:lang w:eastAsia="zh-CN"/>
        </w:rPr>
        <w:t>分局</w:t>
      </w:r>
      <w:r>
        <w:rPr>
          <w:rFonts w:hint="eastAsia" w:ascii="Times New Roman" w:hAnsi="Times New Roman" w:eastAsia="仿宋_GB2312" w:cs="仿宋_GB2312"/>
          <w:bCs/>
          <w:kern w:val="0"/>
          <w:sz w:val="32"/>
          <w:szCs w:val="32"/>
          <w:lang w:val="en-US" w:eastAsia="zh-CN"/>
        </w:rPr>
        <w:t>单位本级</w:t>
      </w:r>
      <w:r>
        <w:rPr>
          <w:rFonts w:hint="eastAsia" w:ascii="Times New Roman" w:hAnsi="Times New Roman" w:eastAsia="仿宋_GB2312" w:cs="仿宋_GB2312"/>
          <w:bCs/>
          <w:kern w:val="0"/>
          <w:sz w:val="32"/>
          <w:szCs w:val="32"/>
        </w:rPr>
        <w:t>。</w:t>
      </w:r>
    </w:p>
    <w:p w14:paraId="0DD3E46C">
      <w:pPr>
        <w:jc w:val="left"/>
        <w:rPr>
          <w:rFonts w:hint="eastAsia" w:ascii="Times New Roman" w:hAnsi="Times New Roman" w:eastAsia="仿宋_GB2312" w:cs="仿宋_GB2312"/>
          <w:bCs/>
          <w:kern w:val="0"/>
          <w:sz w:val="32"/>
          <w:szCs w:val="32"/>
        </w:rPr>
      </w:pPr>
    </w:p>
    <w:p w14:paraId="38152785"/>
    <w:p w14:paraId="26B0AA77">
      <w:pPr>
        <w:pStyle w:val="9"/>
      </w:pPr>
    </w:p>
    <w:p w14:paraId="7991FFBA">
      <w:pPr>
        <w:pStyle w:val="5"/>
      </w:pPr>
    </w:p>
    <w:p w14:paraId="7FFB1518"/>
    <w:p w14:paraId="5B1D6CBC"/>
    <w:p w14:paraId="01206267">
      <w:pPr>
        <w:pStyle w:val="9"/>
      </w:pPr>
    </w:p>
    <w:p w14:paraId="0464CF32">
      <w:pPr>
        <w:pStyle w:val="5"/>
      </w:pPr>
    </w:p>
    <w:p w14:paraId="78F2E1F2"/>
    <w:p w14:paraId="7A6722B9">
      <w:pPr>
        <w:pStyle w:val="9"/>
      </w:pPr>
    </w:p>
    <w:p w14:paraId="7D6C31E4">
      <w:pPr>
        <w:pStyle w:val="9"/>
      </w:pPr>
    </w:p>
    <w:p w14:paraId="056E4ECA">
      <w:pPr>
        <w:pStyle w:val="5"/>
      </w:pPr>
    </w:p>
    <w:p w14:paraId="661BBFC8">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4"/>
        <w:jc w:val="center"/>
        <w:rPr>
          <w:rFonts w:hint="eastAsia" w:ascii="方正小标宋_GBK" w:hAnsi="方正小标宋_GBK" w:eastAsia="方正小标宋_GBK" w:cs="方正小标宋_GBK"/>
          <w:sz w:val="84"/>
          <w:szCs w:val="84"/>
        </w:rPr>
      </w:pPr>
    </w:p>
    <w:p w14:paraId="3860F185">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4"/>
        <w:jc w:val="center"/>
        <w:rPr>
          <w:rFonts w:hint="eastAsia" w:ascii="仿宋_GB2312" w:hAnsi="仿宋_GB2312" w:eastAsia="仿宋_GB2312" w:cs="仿宋_GB2312"/>
          <w:b w:val="0"/>
          <w:bCs w:val="0"/>
          <w:sz w:val="72"/>
          <w:szCs w:val="72"/>
          <w:lang w:eastAsia="zh-CN"/>
        </w:rPr>
      </w:pPr>
    </w:p>
    <w:p w14:paraId="0568D1B8">
      <w:pPr>
        <w:pStyle w:val="14"/>
        <w:jc w:val="center"/>
        <w:rPr>
          <w:rFonts w:hint="eastAsia" w:ascii="仿宋_GB2312" w:hAnsi="仿宋_GB2312" w:eastAsia="仿宋_GB2312" w:cs="仿宋_GB2312"/>
          <w:b w:val="0"/>
          <w:bCs w:val="0"/>
          <w:sz w:val="72"/>
          <w:szCs w:val="72"/>
          <w:lang w:eastAsia="zh-CN"/>
        </w:rPr>
      </w:pPr>
    </w:p>
    <w:p w14:paraId="5C65B646">
      <w:pPr>
        <w:pStyle w:val="14"/>
        <w:jc w:val="center"/>
        <w:rPr>
          <w:rFonts w:hint="eastAsia" w:ascii="仿宋_GB2312" w:hAnsi="仿宋_GB2312" w:eastAsia="仿宋_GB2312" w:cs="仿宋_GB2312"/>
          <w:b w:val="0"/>
          <w:bCs w:val="0"/>
          <w:sz w:val="72"/>
          <w:szCs w:val="72"/>
          <w:lang w:eastAsia="zh-CN"/>
        </w:rPr>
      </w:pPr>
    </w:p>
    <w:p w14:paraId="62EA5E89">
      <w:pPr>
        <w:pStyle w:val="14"/>
        <w:jc w:val="center"/>
        <w:rPr>
          <w:rFonts w:hint="eastAsia" w:ascii="仿宋_GB2312" w:hAnsi="仿宋_GB2312" w:eastAsia="仿宋_GB2312" w:cs="仿宋_GB2312"/>
          <w:b w:val="0"/>
          <w:bCs w:val="0"/>
          <w:sz w:val="72"/>
          <w:szCs w:val="72"/>
          <w:lang w:eastAsia="zh-CN"/>
        </w:rPr>
      </w:pPr>
    </w:p>
    <w:p w14:paraId="63BFFD84">
      <w:pPr>
        <w:pStyle w:val="14"/>
        <w:jc w:val="center"/>
        <w:rPr>
          <w:rFonts w:hint="eastAsia" w:ascii="仿宋_GB2312" w:hAnsi="仿宋_GB2312" w:eastAsia="仿宋_GB2312" w:cs="仿宋_GB2312"/>
          <w:b w:val="0"/>
          <w:bCs w:val="0"/>
          <w:sz w:val="72"/>
          <w:szCs w:val="72"/>
          <w:lang w:eastAsia="zh-CN"/>
        </w:rPr>
      </w:pPr>
    </w:p>
    <w:p w14:paraId="4565BABE">
      <w:pPr>
        <w:pStyle w:val="14"/>
        <w:jc w:val="center"/>
        <w:rPr>
          <w:rFonts w:hint="eastAsia" w:ascii="仿宋_GB2312" w:hAnsi="仿宋_GB2312" w:eastAsia="仿宋_GB2312" w:cs="仿宋_GB2312"/>
          <w:b w:val="0"/>
          <w:bCs w:val="0"/>
          <w:sz w:val="72"/>
          <w:szCs w:val="72"/>
          <w:lang w:eastAsia="zh-CN"/>
        </w:rPr>
      </w:pPr>
    </w:p>
    <w:p w14:paraId="6EEAB3EF">
      <w:pPr>
        <w:pStyle w:val="14"/>
        <w:jc w:val="center"/>
        <w:rPr>
          <w:rFonts w:hint="eastAsia" w:ascii="仿宋_GB2312" w:hAnsi="仿宋_GB2312" w:eastAsia="仿宋_GB2312" w:cs="仿宋_GB2312"/>
          <w:b w:val="0"/>
          <w:bCs w:val="0"/>
          <w:sz w:val="72"/>
          <w:szCs w:val="72"/>
          <w:lang w:eastAsia="zh-CN"/>
        </w:rPr>
      </w:pPr>
    </w:p>
    <w:p w14:paraId="603C04A7">
      <w:pPr>
        <w:pStyle w:val="14"/>
        <w:jc w:val="center"/>
        <w:rPr>
          <w:rFonts w:hint="eastAsia" w:ascii="方正小标宋_GBK" w:hAnsi="方正小标宋_GBK" w:eastAsia="方正小标宋_GBK" w:cs="方正小标宋_GBK"/>
          <w:sz w:val="72"/>
          <w:szCs w:val="72"/>
        </w:rPr>
      </w:pPr>
    </w:p>
    <w:p w14:paraId="7A44A82E">
      <w:pPr>
        <w:pStyle w:val="14"/>
        <w:jc w:val="center"/>
        <w:rPr>
          <w:rFonts w:hint="eastAsia" w:ascii="方正小标宋_GBK" w:hAnsi="方正小标宋_GBK" w:eastAsia="方正小标宋_GBK" w:cs="方正小标宋_GBK"/>
          <w:sz w:val="72"/>
          <w:szCs w:val="72"/>
        </w:rPr>
      </w:pPr>
    </w:p>
    <w:p w14:paraId="06211665">
      <w:pPr>
        <w:pStyle w:val="14"/>
        <w:jc w:val="both"/>
        <w:rPr>
          <w:rFonts w:hint="eastAsia" w:ascii="方正小标宋_GBK" w:hAnsi="方正小标宋_GBK" w:eastAsia="方正小标宋_GBK" w:cs="方正小标宋_GBK"/>
          <w:sz w:val="72"/>
          <w:szCs w:val="72"/>
        </w:rPr>
      </w:pPr>
    </w:p>
    <w:p w14:paraId="7804FBAA">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4"/>
        <w:jc w:val="center"/>
        <w:rPr>
          <w:rFonts w:hint="eastAsia" w:ascii="方正小标宋_GBK" w:hAnsi="方正小标宋_GBK" w:eastAsia="方正小标宋_GBK" w:cs="方正小标宋_GBK"/>
          <w:sz w:val="70"/>
          <w:szCs w:val="70"/>
        </w:rPr>
      </w:pPr>
    </w:p>
    <w:p w14:paraId="4F77A5A6">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4"/>
        <w:jc w:val="center"/>
        <w:rPr>
          <w:rFonts w:hint="eastAsia" w:ascii="方正小标宋_GBK" w:hAnsi="方正小标宋_GBK" w:eastAsia="方正小标宋_GBK" w:cs="方正小标宋_GBK"/>
          <w:sz w:val="70"/>
          <w:szCs w:val="70"/>
        </w:rPr>
      </w:pPr>
    </w:p>
    <w:p w14:paraId="6EEC30AB">
      <w:pPr>
        <w:pStyle w:val="14"/>
        <w:jc w:val="center"/>
        <w:rPr>
          <w:rFonts w:hint="eastAsia" w:ascii="方正小标宋_GBK" w:hAnsi="方正小标宋_GBK" w:eastAsia="方正小标宋_GBK" w:cs="方正小标宋_GBK"/>
          <w:sz w:val="70"/>
          <w:szCs w:val="70"/>
        </w:rPr>
      </w:pPr>
    </w:p>
    <w:p w14:paraId="417367C1">
      <w:pPr>
        <w:pStyle w:val="14"/>
        <w:jc w:val="center"/>
        <w:rPr>
          <w:rFonts w:hint="eastAsia" w:ascii="方正小标宋_GBK" w:hAnsi="方正小标宋_GBK" w:eastAsia="方正小标宋_GBK" w:cs="方正小标宋_GBK"/>
          <w:sz w:val="70"/>
          <w:szCs w:val="70"/>
        </w:rPr>
      </w:pPr>
    </w:p>
    <w:p w14:paraId="5EF1049C">
      <w:pPr>
        <w:pStyle w:val="14"/>
        <w:jc w:val="center"/>
        <w:rPr>
          <w:rFonts w:hint="eastAsia" w:ascii="方正小标宋_GBK" w:hAnsi="方正小标宋_GBK" w:eastAsia="方正小标宋_GBK" w:cs="方正小标宋_GBK"/>
          <w:sz w:val="70"/>
          <w:szCs w:val="70"/>
        </w:rPr>
      </w:pPr>
    </w:p>
    <w:p w14:paraId="7E4B3CF9">
      <w:pPr>
        <w:pStyle w:val="14"/>
        <w:jc w:val="center"/>
        <w:rPr>
          <w:rFonts w:hint="eastAsia" w:ascii="方正小标宋_GBK" w:hAnsi="方正小标宋_GBK" w:eastAsia="方正小标宋_GBK" w:cs="方正小标宋_GBK"/>
          <w:sz w:val="70"/>
          <w:szCs w:val="70"/>
        </w:rPr>
      </w:pPr>
    </w:p>
    <w:p w14:paraId="514C0722">
      <w:pPr>
        <w:pStyle w:val="14"/>
        <w:jc w:val="center"/>
        <w:rPr>
          <w:rFonts w:hint="eastAsia" w:ascii="方正小标宋_GBK" w:hAnsi="方正小标宋_GBK" w:eastAsia="方正小标宋_GBK" w:cs="方正小标宋_GBK"/>
          <w:sz w:val="70"/>
          <w:szCs w:val="70"/>
        </w:rPr>
      </w:pPr>
    </w:p>
    <w:p w14:paraId="2411C08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年度收、支总计9857.29万元。与上年相比，</w:t>
      </w:r>
      <w:r>
        <w:rPr>
          <w:rFonts w:hint="eastAsia" w:ascii="仿宋_GB2312" w:hAnsi="仿宋_GB2312" w:eastAsia="仿宋_GB2312" w:cs="仿宋_GB2312"/>
          <w:sz w:val="32"/>
          <w:szCs w:val="32"/>
          <w:lang w:val="en-US" w:eastAsia="zh-CN"/>
        </w:rPr>
        <w:t>增加4404.04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123.82</w:t>
      </w:r>
      <w:r>
        <w:rPr>
          <w:rFonts w:hint="eastAsia" w:ascii="仿宋_GB2312" w:hAnsi="仿宋_GB2312" w:eastAsia="仿宋_GB2312" w:cs="仿宋_GB2312"/>
          <w:sz w:val="32"/>
          <w:szCs w:val="32"/>
        </w:rPr>
        <w:t>%，主要是因为节能环保支出</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增加</w:t>
      </w:r>
      <w:r>
        <w:rPr>
          <w:rFonts w:hint="eastAsia" w:ascii="仿宋_GB2312" w:hAnsi="仿宋_GB2312" w:eastAsia="仿宋_GB2312" w:cs="仿宋_GB2312"/>
          <w:sz w:val="32"/>
          <w:szCs w:val="32"/>
        </w:rPr>
        <w:t>。</w:t>
      </w:r>
    </w:p>
    <w:p w14:paraId="07DA9E3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年度收入合计9857.29万元，其中：财政拨款收入2241.33万元，占</w:t>
      </w:r>
      <w:r>
        <w:rPr>
          <w:rFonts w:hint="eastAsia" w:ascii="仿宋_GB2312" w:hAnsi="仿宋_GB2312" w:eastAsia="仿宋_GB2312" w:cs="仿宋_GB2312"/>
          <w:sz w:val="32"/>
          <w:szCs w:val="32"/>
          <w:lang w:val="en-US" w:eastAsia="zh-CN"/>
        </w:rPr>
        <w:t>22.74</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%；其他收入7615.96万元，占</w:t>
      </w:r>
      <w:r>
        <w:rPr>
          <w:rFonts w:hint="eastAsia" w:ascii="仿宋_GB2312" w:hAnsi="仿宋_GB2312" w:eastAsia="仿宋_GB2312" w:cs="仿宋_GB2312"/>
          <w:sz w:val="32"/>
          <w:szCs w:val="32"/>
          <w:lang w:val="en-US" w:eastAsia="zh-CN"/>
        </w:rPr>
        <w:t>77.26</w:t>
      </w:r>
      <w:r>
        <w:rPr>
          <w:rFonts w:hint="eastAsia" w:ascii="仿宋_GB2312" w:hAnsi="仿宋_GB2312" w:eastAsia="仿宋_GB2312" w:cs="仿宋_GB2312"/>
          <w:sz w:val="32"/>
          <w:szCs w:val="32"/>
        </w:rPr>
        <w:t>%。</w:t>
      </w:r>
    </w:p>
    <w:p w14:paraId="2D1A2B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年度支出合计9857.29万元，其中：基本支出1716.32万元，占</w:t>
      </w:r>
      <w:r>
        <w:rPr>
          <w:rFonts w:hint="eastAsia" w:ascii="仿宋_GB2312" w:hAnsi="仿宋_GB2312" w:eastAsia="仿宋_GB2312" w:cs="仿宋_GB2312"/>
          <w:sz w:val="32"/>
          <w:szCs w:val="32"/>
          <w:lang w:val="en-US" w:eastAsia="zh-CN"/>
        </w:rPr>
        <w:t>17.41</w:t>
      </w:r>
      <w:r>
        <w:rPr>
          <w:rFonts w:hint="eastAsia" w:ascii="仿宋_GB2312" w:hAnsi="仿宋_GB2312" w:eastAsia="仿宋_GB2312" w:cs="仿宋_GB2312"/>
          <w:sz w:val="32"/>
          <w:szCs w:val="32"/>
        </w:rPr>
        <w:t>%；项目支出8140.97万元，占</w:t>
      </w:r>
      <w:r>
        <w:rPr>
          <w:rFonts w:hint="eastAsia" w:ascii="仿宋_GB2312" w:hAnsi="仿宋_GB2312" w:eastAsia="仿宋_GB2312" w:cs="仿宋_GB2312"/>
          <w:sz w:val="32"/>
          <w:szCs w:val="32"/>
          <w:lang w:val="en-US" w:eastAsia="zh-CN"/>
        </w:rPr>
        <w:t>82.59</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6985752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5EEE207">
      <w:pPr>
        <w:widowControl w:val="0"/>
        <w:autoSpaceDE w:val="0"/>
        <w:autoSpaceDN w:val="0"/>
        <w:adjustRightInd w:val="0"/>
        <w:ind w:firstLine="640" w:firstLineChars="200"/>
        <w:rPr>
          <w:rFonts w:hint="eastAsia" w:ascii="楷体" w:hAnsi="楷体" w:eastAsia="楷体" w:cs="楷体"/>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年度财政拨款收、支总计2241.33万元，与上年相比，增加</w:t>
      </w:r>
      <w:r>
        <w:rPr>
          <w:rFonts w:hint="eastAsia" w:ascii="仿宋_GB2312" w:hAnsi="仿宋_GB2312" w:eastAsia="仿宋_GB2312" w:cs="仿宋_GB2312"/>
          <w:sz w:val="32"/>
          <w:szCs w:val="32"/>
          <w:lang w:val="en-US" w:eastAsia="zh-CN"/>
        </w:rPr>
        <w:t>191.43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9.34</w:t>
      </w:r>
      <w:r>
        <w:rPr>
          <w:rFonts w:hint="eastAsia" w:ascii="仿宋_GB2312" w:hAnsi="仿宋_GB2312" w:eastAsia="仿宋_GB2312" w:cs="仿宋_GB2312"/>
          <w:sz w:val="32"/>
          <w:szCs w:val="32"/>
        </w:rPr>
        <w:t>%，主要是因为2024年节能环保支出增加。</w:t>
      </w:r>
    </w:p>
    <w:p w14:paraId="4BB30A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6CAEDE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年度财政拨款支出2241.33万元，占本年支出合计的</w:t>
      </w:r>
      <w:r>
        <w:rPr>
          <w:rFonts w:hint="eastAsia" w:ascii="仿宋_GB2312" w:hAnsi="仿宋_GB2312" w:eastAsia="仿宋_GB2312" w:cs="仿宋_GB2312"/>
          <w:sz w:val="32"/>
          <w:szCs w:val="32"/>
          <w:lang w:val="en-US" w:eastAsia="zh-CN"/>
        </w:rPr>
        <w:t>22.74</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191.43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9.34</w:t>
      </w:r>
      <w:r>
        <w:rPr>
          <w:rFonts w:hint="eastAsia" w:ascii="仿宋_GB2312" w:hAnsi="仿宋_GB2312" w:eastAsia="仿宋_GB2312" w:cs="仿宋_GB2312"/>
          <w:sz w:val="32"/>
          <w:szCs w:val="32"/>
        </w:rPr>
        <w:t>%，主要是因为2024年节能环保支出增加。</w:t>
      </w:r>
    </w:p>
    <w:p w14:paraId="66C54C8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100B5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年度财政拨款支出2241.33万元，主要用于以下方面：社会保障和就业（类）支出157.43万元，占</w:t>
      </w:r>
      <w:r>
        <w:rPr>
          <w:rFonts w:hint="eastAsia" w:ascii="仿宋_GB2312" w:hAnsi="仿宋_GB2312" w:eastAsia="仿宋_GB2312" w:cs="仿宋_GB2312"/>
          <w:sz w:val="32"/>
          <w:szCs w:val="32"/>
          <w:lang w:val="en-US" w:eastAsia="zh-CN"/>
        </w:rPr>
        <w:t>7.02</w:t>
      </w:r>
      <w:r>
        <w:rPr>
          <w:rFonts w:hint="eastAsia" w:ascii="仿宋_GB2312" w:hAnsi="仿宋_GB2312" w:eastAsia="仿宋_GB2312" w:cs="仿宋_GB2312"/>
          <w:sz w:val="32"/>
          <w:szCs w:val="32"/>
        </w:rPr>
        <w:t>%；节能环保（类）支出1982.28万元，占8</w:t>
      </w:r>
      <w:r>
        <w:rPr>
          <w:rFonts w:hint="eastAsia" w:ascii="仿宋_GB2312" w:hAnsi="仿宋_GB2312" w:eastAsia="仿宋_GB2312" w:cs="仿宋_GB2312"/>
          <w:sz w:val="32"/>
          <w:szCs w:val="32"/>
          <w:lang w:val="en-US" w:eastAsia="zh-CN"/>
        </w:rPr>
        <w:t>8.45</w:t>
      </w:r>
      <w:r>
        <w:rPr>
          <w:rFonts w:hint="eastAsia" w:ascii="仿宋_GB2312" w:hAnsi="仿宋_GB2312" w:eastAsia="仿宋_GB2312" w:cs="仿宋_GB2312"/>
          <w:sz w:val="32"/>
          <w:szCs w:val="32"/>
        </w:rPr>
        <w:t>%；住房保障（类）支出101.62万元，占</w:t>
      </w:r>
      <w:r>
        <w:rPr>
          <w:rFonts w:hint="eastAsia" w:ascii="仿宋_GB2312" w:hAnsi="仿宋_GB2312" w:eastAsia="仿宋_GB2312" w:cs="仿宋_GB2312"/>
          <w:sz w:val="32"/>
          <w:szCs w:val="32"/>
          <w:lang w:val="en-US" w:eastAsia="zh-CN"/>
        </w:rPr>
        <w:t>4.53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p>
    <w:p w14:paraId="5CDBADF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年度财政拨款支出年初预算数为21</w:t>
      </w:r>
      <w:r>
        <w:rPr>
          <w:rFonts w:hint="eastAsia" w:ascii="仿宋_GB2312" w:hAnsi="仿宋_GB2312" w:eastAsia="仿宋_GB2312" w:cs="仿宋_GB2312"/>
          <w:sz w:val="32"/>
          <w:szCs w:val="32"/>
          <w:lang w:val="en-US" w:eastAsia="zh-CN"/>
        </w:rPr>
        <w:t>5.22</w:t>
      </w:r>
      <w:r>
        <w:rPr>
          <w:rFonts w:hint="eastAsia" w:ascii="仿宋_GB2312" w:hAnsi="仿宋_GB2312" w:eastAsia="仿宋_GB2312" w:cs="仿宋_GB2312"/>
          <w:sz w:val="32"/>
          <w:szCs w:val="32"/>
        </w:rPr>
        <w:t>万元，支出决算数为295.69万元，完成年初预算的</w:t>
      </w:r>
      <w:r>
        <w:rPr>
          <w:rFonts w:hint="eastAsia" w:ascii="仿宋_GB2312" w:hAnsi="仿宋_GB2312" w:eastAsia="仿宋_GB2312" w:cs="仿宋_GB2312"/>
          <w:sz w:val="32"/>
          <w:szCs w:val="32"/>
          <w:lang w:val="en-US" w:eastAsia="zh-CN"/>
        </w:rPr>
        <w:t>137.39</w:t>
      </w:r>
      <w:r>
        <w:rPr>
          <w:rFonts w:hint="eastAsia" w:ascii="仿宋_GB2312" w:hAnsi="仿宋_GB2312" w:eastAsia="仿宋_GB2312" w:cs="仿宋_GB2312"/>
          <w:sz w:val="32"/>
          <w:szCs w:val="32"/>
        </w:rPr>
        <w:t>%，其中：</w:t>
      </w:r>
    </w:p>
    <w:p w14:paraId="237A4D6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1、社会保障和就业（类）行政事业单位养老支出（款）机关事业单位基本养老保险缴费支出（项）。</w:t>
      </w:r>
    </w:p>
    <w:p w14:paraId="7523608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年初预算为140.9</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万元，支出决算为140.91万元，完成年初预算的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lang w:val="en-US" w:eastAsia="zh-CN"/>
        </w:rPr>
        <w:t>。</w:t>
      </w:r>
    </w:p>
    <w:p w14:paraId="37A3CD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、社会保障和就业（类）抚恤（款）其他优抚支出（项）。</w:t>
      </w:r>
    </w:p>
    <w:p w14:paraId="7909D09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16.52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0A3E3D7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、社会保障和就业支出（类）残疾人事业（款）其他残疾人事业支出（项）。</w:t>
      </w:r>
    </w:p>
    <w:p w14:paraId="3F9D37A6">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10.88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完成年初预算的0.00%，决算数小于年初预算数的主要原因是：会计核算中未细化此项目，计入其他项目支出中。</w:t>
      </w:r>
    </w:p>
    <w:p w14:paraId="5555E44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、卫生健康（类）行政事业单位医疗（款）公务员医疗补助（项）。</w:t>
      </w:r>
    </w:p>
    <w:p w14:paraId="7943542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11.75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完成年初预算的0.00%，决算数小于年初预算数的主要原因是：会计核算中未细化此项目，计入其他项目支出中。</w:t>
      </w:r>
    </w:p>
    <w:p w14:paraId="2B0655C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、节能环保（类）环境保护管理事务（款）行政运行（项）。</w:t>
      </w:r>
    </w:p>
    <w:p w14:paraId="022206B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1693.1</w:t>
      </w:r>
      <w:r>
        <w:rPr>
          <w:rFonts w:hint="eastAsia" w:ascii="仿宋_GB2312" w:hAnsi="仿宋_GB2312" w:eastAsia="仿宋_GB2312" w:cs="仿宋_GB2312"/>
          <w:sz w:val="32"/>
          <w:szCs w:val="32"/>
        </w:rPr>
        <w:t>万元，支出决算为1755.95万元，完成</w:t>
      </w:r>
      <w:r>
        <w:rPr>
          <w:rFonts w:hint="eastAsia" w:ascii="仿宋_GB2312" w:hAnsi="仿宋_GB2312" w:eastAsia="仿宋_GB2312" w:cs="仿宋_GB2312"/>
          <w:sz w:val="32"/>
          <w:szCs w:val="32"/>
          <w:highlight w:val="none"/>
        </w:rPr>
        <w:t>年初预算的</w:t>
      </w:r>
      <w:r>
        <w:rPr>
          <w:rFonts w:hint="eastAsia" w:ascii="仿宋_GB2312" w:hAnsi="仿宋_GB2312" w:eastAsia="仿宋_GB2312" w:cs="仿宋_GB2312"/>
          <w:sz w:val="32"/>
          <w:szCs w:val="32"/>
          <w:highlight w:val="none"/>
          <w:lang w:val="en-US" w:eastAsia="zh-CN"/>
        </w:rPr>
        <w:t>103.71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大</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val="en-US" w:eastAsia="zh-CN"/>
        </w:rPr>
        <w:t>物业管理费和劳务费</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val="en-US" w:eastAsia="zh-CN"/>
        </w:rPr>
        <w:t>。</w:t>
      </w:r>
    </w:p>
    <w:p w14:paraId="6DC688F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、节能环保（类）环境保护管理事务（款）其他环境保护管理事务支出（项）。</w:t>
      </w:r>
    </w:p>
    <w:p w14:paraId="5937D979">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万元，支出决算为105.82万元，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r>
        <w:rPr>
          <w:rFonts w:hint="eastAsia" w:ascii="仿宋_GB2312" w:hAnsi="仿宋_GB2312" w:eastAsia="仿宋_GB2312" w:cs="仿宋_GB2312"/>
          <w:sz w:val="32"/>
          <w:szCs w:val="32"/>
          <w:lang w:eastAsia="zh-CN"/>
        </w:rPr>
        <w:t>。</w:t>
      </w:r>
    </w:p>
    <w:p w14:paraId="1CE6ECD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、节能环保（类）污染防治（款）其他污染防治支出（项）。</w:t>
      </w:r>
    </w:p>
    <w:p w14:paraId="63D3FE2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19.40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8BCF59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、节能环保（类）污染减排（款）生态环境执法监察（项）。</w:t>
      </w:r>
    </w:p>
    <w:p w14:paraId="1F2198F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635557D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、节能环保（类）其他节能环保支出（款）其他节能环保支出（项）。</w:t>
      </w:r>
    </w:p>
    <w:p w14:paraId="3B6E297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95.11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决算数大于年初预算数的主要原因是：年初未做预算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年中追加资金。</w:t>
      </w:r>
    </w:p>
    <w:p w14:paraId="7178BF3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、住房保障（类）住房改革支出（款）住房公积金（项）。</w:t>
      </w:r>
    </w:p>
    <w:p w14:paraId="2F4442F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101.62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101.62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严格按照年初预算执行</w:t>
      </w:r>
      <w:r>
        <w:rPr>
          <w:rFonts w:hint="eastAsia" w:ascii="仿宋_GB2312" w:hAnsi="仿宋_GB2312" w:eastAsia="仿宋_GB2312" w:cs="仿宋_GB2312"/>
          <w:sz w:val="32"/>
          <w:szCs w:val="32"/>
          <w:lang w:val="en-US" w:eastAsia="zh-CN"/>
        </w:rPr>
        <w:t>。</w:t>
      </w:r>
    </w:p>
    <w:p w14:paraId="373E8BA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财政拨款基本支出218.42万元，其中：</w:t>
      </w:r>
    </w:p>
    <w:p w14:paraId="763B784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1468.18万元，占基本支出的</w:t>
      </w:r>
      <w:r>
        <w:rPr>
          <w:rFonts w:hint="eastAsia" w:ascii="仿宋_GB2312" w:hAnsi="仿宋_GB2312" w:eastAsia="仿宋_GB2312" w:cs="仿宋_GB2312"/>
          <w:sz w:val="32"/>
          <w:szCs w:val="32"/>
          <w:lang w:val="en-US" w:eastAsia="zh-CN"/>
        </w:rPr>
        <w:t>65.50</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、职业年金缴费、</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、抚恤金、</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8A9DF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211.68万元，占基本支出的</w:t>
      </w:r>
      <w:r>
        <w:rPr>
          <w:rFonts w:hint="eastAsia" w:ascii="仿宋_GB2312" w:hAnsi="仿宋_GB2312" w:eastAsia="仿宋_GB2312" w:cs="仿宋_GB2312"/>
          <w:sz w:val="32"/>
          <w:szCs w:val="32"/>
          <w:lang w:val="en-US" w:eastAsia="zh-CN"/>
        </w:rPr>
        <w:t>34.50</w:t>
      </w:r>
      <w:r>
        <w:rPr>
          <w:rFonts w:hint="eastAsia" w:ascii="仿宋_GB2312" w:hAnsi="仿宋_GB2312" w:eastAsia="仿宋_GB2312" w:cs="仿宋_GB2312"/>
          <w:sz w:val="32"/>
          <w:szCs w:val="32"/>
        </w:rPr>
        <w:t>%，主要包括办公费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、会议费、培训费、</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238B276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color w:val="000000"/>
          <w:kern w:val="0"/>
          <w:sz w:val="32"/>
          <w:szCs w:val="32"/>
          <w:lang w:val="en-US" w:eastAsia="zh-CN" w:bidi="ar-SA"/>
        </w:rPr>
        <w:t>2024年度政府性基金预算财政拨款收入0万元；年初结转和结余0万元；支出0万元，其中基本支出0万元，项目支出0万元；年末结转和结余0万元。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14:paraId="5876C25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4"/>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10.17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8.29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81.51</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增加0.09</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1.10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rPr>
        <w:t>厉行节约，严格控制“三公”经费</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小</w:t>
      </w:r>
      <w:r>
        <w:rPr>
          <w:rFonts w:ascii="Times New Roman" w:hAnsi="Times New Roman" w:eastAsia="仿宋_GB2312" w:cs="Times New Roman"/>
          <w:sz w:val="32"/>
          <w:szCs w:val="32"/>
        </w:rPr>
        <w:t>于上年数的主要原因是</w:t>
      </w:r>
      <w:r>
        <w:rPr>
          <w:rFonts w:hint="eastAsia" w:ascii="Times New Roman" w:hAnsi="Times New Roman" w:eastAsia="仿宋_GB2312" w:cs="Times New Roman"/>
          <w:sz w:val="32"/>
          <w:szCs w:val="32"/>
        </w:rPr>
        <w:t>2024年</w:t>
      </w:r>
      <w:r>
        <w:rPr>
          <w:rFonts w:hint="eastAsia" w:ascii="Times New Roman" w:hAnsi="Times New Roman" w:eastAsia="仿宋_GB2312" w:cs="Times New Roman"/>
          <w:sz w:val="32"/>
          <w:szCs w:val="32"/>
          <w:lang w:val="en-US" w:eastAsia="zh-CN"/>
        </w:rPr>
        <w:t>接待活动增加</w:t>
      </w:r>
      <w:r>
        <w:rPr>
          <w:rFonts w:ascii="Times New Roman" w:hAnsi="Times New Roman" w:eastAsia="仿宋_GB2312" w:cs="Times New Roman"/>
          <w:sz w:val="32"/>
          <w:szCs w:val="32"/>
        </w:rPr>
        <w:t>。</w:t>
      </w:r>
    </w:p>
    <w:p w14:paraId="352D03A7">
      <w:pPr>
        <w:pStyle w:val="14"/>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0.00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3.27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3.27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增加1.95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增加147.72</w:t>
      </w:r>
      <w:r>
        <w:rPr>
          <w:rFonts w:ascii="Times New Roman" w:hAnsi="Times New Roman" w:eastAsia="仿宋_GB2312" w:cs="Times New Roman"/>
          <w:sz w:val="32"/>
          <w:szCs w:val="32"/>
        </w:rPr>
        <w:t>%。其中：</w:t>
      </w:r>
    </w:p>
    <w:p w14:paraId="07AF86AC">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14:paraId="1D422951">
      <w:pPr>
        <w:pStyle w:val="14"/>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3.27</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3.27</w:t>
      </w:r>
      <w:r>
        <w:rPr>
          <w:rFonts w:ascii="Times New Roman" w:hAnsi="Times New Roman" w:eastAsia="仿宋_GB2312" w:cs="Times New Roman"/>
          <w:sz w:val="32"/>
          <w:szCs w:val="32"/>
        </w:rPr>
        <w:t>万元，</w:t>
      </w:r>
    </w:p>
    <w:p w14:paraId="75A272CE">
      <w:pPr>
        <w:pStyle w:val="14"/>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rPr>
        <w:t>公执法车加油、维修、保险</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100.00</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增加1.95</w:t>
      </w:r>
      <w:r>
        <w:rPr>
          <w:rFonts w:ascii="Times New Roman" w:hAnsi="Times New Roman" w:eastAsia="仿宋_GB2312" w:cs="Times New Roman"/>
          <w:sz w:val="32"/>
          <w:szCs w:val="32"/>
        </w:rPr>
        <w:t>万元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增加147.72</w:t>
      </w:r>
      <w:r>
        <w:rPr>
          <w:rFonts w:ascii="Times New Roman" w:hAnsi="Times New Roman" w:eastAsia="仿宋_GB2312" w:cs="Times New Roman"/>
          <w:sz w:val="32"/>
          <w:szCs w:val="32"/>
        </w:rPr>
        <w:t>%</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val="en-US" w:eastAsia="zh-CN"/>
        </w:rPr>
        <w:t>等</w:t>
      </w:r>
      <w:r>
        <w:rPr>
          <w:rFonts w:ascii="Times New Roman" w:hAnsi="Times New Roman" w:eastAsia="仿宋_GB2312" w:cs="Times New Roman"/>
          <w:sz w:val="32"/>
          <w:szCs w:val="32"/>
        </w:rPr>
        <w:t>于预算数的主要原因是</w:t>
      </w:r>
      <w:r>
        <w:rPr>
          <w:rFonts w:hint="eastAsia" w:ascii="Times New Roman" w:hAnsi="Times New Roman" w:eastAsia="仿宋_GB2312" w:cs="Times New Roman"/>
          <w:sz w:val="32"/>
          <w:szCs w:val="32"/>
          <w:lang w:val="en-US" w:eastAsia="zh-CN"/>
        </w:rPr>
        <w:t>严格按照预算执行</w:t>
      </w:r>
      <w:r>
        <w:rPr>
          <w:rFonts w:ascii="Times New Roman" w:hAnsi="Times New Roman" w:eastAsia="仿宋_GB2312" w:cs="Times New Roman"/>
          <w:sz w:val="32"/>
          <w:szCs w:val="32"/>
        </w:rPr>
        <w:t>。决算</w:t>
      </w:r>
      <w:r>
        <w:rPr>
          <w:rFonts w:hint="eastAsia" w:ascii="Times New Roman" w:hAnsi="Times New Roman" w:eastAsia="仿宋_GB2312" w:cs="Times New Roman"/>
          <w:sz w:val="32"/>
          <w:szCs w:val="32"/>
          <w:lang w:val="en-US" w:eastAsia="zh-CN"/>
        </w:rPr>
        <w:t>数大于</w:t>
      </w:r>
      <w:r>
        <w:rPr>
          <w:rFonts w:ascii="Times New Roman" w:hAnsi="Times New Roman" w:eastAsia="仿宋_GB2312" w:cs="Times New Roman"/>
          <w:sz w:val="32"/>
          <w:szCs w:val="32"/>
        </w:rPr>
        <w:t>上年数的主要原因是</w:t>
      </w:r>
      <w:r>
        <w:rPr>
          <w:rFonts w:hint="eastAsia" w:ascii="Times New Roman" w:hAnsi="Times New Roman" w:eastAsia="仿宋_GB2312" w:cs="Times New Roman"/>
          <w:sz w:val="32"/>
          <w:szCs w:val="32"/>
        </w:rPr>
        <w:t>2024年</w:t>
      </w:r>
      <w:r>
        <w:rPr>
          <w:rFonts w:hint="eastAsia" w:ascii="Times New Roman" w:hAnsi="Times New Roman" w:eastAsia="仿宋_GB2312" w:cs="Times New Roman"/>
          <w:sz w:val="32"/>
          <w:szCs w:val="32"/>
          <w:lang w:val="en-US" w:eastAsia="zh-CN"/>
        </w:rPr>
        <w:t>接待活动增加</w:t>
      </w:r>
      <w:r>
        <w:rPr>
          <w:rFonts w:hint="eastAsia" w:ascii="Times New Roman" w:hAnsi="Times New Roman" w:eastAsia="仿宋_GB2312" w:cs="Times New Roman"/>
          <w:sz w:val="32"/>
          <w:szCs w:val="32"/>
          <w:lang w:val="en-US" w:eastAsia="zh-CN"/>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w:t>
      </w:r>
      <w:r>
        <w:rPr>
          <w:rFonts w:ascii="Times New Roman" w:hAnsi="Times New Roman" w:eastAsia="仿宋_GB2312" w:cs="Times New Roman"/>
          <w:sz w:val="32"/>
          <w:szCs w:val="32"/>
          <w:highlight w:val="none"/>
        </w:rPr>
        <w:t>务用车保有量为</w:t>
      </w:r>
      <w:r>
        <w:rPr>
          <w:rFonts w:hint="eastAsia" w:ascii="Times New Roman" w:hAnsi="Times New Roman" w:eastAsia="仿宋_GB2312" w:cs="Times New Roman"/>
          <w:sz w:val="32"/>
          <w:szCs w:val="32"/>
          <w:highlight w:val="none"/>
          <w:lang w:val="en-US" w:eastAsia="zh-CN"/>
        </w:rPr>
        <w:t>1</w:t>
      </w:r>
      <w:r>
        <w:rPr>
          <w:rFonts w:ascii="Times New Roman" w:hAnsi="Times New Roman" w:eastAsia="仿宋_GB2312" w:cs="Times New Roman"/>
          <w:sz w:val="32"/>
          <w:szCs w:val="32"/>
          <w:highlight w:val="none"/>
        </w:rPr>
        <w:t>辆</w:t>
      </w:r>
      <w:r>
        <w:rPr>
          <w:rFonts w:ascii="Times New Roman" w:hAnsi="Times New Roman" w:eastAsia="仿宋_GB2312" w:cs="Times New Roman"/>
          <w:sz w:val="32"/>
          <w:szCs w:val="32"/>
        </w:rPr>
        <w:t>。</w:t>
      </w:r>
    </w:p>
    <w:p w14:paraId="4B35674B">
      <w:pPr>
        <w:numPr>
          <w:ilvl w:val="0"/>
          <w:numId w:val="2"/>
        </w:num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6.90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5.02</w:t>
      </w:r>
      <w:r>
        <w:rPr>
          <w:rFonts w:ascii="Times New Roman" w:hAnsi="Times New Roman" w:eastAsia="仿宋_GB2312" w:cs="Times New Roman"/>
          <w:sz w:val="32"/>
          <w:szCs w:val="32"/>
        </w:rPr>
        <w:t>万元，完成预</w:t>
      </w:r>
      <w:r>
        <w:rPr>
          <w:rFonts w:ascii="Times New Roman" w:hAnsi="Times New Roman" w:eastAsia="仿宋_GB2312" w:cs="Times New Roman"/>
          <w:color w:val="000000"/>
          <w:kern w:val="0"/>
          <w:sz w:val="32"/>
          <w:szCs w:val="32"/>
          <w:lang w:val="en-US" w:eastAsia="zh-CN" w:bidi="ar-SA"/>
        </w:rPr>
        <w:t>算的</w:t>
      </w:r>
      <w:r>
        <w:rPr>
          <w:rFonts w:hint="eastAsia" w:ascii="Times New Roman" w:hAnsi="Times New Roman" w:eastAsia="仿宋_GB2312" w:cs="Times New Roman"/>
          <w:color w:val="000000"/>
          <w:kern w:val="0"/>
          <w:sz w:val="32"/>
          <w:szCs w:val="32"/>
          <w:lang w:val="en-US" w:eastAsia="zh-CN" w:bidi="ar-SA"/>
        </w:rPr>
        <w:t>72.75</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与上年相比</w:t>
      </w:r>
      <w:r>
        <w:rPr>
          <w:rFonts w:hint="eastAsia" w:ascii="Times New Roman" w:hAnsi="Times New Roman" w:eastAsia="仿宋_GB2312" w:cs="Times New Roman"/>
          <w:sz w:val="32"/>
          <w:szCs w:val="32"/>
          <w:lang w:val="en-US" w:eastAsia="zh-CN"/>
        </w:rPr>
        <w:t>减少1.86</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27.03</w:t>
      </w:r>
      <w:r>
        <w:rPr>
          <w:rFonts w:ascii="Times New Roman" w:hAnsi="Times New Roman" w:eastAsia="仿宋_GB2312" w:cs="Times New Roman"/>
          <w:sz w:val="32"/>
          <w:szCs w:val="32"/>
        </w:rPr>
        <w:t>%</w:t>
      </w:r>
      <w:r>
        <w:rPr>
          <w:rFonts w:ascii="Times New Roman" w:hAnsi="Times New Roman" w:eastAsia="仿宋_GB2312" w:cs="Times New Roman"/>
          <w:color w:val="000000"/>
          <w:kern w:val="0"/>
          <w:sz w:val="32"/>
          <w:szCs w:val="32"/>
          <w:lang w:val="en-US" w:eastAsia="zh-CN" w:bidi="ar-SA"/>
        </w:rPr>
        <w:t>。决算数小于预算数的主要原因是</w:t>
      </w:r>
      <w:r>
        <w:rPr>
          <w:rFonts w:hint="eastAsia" w:ascii="Times New Roman" w:hAnsi="Times New Roman" w:eastAsia="仿宋_GB2312" w:cs="Times New Roman"/>
          <w:color w:val="000000"/>
          <w:kern w:val="0"/>
          <w:sz w:val="32"/>
          <w:szCs w:val="32"/>
          <w:lang w:val="en-US" w:eastAsia="zh-CN" w:bidi="ar-SA"/>
        </w:rPr>
        <w:t>厉行节约，严控公务接待支出</w:t>
      </w:r>
      <w:r>
        <w:rPr>
          <w:rFonts w:ascii="Times New Roman" w:hAnsi="Times New Roman" w:eastAsia="仿宋_GB2312" w:cs="Times New Roman"/>
          <w:color w:val="000000"/>
          <w:kern w:val="0"/>
          <w:sz w:val="32"/>
          <w:szCs w:val="32"/>
          <w:lang w:val="en-US" w:eastAsia="zh-CN" w:bidi="ar-SA"/>
        </w:rPr>
        <w:t>。</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color w:val="000000"/>
          <w:kern w:val="0"/>
          <w:sz w:val="32"/>
          <w:szCs w:val="32"/>
          <w:lang w:val="en-US" w:eastAsia="zh-CN" w:bidi="ar-SA"/>
        </w:rPr>
        <w:t>按有关政策厉行节约，严控公务接待支出。</w:t>
      </w:r>
      <w:r>
        <w:rPr>
          <w:rFonts w:ascii="Times New Roman" w:hAnsi="Times New Roman" w:eastAsia="仿宋_GB2312" w:cs="Times New Roman"/>
          <w:color w:val="000000"/>
          <w:kern w:val="0"/>
          <w:sz w:val="32"/>
          <w:szCs w:val="32"/>
          <w:lang w:val="en-US" w:eastAsia="zh-CN" w:bidi="ar-SA"/>
        </w:rPr>
        <w:t>2024年度共接待来访团</w:t>
      </w:r>
      <w:r>
        <w:rPr>
          <w:rFonts w:ascii="Times New Roman" w:hAnsi="Times New Roman" w:eastAsia="仿宋_GB2312" w:cs="Times New Roman"/>
          <w:color w:val="000000"/>
          <w:kern w:val="0"/>
          <w:sz w:val="32"/>
          <w:szCs w:val="32"/>
          <w:highlight w:val="none"/>
          <w:lang w:val="en-US" w:eastAsia="zh-CN" w:bidi="ar-SA"/>
        </w:rPr>
        <w:t>组</w:t>
      </w:r>
      <w:r>
        <w:rPr>
          <w:rFonts w:hint="eastAsia" w:ascii="Times New Roman" w:hAnsi="Times New Roman" w:eastAsia="仿宋_GB2312" w:cs="Times New Roman"/>
          <w:color w:val="000000"/>
          <w:kern w:val="0"/>
          <w:sz w:val="32"/>
          <w:szCs w:val="32"/>
          <w:highlight w:val="none"/>
          <w:lang w:val="en-US" w:eastAsia="zh-CN" w:bidi="ar-SA"/>
        </w:rPr>
        <w:t>51</w:t>
      </w:r>
      <w:r>
        <w:rPr>
          <w:rFonts w:ascii="Times New Roman" w:hAnsi="Times New Roman" w:eastAsia="仿宋_GB2312" w:cs="Times New Roman"/>
          <w:color w:val="000000"/>
          <w:kern w:val="0"/>
          <w:sz w:val="32"/>
          <w:szCs w:val="32"/>
          <w:highlight w:val="none"/>
          <w:lang w:val="en-US" w:eastAsia="zh-CN" w:bidi="ar-SA"/>
        </w:rPr>
        <w:t>个、来宾</w:t>
      </w:r>
      <w:r>
        <w:rPr>
          <w:rFonts w:hint="eastAsia" w:ascii="Times New Roman" w:hAnsi="Times New Roman" w:eastAsia="仿宋_GB2312" w:cs="Times New Roman"/>
          <w:color w:val="000000"/>
          <w:kern w:val="0"/>
          <w:sz w:val="32"/>
          <w:szCs w:val="32"/>
          <w:highlight w:val="none"/>
          <w:lang w:val="en-US" w:eastAsia="zh-CN" w:bidi="ar-SA"/>
        </w:rPr>
        <w:t>418</w:t>
      </w:r>
      <w:r>
        <w:rPr>
          <w:rFonts w:ascii="Times New Roman" w:hAnsi="Times New Roman" w:eastAsia="仿宋_GB2312" w:cs="Times New Roman"/>
          <w:color w:val="000000"/>
          <w:kern w:val="0"/>
          <w:sz w:val="32"/>
          <w:szCs w:val="32"/>
          <w:highlight w:val="none"/>
          <w:lang w:val="en-US" w:eastAsia="zh-CN" w:bidi="ar-SA"/>
        </w:rPr>
        <w:t>人次</w:t>
      </w:r>
      <w:r>
        <w:rPr>
          <w:rFonts w:ascii="Times New Roman" w:hAnsi="Times New Roman" w:eastAsia="仿宋_GB2312" w:cs="Times New Roman"/>
          <w:color w:val="000000"/>
          <w:kern w:val="0"/>
          <w:sz w:val="32"/>
          <w:szCs w:val="32"/>
          <w:lang w:val="en-US" w:eastAsia="zh-CN" w:bidi="ar-SA"/>
        </w:rPr>
        <w:t>，主要是</w:t>
      </w:r>
      <w:r>
        <w:rPr>
          <w:rFonts w:hint="eastAsia" w:ascii="Times New Roman" w:hAnsi="Times New Roman" w:eastAsia="仿宋_GB2312" w:cs="Times New Roman"/>
          <w:color w:val="000000"/>
          <w:kern w:val="0"/>
          <w:sz w:val="32"/>
          <w:szCs w:val="32"/>
          <w:lang w:val="en-US" w:eastAsia="zh-CN" w:bidi="ar-SA"/>
        </w:rPr>
        <w:t>用于与有关单位工作交流及接受相关部门督察、检查及指导工作</w:t>
      </w:r>
      <w:r>
        <w:rPr>
          <w:rFonts w:ascii="Times New Roman" w:hAnsi="Times New Roman" w:eastAsia="仿宋_GB2312" w:cs="Times New Roman"/>
          <w:color w:val="000000"/>
          <w:kern w:val="0"/>
          <w:sz w:val="32"/>
          <w:szCs w:val="32"/>
          <w:lang w:val="en-US" w:eastAsia="zh-CN" w:bidi="ar-SA"/>
        </w:rPr>
        <w:t>发生的接待支出</w:t>
      </w:r>
      <w:r>
        <w:rPr>
          <w:rFonts w:ascii="Times New Roman" w:hAnsi="Times New Roman" w:eastAsia="仿宋_GB2312" w:cs="Times New Roman"/>
          <w:sz w:val="32"/>
          <w:szCs w:val="32"/>
        </w:rPr>
        <w:t>。</w:t>
      </w:r>
    </w:p>
    <w:p w14:paraId="3D06ACE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211.68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比上年决算数</w:t>
      </w:r>
      <w:r>
        <w:rPr>
          <w:rFonts w:hint="eastAsia" w:ascii="仿宋_GB2312" w:hAnsi="仿宋_GB2312" w:eastAsia="仿宋_GB2312" w:cs="仿宋_GB2312"/>
          <w:sz w:val="32"/>
          <w:szCs w:val="32"/>
          <w:highlight w:val="none"/>
          <w:lang w:val="en-US" w:eastAsia="zh-CN"/>
        </w:rPr>
        <w:t>减少18.45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减少8.02</w:t>
      </w:r>
      <w:r>
        <w:rPr>
          <w:rFonts w:hint="eastAsia" w:ascii="仿宋_GB2312" w:hAnsi="仿宋_GB2312" w:eastAsia="仿宋_GB2312" w:cs="仿宋_GB2312"/>
          <w:sz w:val="32"/>
          <w:szCs w:val="32"/>
          <w:highlight w:val="none"/>
        </w:rPr>
        <w:t>%。主要原因是：</w:t>
      </w:r>
      <w:r>
        <w:rPr>
          <w:rFonts w:hint="eastAsia" w:ascii="Times New Roman" w:hAnsi="Times New Roman" w:eastAsia="仿宋_GB2312" w:cs="Times New Roman"/>
          <w:sz w:val="32"/>
          <w:szCs w:val="32"/>
          <w:lang w:val="en-US" w:eastAsia="zh-CN"/>
        </w:rPr>
        <w:t>劳务费减少</w:t>
      </w:r>
      <w:r>
        <w:rPr>
          <w:rFonts w:hint="eastAsia" w:ascii="仿宋_GB2312" w:hAnsi="仿宋_GB2312" w:eastAsia="仿宋_GB2312" w:cs="仿宋_GB2312"/>
          <w:sz w:val="32"/>
          <w:szCs w:val="32"/>
          <w:highlight w:val="none"/>
          <w:lang w:val="en-US" w:eastAsia="zh-CN"/>
        </w:rPr>
        <w:t>。</w:t>
      </w:r>
    </w:p>
    <w:p w14:paraId="39684EF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BC426E8">
      <w:pPr>
        <w:pStyle w:val="14"/>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年度，会议费年初预算3.00万元，支出决算为0.51万元，完成年初预算的17.00%。用于召开汨罗市生态环境保护大会，</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人，内容为汨罗市生态环境保护</w:t>
      </w:r>
      <w:r>
        <w:rPr>
          <w:rFonts w:hint="eastAsia" w:ascii="仿宋_GB2312" w:hAnsi="仿宋_GB2312" w:eastAsia="仿宋_GB2312" w:cs="仿宋_GB2312"/>
          <w:sz w:val="32"/>
          <w:szCs w:val="32"/>
          <w:lang w:val="en-US" w:eastAsia="zh-CN"/>
        </w:rPr>
        <w:t>。</w:t>
      </w:r>
    </w:p>
    <w:p w14:paraId="5473C0F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培训费年初预算6.00万元，支出决算为4.24万元，完成年初预算的70.67%。用于开展生态环境保护相关业务培训，人数90人，内容为开展环境监察、监测、固废业务等工作培训。</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由于预算数为0，无法计算完成年初预算的百分比，本单位无举办节庆、晚会、论坛、赛事等活动的预算和支出决算数</w:t>
      </w:r>
      <w:r>
        <w:rPr>
          <w:rFonts w:hint="eastAsia" w:ascii="仿宋_GB2312" w:hAnsi="仿宋_GB2312" w:eastAsia="仿宋_GB2312" w:cs="仿宋_GB2312"/>
          <w:color w:val="000000"/>
          <w:kern w:val="0"/>
          <w:sz w:val="32"/>
          <w:szCs w:val="32"/>
          <w:lang w:val="en-US" w:eastAsia="zh-CN" w:bidi="ar-SA"/>
        </w:rPr>
        <w:t>。</w:t>
      </w:r>
    </w:p>
    <w:p w14:paraId="252D0BEE">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本部门202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年度政府采购支出总额296.36万元，其中：政府采购货物支出18.44万元、政府采购工程支出7.55万元、政府采购服务支出270.37万元。授予中小企业合同金额296.36万元，占政府采购支出总额的</w:t>
      </w:r>
      <w:r>
        <w:rPr>
          <w:rFonts w:hint="eastAsia" w:ascii="仿宋_GB2312" w:hAnsi="仿宋_GB2312" w:eastAsia="仿宋_GB2312" w:cs="仿宋_GB2312"/>
          <w:sz w:val="32"/>
          <w:szCs w:val="32"/>
          <w:highlight w:val="none"/>
          <w:lang w:val="en-US" w:eastAsia="zh-CN"/>
        </w:rPr>
        <w:t>100.00</w:t>
      </w:r>
      <w:r>
        <w:rPr>
          <w:rFonts w:hint="eastAsia" w:ascii="仿宋_GB2312" w:hAnsi="仿宋_GB2312" w:eastAsia="仿宋_GB2312" w:cs="仿宋_GB2312"/>
          <w:sz w:val="32"/>
          <w:szCs w:val="32"/>
          <w:highlight w:val="none"/>
        </w:rPr>
        <w:t>%，其中：授予小微企业合同金额296.36万元，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rPr>
        <w:t>%。</w:t>
      </w:r>
    </w:p>
    <w:p w14:paraId="246A0DF6">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主要</w:t>
      </w:r>
      <w:r>
        <w:rPr>
          <w:rFonts w:hint="eastAsia" w:ascii="仿宋_GB2312" w:hAnsi="仿宋_GB2312" w:eastAsia="仿宋_GB2312" w:cs="仿宋_GB2312"/>
          <w:color w:val="auto"/>
          <w:sz w:val="32"/>
          <w:szCs w:val="32"/>
          <w:highlight w:val="none"/>
          <w:lang w:eastAsia="zh-CN"/>
        </w:rPr>
        <w:t>负责人</w:t>
      </w:r>
      <w:r>
        <w:rPr>
          <w:rFonts w:hint="eastAsia" w:ascii="仿宋_GB2312" w:hAnsi="仿宋_GB2312" w:eastAsia="仿宋_GB2312" w:cs="仿宋_GB2312"/>
          <w:color w:val="auto"/>
          <w:sz w:val="32"/>
          <w:szCs w:val="32"/>
          <w:highlight w:val="none"/>
        </w:rPr>
        <w:t>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机要通信用车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辆、应急保障用车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辆、执法执勤用车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辆、特种专业技术用车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w:t>
      </w:r>
      <w:r>
        <w:rPr>
          <w:rFonts w:hint="eastAsia" w:ascii="仿宋_GB2312" w:hAnsi="仿宋_GB2312" w:eastAsia="仿宋_GB2312" w:cs="仿宋_GB2312"/>
          <w:color w:val="auto"/>
          <w:sz w:val="32"/>
          <w:szCs w:val="32"/>
          <w:highlight w:val="none"/>
          <w:lang w:eastAsia="zh-CN"/>
        </w:rPr>
        <w:t>离退休干部服务用车</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辆、其他用车</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辆，其他用</w:t>
      </w:r>
      <w:r>
        <w:rPr>
          <w:rFonts w:hint="eastAsia" w:ascii="仿宋_GB2312" w:hAnsi="仿宋_GB2312" w:eastAsia="仿宋_GB2312" w:cs="仿宋_GB2312"/>
          <w:color w:val="auto"/>
          <w:sz w:val="32"/>
          <w:szCs w:val="32"/>
        </w:rPr>
        <w:t>车主要是</w:t>
      </w:r>
      <w:r>
        <w:rPr>
          <w:rFonts w:hint="eastAsia" w:ascii="仿宋_GB2312" w:hAnsi="仿宋_GB2312" w:eastAsia="仿宋_GB2312" w:cs="仿宋_GB2312"/>
          <w:color w:val="auto"/>
          <w:sz w:val="32"/>
          <w:szCs w:val="32"/>
          <w:lang w:val="en-US" w:eastAsia="zh-CN"/>
        </w:rPr>
        <w:t>公务用车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lang w:val="en-US" w:eastAsia="zh-CN"/>
        </w:rPr>
        <w:t>0.00</w:t>
      </w:r>
      <w:r>
        <w:rPr>
          <w:rFonts w:ascii="Times New Roman" w:hAnsi="Times New Roman" w:eastAsia="仿宋_GB2312" w:cs="Times New Roman"/>
          <w:kern w:val="0"/>
          <w:sz w:val="32"/>
          <w:szCs w:val="32"/>
          <w:highlight w:val="none"/>
        </w:rPr>
        <w:t>%。</w:t>
      </w:r>
    </w:p>
    <w:p w14:paraId="7C65853C">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仿宋_GB2312" w:hAnsi="仿宋_GB2312" w:eastAsia="仿宋_GB2312" w:cs="仿宋_GB2312"/>
          <w:b w:val="0"/>
          <w:bCs w:val="0"/>
          <w:color w:val="000000"/>
          <w:kern w:val="0"/>
          <w:sz w:val="32"/>
          <w:szCs w:val="32"/>
          <w:lang w:val="en-US" w:eastAsia="zh-CN" w:bidi="ar-SA"/>
        </w:rPr>
        <w:t>本单位为二级预算单位，部门评价开展情况可详见上级部门决算公开说明。</w:t>
      </w:r>
    </w:p>
    <w:p w14:paraId="004D01B3">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仿宋_GB2312" w:hAnsi="仿宋_GB2312" w:eastAsia="仿宋_GB2312" w:cs="仿宋_GB2312"/>
          <w:b w:val="0"/>
          <w:bCs w:val="0"/>
          <w:color w:val="000000"/>
          <w:kern w:val="0"/>
          <w:sz w:val="32"/>
          <w:szCs w:val="32"/>
          <w:lang w:val="en-US" w:eastAsia="zh-CN" w:bidi="ar-SA"/>
        </w:rPr>
        <w:t>本单位为二级预算单位，事前绩效评估开展情况可详见上级部门决算公开说明。</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21F9413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10041.71</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9857.27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98.16</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w:t>
      </w:r>
      <w:r>
        <w:rPr>
          <w:rFonts w:ascii="Times New Roman" w:hAnsi="Times New Roman" w:eastAsia="仿宋_GB2312" w:cs="Times New Roman"/>
          <w:sz w:val="32"/>
          <w:szCs w:val="32"/>
        </w:rPr>
        <w:t>”。绩效目标完成情况：一</w:t>
      </w:r>
      <w:r>
        <w:rPr>
          <w:rFonts w:hint="eastAsia" w:ascii="Times New Roman" w:hAnsi="Times New Roman" w:eastAsia="仿宋_GB2312" w:cs="Times New Roman"/>
          <w:sz w:val="32"/>
          <w:szCs w:val="32"/>
          <w:lang w:eastAsia="zh-CN"/>
        </w:rPr>
        <w:t>是</w:t>
      </w:r>
      <w:r>
        <w:rPr>
          <w:rFonts w:hint="eastAsia" w:ascii="Times New Roman" w:hAnsi="Times New Roman" w:eastAsia="仿宋_GB2312" w:cs="Times New Roman"/>
          <w:sz w:val="32"/>
          <w:szCs w:val="32"/>
        </w:rPr>
        <w:t>空气质量优良率90%以上，不断加强生态环境监督、监测、生态等管理工作，持续改善生态环境，提升人民群众对生态环境的满意度</w:t>
      </w: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是</w:t>
      </w:r>
      <w:r>
        <w:rPr>
          <w:rFonts w:hint="eastAsia" w:ascii="Times New Roman" w:hAnsi="Times New Roman" w:eastAsia="仿宋_GB2312" w:cs="Times New Roman"/>
          <w:sz w:val="32"/>
          <w:szCs w:val="32"/>
        </w:rPr>
        <w:t>实现无环保手续非法生产工业企业清零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三是保证饮用水Ⅱ类标准，地表水Ⅲ类标准，让人民群众喝上放心水</w:t>
      </w:r>
      <w:r>
        <w:rPr>
          <w:rFonts w:ascii="Times New Roman" w:hAnsi="Times New Roman" w:eastAsia="仿宋_GB2312" w:cs="Times New Roman"/>
          <w:sz w:val="32"/>
          <w:szCs w:val="32"/>
        </w:rPr>
        <w:t>。</w:t>
      </w:r>
    </w:p>
    <w:p w14:paraId="275C20E2">
      <w:pPr>
        <w:keepNext w:val="0"/>
        <w:keepLines w:val="0"/>
        <w:pageBreakBefore w:val="0"/>
        <w:widowControl w:val="0"/>
        <w:kinsoku/>
        <w:wordWrap/>
        <w:overflowPunct/>
        <w:topLinePunct w:val="0"/>
        <w:autoSpaceDE/>
        <w:autoSpaceDN/>
        <w:bidi w:val="0"/>
        <w:adjustRightInd/>
        <w:snapToGrid/>
        <w:spacing w:line="580" w:lineRule="exact"/>
        <w:ind w:left="0" w:firstLine="640" w:firstLineChars="200"/>
        <w:jc w:val="left"/>
        <w:textAlignment w:val="auto"/>
        <w:rPr>
          <w:rFonts w:hint="eastAsia" w:ascii="仿宋_GB2312" w:hAnsi="仿宋_GB2312" w:eastAsia="仿宋_GB2312" w:cs="仿宋_GB2312"/>
          <w:color w:val="000000"/>
          <w:spacing w:val="0"/>
          <w:kern w:val="0"/>
          <w:position w:val="0"/>
          <w:sz w:val="32"/>
          <w:szCs w:val="32"/>
          <w:lang w:val="en-US" w:eastAsia="zh-CN"/>
        </w:rPr>
      </w:pPr>
      <w:r>
        <w:rPr>
          <w:rFonts w:ascii="Times New Roman" w:hAnsi="Times New Roman" w:eastAsia="仿宋_GB2312" w:cs="Times New Roman"/>
          <w:sz w:val="32"/>
          <w:szCs w:val="32"/>
        </w:rPr>
        <w:t>发现的主要问题及原因：</w:t>
      </w: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是</w:t>
      </w:r>
      <w:r>
        <w:rPr>
          <w:rFonts w:hint="eastAsia" w:ascii="Times New Roman" w:hAnsi="Times New Roman" w:eastAsia="仿宋_GB2312" w:cs="Times New Roman"/>
          <w:sz w:val="32"/>
          <w:szCs w:val="32"/>
          <w:lang w:val="en-US" w:eastAsia="zh-CN"/>
        </w:rPr>
        <w:t>思想认识上有待深化。</w:t>
      </w:r>
      <w:r>
        <w:rPr>
          <w:rFonts w:hint="eastAsia" w:ascii="仿宋_GB2312" w:hAnsi="Calibri" w:eastAsia="仿宋_GB2312" w:cs="Times New Roman"/>
          <w:sz w:val="32"/>
          <w:szCs w:val="32"/>
          <w:lang w:val="en-US" w:eastAsia="zh-CN"/>
        </w:rPr>
        <w:t>部分干部在践行习近平生态文明思想上还有所动摇</w:t>
      </w:r>
      <w:r>
        <w:rPr>
          <w:rFonts w:hint="eastAsia" w:ascii="仿宋_GB2312" w:eastAsia="仿宋_GB2312" w:cs="Times New Roman"/>
          <w:sz w:val="32"/>
          <w:szCs w:val="32"/>
          <w:lang w:val="en-US" w:eastAsia="zh-CN"/>
        </w:rPr>
        <w:t>，</w:t>
      </w:r>
      <w:r>
        <w:rPr>
          <w:rFonts w:hint="eastAsia" w:ascii="仿宋_GB2312" w:hAnsi="Calibri" w:eastAsia="仿宋_GB2312" w:cs="Times New Roman"/>
          <w:sz w:val="32"/>
          <w:szCs w:val="32"/>
          <w:lang w:val="en-US" w:eastAsia="zh-CN"/>
        </w:rPr>
        <w:t>在履职尽责</w:t>
      </w:r>
      <w:r>
        <w:rPr>
          <w:rFonts w:hint="eastAsia" w:ascii="仿宋_GB2312" w:eastAsia="仿宋_GB2312" w:cs="Times New Roman"/>
          <w:sz w:val="32"/>
          <w:szCs w:val="32"/>
          <w:lang w:val="en-US" w:eastAsia="zh-CN"/>
        </w:rPr>
        <w:t>方面还</w:t>
      </w:r>
      <w:r>
        <w:rPr>
          <w:rFonts w:hint="eastAsia" w:ascii="仿宋_GB2312" w:hAnsi="Calibri" w:eastAsia="仿宋_GB2312" w:cs="Times New Roman"/>
          <w:sz w:val="32"/>
          <w:szCs w:val="32"/>
          <w:lang w:val="en-US" w:eastAsia="zh-CN"/>
        </w:rPr>
        <w:t>不够实、担当作为</w:t>
      </w:r>
      <w:r>
        <w:rPr>
          <w:rFonts w:hint="eastAsia" w:ascii="仿宋_GB2312" w:eastAsia="仿宋_GB2312" w:cs="Times New Roman"/>
          <w:sz w:val="32"/>
          <w:szCs w:val="32"/>
          <w:lang w:val="en-US" w:eastAsia="zh-CN"/>
        </w:rPr>
        <w:t>方面还</w:t>
      </w:r>
      <w:r>
        <w:rPr>
          <w:rFonts w:hint="eastAsia" w:ascii="仿宋_GB2312" w:hAnsi="Calibri" w:eastAsia="仿宋_GB2312" w:cs="Times New Roman"/>
          <w:sz w:val="32"/>
          <w:szCs w:val="32"/>
          <w:lang w:val="en-US" w:eastAsia="zh-CN"/>
        </w:rPr>
        <w:t>不够硬，对工作中出现的苗头性、潜在性问题把握不准，专业素养和业务水平</w:t>
      </w:r>
      <w:r>
        <w:rPr>
          <w:rFonts w:hint="eastAsia" w:ascii="仿宋_GB2312" w:eastAsia="仿宋_GB2312" w:cs="Times New Roman"/>
          <w:sz w:val="32"/>
          <w:szCs w:val="32"/>
          <w:lang w:val="en-US" w:eastAsia="zh-CN"/>
        </w:rPr>
        <w:t>还跟不上新形势下环保工作的要求</w:t>
      </w:r>
      <w:r>
        <w:rPr>
          <w:rFonts w:hint="eastAsia" w:ascii="仿宋_GB2312" w:hAnsi="Calibri" w:eastAsia="仿宋_GB2312" w:cs="Times New Roman"/>
          <w:sz w:val="32"/>
          <w:szCs w:val="32"/>
          <w:lang w:val="en-US" w:eastAsia="zh-CN"/>
        </w:rPr>
        <w:t>，敢为的劲头不足，想为的思想不浓，愿为的意志不强，发现、处理、解决问题的能力还有待提高</w:t>
      </w:r>
      <w:r>
        <w:rPr>
          <w:rFonts w:hint="eastAsia" w:ascii="仿宋_GB2312" w:hAnsi="仿宋_GB2312" w:eastAsia="仿宋_GB2312" w:cs="仿宋_GB2312"/>
          <w:color w:val="000000"/>
          <w:spacing w:val="0"/>
          <w:kern w:val="0"/>
          <w:position w:val="0"/>
          <w:sz w:val="32"/>
          <w:szCs w:val="32"/>
          <w:lang w:val="en-US" w:eastAsia="zh-CN"/>
        </w:rPr>
        <w:t>；二是在统筹协调上缺乏抓手。今年7月底，汨罗市对议事协调机构进行优化调整，全市保留21个议事协调机构，其中市委18个、市政府3个，生态环境保护委员会在调整中未保留。当前，对汨罗分局相关工作的开展带来了被动局面，特别是对各部门单位落实“三管三必须”要求，压实生态环境保护工作主体责任的力度有所锐减；三是在污染防治上还有差距。水环境方面，今年汨罗江汨罗段总磷浓度均值为0.091mg/L，同比（2023年为0.080mg/L）上升0.011mg/L。大气环境方面，2024年我市出现重污染天气2天、中度污染天气1天、轻度污染天气31天，空气优良率为87.9%，同比下降3.9个百分点，PM2.5为34.4微克/立方，高于目标值（32微克/立方）2.4微克/立方。</w:t>
      </w:r>
    </w:p>
    <w:p w14:paraId="3F32372E">
      <w:pPr>
        <w:spacing w:before="270" w:line="381" w:lineRule="auto"/>
        <w:ind w:left="26" w:firstLine="640"/>
        <w:rPr>
          <w:rFonts w:hint="default" w:ascii="Times New Roman" w:hAnsi="Times New Roman" w:eastAsia="仿宋_GB2312" w:cs="Times New Roman"/>
          <w:kern w:val="0"/>
          <w:sz w:val="32"/>
          <w:szCs w:val="32"/>
          <w:lang w:val="en-US" w:eastAsia="zh-CN"/>
        </w:rPr>
      </w:pPr>
      <w:r>
        <w:rPr>
          <w:rFonts w:ascii="Times New Roman" w:hAnsi="Times New Roman" w:eastAsia="仿宋_GB2312" w:cs="Times New Roman"/>
          <w:sz w:val="32"/>
          <w:szCs w:val="32"/>
        </w:rPr>
        <w:t>下一步改进措施：一细化预算编制工作，认真做好预算的编制。进一步加强局内部机构各科室的预算管理意识，严格按  照预算编制的相关制度和要求，公用经费根据单位的年度工  作重点和项目专项工作规划，本着 “勤俭节约、保障运转” 的原则进行预算的编制；编制范围尽可能地全面，不漏项；  在预算编制时首先需满足固定性的、相对刚性的费用支出项  目，尽量压缩变动性的、有控制空间的费用项目；杜绝预算  编制粗放、拍脑袋现象的发生，进一步提高预算编制的科学  性、合理性、严谨性和可控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val="en-US" w:eastAsia="zh-CN"/>
        </w:rPr>
        <w:t>是</w:t>
      </w:r>
      <w:r>
        <w:rPr>
          <w:rFonts w:ascii="Times New Roman" w:hAnsi="Times New Roman" w:eastAsia="仿宋_GB2312" w:cs="Times New Roman"/>
          <w:sz w:val="32"/>
          <w:szCs w:val="32"/>
        </w:rPr>
        <w:t>加强财务管理，严格财务审批。在费用报账支付时， 按照预算规定的费用项目和用途进行资金使用、审核，列报 支付，财务核算杜绝超支现象的发生</w:t>
      </w:r>
      <w:r>
        <w:rPr>
          <w:rFonts w:hint="eastAsia" w:ascii="仿宋" w:hAnsi="仿宋" w:eastAsia="仿宋" w:cs="仿宋"/>
          <w:color w:val="333333"/>
          <w:spacing w:val="8"/>
          <w:sz w:val="31"/>
          <w:szCs w:val="31"/>
          <w:lang w:eastAsia="zh-CN"/>
        </w:rPr>
        <w:t>；</w:t>
      </w:r>
      <w:r>
        <w:rPr>
          <w:rFonts w:hint="eastAsia" w:ascii="Times New Roman" w:hAnsi="Times New Roman" w:eastAsia="仿宋_GB2312" w:cs="Times New Roman"/>
          <w:sz w:val="32"/>
          <w:szCs w:val="32"/>
          <w:lang w:val="en-US" w:eastAsia="zh-CN"/>
        </w:rPr>
        <w:t>三</w:t>
      </w:r>
      <w:r>
        <w:rPr>
          <w:rFonts w:ascii="Times New Roman" w:hAnsi="Times New Roman" w:eastAsia="仿宋_GB2312" w:cs="Times New Roman"/>
          <w:sz w:val="32"/>
          <w:szCs w:val="32"/>
        </w:rPr>
        <w:t>是不可预计的专项资金需求未能安排预算。在上年编  制预算之前不能充分预计，因而没有列入预算，当环保专项  工作开展需使用资金时，因没有纳入预算难以获得专项拨款， 致使项目实施受阻</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四是加强培训。建议多开展部门整体绩效评价工作的业 务工作培训，组织开展部门之间、单位之间的经验交流，特 别是要组织非财务部门的人员参与评价工作，切实推进绩效 评价工作的开展；五是建议市财政进一步加大环境保护资金力度，保障水、 气、土攻坚 “ 三大战役”持续推进，促进本辖区环境总体质 量稳步提升。</w:t>
      </w:r>
    </w:p>
    <w:p w14:paraId="1F555ED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kern w:val="0"/>
          <w:sz w:val="32"/>
          <w:szCs w:val="32"/>
          <w:highlight w:val="none"/>
          <w:lang w:val="en-US" w:eastAsia="zh-CN" w:bidi="ar-SA"/>
        </w:rPr>
        <w:t>本单位为二级预算单位，部门评价结果可详见上级部门决算公开说明</w:t>
      </w:r>
      <w:r>
        <w:rPr>
          <w:rFonts w:ascii="Times New Roman" w:hAnsi="Times New Roman" w:eastAsia="仿宋_GB2312" w:cs="Times New Roman"/>
          <w:sz w:val="32"/>
          <w:szCs w:val="32"/>
        </w:rPr>
        <w:t>。</w:t>
      </w:r>
    </w:p>
    <w:p w14:paraId="5DC4775D">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lang w:val="en-US" w:eastAsia="zh-CN" w:bidi="ar-SA"/>
        </w:rPr>
        <w:t>本单位为二级预算单位，事前绩效评估结果可详见上级部门决算公开说明。</w:t>
      </w:r>
    </w:p>
    <w:p w14:paraId="2C89E516">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5E8AD5A5">
      <w:pPr>
        <w:autoSpaceDE w:val="0"/>
        <w:autoSpaceDN w:val="0"/>
        <w:adjustRightInd w:val="0"/>
        <w:ind w:firstLine="620" w:firstLineChars="200"/>
        <w:jc w:val="left"/>
        <w:rPr>
          <w:rFonts w:hint="eastAsia" w:ascii="仿宋_GB2312" w:hAnsi="仿宋_GB2312" w:eastAsia="仿宋_GB2312" w:cs="仿宋_GB2312"/>
          <w:b w:val="0"/>
          <w:bCs w:val="0"/>
          <w:sz w:val="32"/>
          <w:szCs w:val="32"/>
          <w:lang w:val="en-US" w:eastAsia="zh-CN"/>
        </w:rPr>
      </w:pPr>
      <w:r>
        <w:rPr>
          <w:rFonts w:hint="default" w:ascii="仿宋" w:hAnsi="仿宋" w:eastAsia="仿宋" w:cs="仿宋"/>
          <w:kern w:val="0"/>
          <w:sz w:val="31"/>
          <w:szCs w:val="31"/>
          <w:lang w:eastAsia="en-US"/>
        </w:rPr>
        <w:t>本单位绩效自评结果为</w:t>
      </w:r>
      <w:r>
        <w:rPr>
          <w:rFonts w:hint="eastAsia" w:ascii="仿宋" w:hAnsi="仿宋" w:eastAsia="仿宋" w:cs="仿宋"/>
          <w:kern w:val="0"/>
          <w:sz w:val="31"/>
          <w:szCs w:val="31"/>
          <w:lang w:eastAsia="zh-CN"/>
        </w:rPr>
        <w:t>优秀</w:t>
      </w:r>
      <w:r>
        <w:rPr>
          <w:rFonts w:hint="default" w:ascii="仿宋" w:hAnsi="仿宋" w:eastAsia="仿宋" w:cs="仿宋"/>
          <w:kern w:val="0"/>
          <w:sz w:val="31"/>
          <w:szCs w:val="31"/>
          <w:lang w:eastAsia="en-US"/>
        </w:rPr>
        <w:t>等级。下一步将根据财政检查绩效自评发现的问题等进行改善，并按政务公开的相关规定，</w:t>
      </w:r>
      <w:r>
        <w:rPr>
          <w:rFonts w:hint="eastAsia" w:ascii="仿宋_GB2312" w:hAnsi="仿宋_GB2312" w:eastAsia="仿宋_GB2312" w:cs="仿宋_GB2312"/>
          <w:b w:val="0"/>
          <w:bCs w:val="0"/>
          <w:sz w:val="32"/>
          <w:szCs w:val="32"/>
          <w:lang w:val="en-US" w:eastAsia="zh-CN"/>
        </w:rPr>
        <w:t>已在市政府部门财政预决算公开平台上向社会公开，详见附件。</w:t>
      </w:r>
    </w:p>
    <w:p w14:paraId="62AB7D4C">
      <w:pPr>
        <w:pStyle w:val="14"/>
        <w:jc w:val="both"/>
        <w:rPr>
          <w:rFonts w:hint="eastAsia" w:ascii="方正小标宋_GBK" w:hAnsi="方正小标宋_GBK" w:eastAsia="方正小标宋_GBK" w:cs="方正小标宋_GBK"/>
          <w:sz w:val="24"/>
          <w:szCs w:val="24"/>
        </w:rPr>
      </w:pPr>
    </w:p>
    <w:p w14:paraId="34B3CC53">
      <w:pPr>
        <w:pStyle w:val="14"/>
        <w:jc w:val="both"/>
        <w:rPr>
          <w:rFonts w:hint="eastAsia" w:ascii="方正小标宋_GBK" w:hAnsi="方正小标宋_GBK" w:eastAsia="方正小标宋_GBK" w:cs="方正小标宋_GBK"/>
          <w:sz w:val="24"/>
          <w:szCs w:val="24"/>
        </w:rPr>
      </w:pPr>
    </w:p>
    <w:p w14:paraId="257638A7">
      <w:pPr>
        <w:pStyle w:val="14"/>
        <w:jc w:val="both"/>
        <w:rPr>
          <w:rFonts w:hint="eastAsia" w:ascii="方正小标宋_GBK" w:hAnsi="方正小标宋_GBK" w:eastAsia="方正小标宋_GBK" w:cs="方正小标宋_GBK"/>
          <w:sz w:val="24"/>
          <w:szCs w:val="24"/>
        </w:rPr>
      </w:pPr>
    </w:p>
    <w:p w14:paraId="3D83FDA1">
      <w:pPr>
        <w:pStyle w:val="14"/>
        <w:jc w:val="center"/>
        <w:rPr>
          <w:rFonts w:hint="eastAsia" w:ascii="方正小标宋_GBK" w:hAnsi="方正小标宋_GBK" w:eastAsia="方正小标宋_GBK" w:cs="方正小标宋_GBK"/>
          <w:sz w:val="72"/>
          <w:szCs w:val="72"/>
        </w:rPr>
      </w:pPr>
    </w:p>
    <w:p w14:paraId="6FB6F211">
      <w:pPr>
        <w:pStyle w:val="14"/>
        <w:jc w:val="center"/>
        <w:rPr>
          <w:rFonts w:hint="eastAsia" w:ascii="方正小标宋_GBK" w:hAnsi="方正小标宋_GBK" w:eastAsia="方正小标宋_GBK" w:cs="方正小标宋_GBK"/>
          <w:sz w:val="72"/>
          <w:szCs w:val="72"/>
        </w:rPr>
      </w:pPr>
    </w:p>
    <w:p w14:paraId="3A01B6B0">
      <w:pPr>
        <w:pStyle w:val="14"/>
        <w:jc w:val="center"/>
        <w:rPr>
          <w:rFonts w:hint="eastAsia" w:ascii="方正小标宋_GBK" w:hAnsi="方正小标宋_GBK" w:eastAsia="方正小标宋_GBK" w:cs="方正小标宋_GBK"/>
          <w:sz w:val="72"/>
          <w:szCs w:val="72"/>
        </w:rPr>
      </w:pPr>
    </w:p>
    <w:p w14:paraId="475C1000">
      <w:pPr>
        <w:pStyle w:val="14"/>
        <w:jc w:val="center"/>
        <w:rPr>
          <w:rFonts w:hint="eastAsia" w:ascii="方正小标宋_GBK" w:hAnsi="方正小标宋_GBK" w:eastAsia="方正小标宋_GBK" w:cs="方正小标宋_GBK"/>
          <w:sz w:val="72"/>
          <w:szCs w:val="72"/>
        </w:rPr>
      </w:pPr>
    </w:p>
    <w:p w14:paraId="6A5A782C">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9"/>
      </w:pPr>
    </w:p>
    <w:p w14:paraId="5331F884">
      <w:pPr>
        <w:pStyle w:val="5"/>
      </w:pPr>
    </w:p>
    <w:p w14:paraId="2CCAD852"/>
    <w:p w14:paraId="440E89DF">
      <w:pPr>
        <w:pStyle w:val="9"/>
      </w:pPr>
    </w:p>
    <w:p w14:paraId="645B9B76">
      <w:pPr>
        <w:pStyle w:val="5"/>
      </w:pPr>
    </w:p>
    <w:p w14:paraId="539F25AC"/>
    <w:p w14:paraId="47AFAB8F">
      <w:pPr>
        <w:pStyle w:val="9"/>
      </w:pPr>
    </w:p>
    <w:p w14:paraId="479D6353">
      <w:pPr>
        <w:pStyle w:val="5"/>
      </w:pPr>
    </w:p>
    <w:p w14:paraId="648103ED"/>
    <w:p w14:paraId="08A5EA8F">
      <w:pPr>
        <w:pStyle w:val="9"/>
      </w:pPr>
    </w:p>
    <w:p w14:paraId="3FD0BAB6">
      <w:pPr>
        <w:pStyle w:val="5"/>
      </w:pPr>
    </w:p>
    <w:p w14:paraId="1CAE18D7"/>
    <w:p w14:paraId="5994BDDC">
      <w:pPr>
        <w:pStyle w:val="9"/>
      </w:pPr>
    </w:p>
    <w:p w14:paraId="51F60F8D">
      <w:pPr>
        <w:pStyle w:val="5"/>
      </w:pPr>
    </w:p>
    <w:p w14:paraId="715B8195"/>
    <w:p w14:paraId="793F6BC2">
      <w:pPr>
        <w:jc w:val="left"/>
        <w:rPr>
          <w:rFonts w:hint="eastAsia" w:ascii="仿宋_GB2312" w:hAnsi="仿宋_GB2312" w:eastAsia="仿宋_GB2312" w:cs="仿宋_GB2312"/>
          <w:color w:val="000000"/>
          <w:kern w:val="0"/>
          <w:sz w:val="32"/>
          <w:szCs w:val="32"/>
        </w:rPr>
      </w:pPr>
    </w:p>
    <w:p w14:paraId="7185EC3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widowControl/>
        <w:spacing w:after="120"/>
        <w:ind w:left="420" w:leftChars="200"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7D4850A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18EAE6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E81CE8">
      <w:pPr>
        <w:pStyle w:val="14"/>
        <w:jc w:val="center"/>
        <w:rPr>
          <w:rFonts w:hint="eastAsia" w:ascii="仿宋_GB2312" w:hAnsi="仿宋_GB2312" w:eastAsia="仿宋_GB2312" w:cs="仿宋_GB2312"/>
          <w:sz w:val="32"/>
          <w:szCs w:val="32"/>
        </w:rPr>
      </w:pPr>
    </w:p>
    <w:p w14:paraId="1D47518A">
      <w:pPr>
        <w:pStyle w:val="5"/>
      </w:pPr>
    </w:p>
    <w:p w14:paraId="580CF8E4"/>
    <w:p w14:paraId="0C17744C">
      <w:pPr>
        <w:pStyle w:val="9"/>
      </w:pPr>
    </w:p>
    <w:p w14:paraId="7B8BABF4">
      <w:pPr>
        <w:pStyle w:val="5"/>
      </w:pPr>
    </w:p>
    <w:p w14:paraId="1942C0DC"/>
    <w:p w14:paraId="6E2D1EEF">
      <w:pPr>
        <w:pStyle w:val="9"/>
      </w:pPr>
    </w:p>
    <w:p w14:paraId="5F6ABC3B">
      <w:pPr>
        <w:pStyle w:val="5"/>
      </w:pPr>
    </w:p>
    <w:p w14:paraId="51BE6437"/>
    <w:p w14:paraId="05344CBA">
      <w:pPr>
        <w:pStyle w:val="9"/>
      </w:pPr>
    </w:p>
    <w:p w14:paraId="5C9170AD">
      <w:pPr>
        <w:pStyle w:val="5"/>
      </w:pPr>
    </w:p>
    <w:p w14:paraId="29D3A91E"/>
    <w:p w14:paraId="0D2A994E">
      <w:pPr>
        <w:pStyle w:val="9"/>
      </w:pPr>
    </w:p>
    <w:p w14:paraId="59CBCCA7">
      <w:pPr>
        <w:pStyle w:val="5"/>
      </w:pPr>
    </w:p>
    <w:p w14:paraId="67806EBD"/>
    <w:p w14:paraId="7C18BB03">
      <w:pPr>
        <w:pStyle w:val="9"/>
      </w:pPr>
    </w:p>
    <w:p w14:paraId="29230CAD">
      <w:pPr>
        <w:pStyle w:val="5"/>
      </w:pPr>
    </w:p>
    <w:p w14:paraId="724E0A54"/>
    <w:p w14:paraId="496F732E">
      <w:pPr>
        <w:pStyle w:val="9"/>
      </w:pPr>
    </w:p>
    <w:p w14:paraId="354ECFD8">
      <w:pPr>
        <w:pStyle w:val="5"/>
      </w:pPr>
    </w:p>
    <w:p w14:paraId="51C67B38"/>
    <w:p w14:paraId="4D131F3E"/>
    <w:p w14:paraId="7CFBCE3C">
      <w:pPr>
        <w:pStyle w:val="9"/>
      </w:pPr>
    </w:p>
    <w:p w14:paraId="5C3DE094">
      <w:pPr>
        <w:pStyle w:val="14"/>
        <w:jc w:val="both"/>
        <w:rPr>
          <w:rFonts w:hint="eastAsia" w:ascii="方正小标宋_GBK" w:hAnsi="方正小标宋_GBK" w:eastAsia="方正小标宋_GBK" w:cs="方正小标宋_GBK"/>
          <w:sz w:val="72"/>
          <w:szCs w:val="72"/>
        </w:rPr>
      </w:pPr>
    </w:p>
    <w:p w14:paraId="0C1858E3">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4"/>
        <w:jc w:val="both"/>
        <w:rPr>
          <w:rFonts w:hint="eastAsia" w:ascii="方正小标宋_GBK" w:hAnsi="方正小标宋_GBK" w:eastAsia="方正小标宋_GBK" w:cs="方正小标宋_GBK"/>
          <w:sz w:val="70"/>
          <w:szCs w:val="70"/>
          <w:lang w:eastAsia="zh-CN"/>
        </w:rPr>
      </w:pPr>
    </w:p>
    <w:p w14:paraId="490142D3">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F86D25"/>
    <w:rsid w:val="02021905"/>
    <w:rsid w:val="040556DD"/>
    <w:rsid w:val="04581CB1"/>
    <w:rsid w:val="059958AD"/>
    <w:rsid w:val="06C857E7"/>
    <w:rsid w:val="07C66F31"/>
    <w:rsid w:val="08C24A73"/>
    <w:rsid w:val="091A5787"/>
    <w:rsid w:val="0B5036E2"/>
    <w:rsid w:val="11916802"/>
    <w:rsid w:val="11944E2C"/>
    <w:rsid w:val="12583BA5"/>
    <w:rsid w:val="130A686C"/>
    <w:rsid w:val="13BA5B9C"/>
    <w:rsid w:val="1602382A"/>
    <w:rsid w:val="178D2CFF"/>
    <w:rsid w:val="1D97DEFF"/>
    <w:rsid w:val="1DFF72E5"/>
    <w:rsid w:val="1EFC6F07"/>
    <w:rsid w:val="1F0527A6"/>
    <w:rsid w:val="1F3F789D"/>
    <w:rsid w:val="20735A50"/>
    <w:rsid w:val="20AE2991"/>
    <w:rsid w:val="22AC03C2"/>
    <w:rsid w:val="22DF75A1"/>
    <w:rsid w:val="23DF164F"/>
    <w:rsid w:val="283B15FE"/>
    <w:rsid w:val="2FDF85B8"/>
    <w:rsid w:val="2FFFEE04"/>
    <w:rsid w:val="313905F0"/>
    <w:rsid w:val="31C95635"/>
    <w:rsid w:val="322F37A1"/>
    <w:rsid w:val="33030EB6"/>
    <w:rsid w:val="34A264AC"/>
    <w:rsid w:val="34DF85B0"/>
    <w:rsid w:val="363E0457"/>
    <w:rsid w:val="38B844F1"/>
    <w:rsid w:val="3959069F"/>
    <w:rsid w:val="3B8F36BC"/>
    <w:rsid w:val="3BF33A92"/>
    <w:rsid w:val="42723962"/>
    <w:rsid w:val="43EB5BA5"/>
    <w:rsid w:val="46350031"/>
    <w:rsid w:val="491FF225"/>
    <w:rsid w:val="499F6498"/>
    <w:rsid w:val="4EC310A1"/>
    <w:rsid w:val="4EEC7F09"/>
    <w:rsid w:val="4FFD214C"/>
    <w:rsid w:val="5352765A"/>
    <w:rsid w:val="55956812"/>
    <w:rsid w:val="55A848AF"/>
    <w:rsid w:val="5777D4F5"/>
    <w:rsid w:val="57F22B6F"/>
    <w:rsid w:val="59DD8326"/>
    <w:rsid w:val="5AC73C28"/>
    <w:rsid w:val="5D0D28E7"/>
    <w:rsid w:val="5DEF592A"/>
    <w:rsid w:val="5E8B1BDC"/>
    <w:rsid w:val="5FC6BB1E"/>
    <w:rsid w:val="5FF720F1"/>
    <w:rsid w:val="6042276E"/>
    <w:rsid w:val="622964C1"/>
    <w:rsid w:val="637779CB"/>
    <w:rsid w:val="660A5ADC"/>
    <w:rsid w:val="66674C72"/>
    <w:rsid w:val="67FF5C0B"/>
    <w:rsid w:val="69935DE8"/>
    <w:rsid w:val="6A18009C"/>
    <w:rsid w:val="6B9272ED"/>
    <w:rsid w:val="6BAA4A2F"/>
    <w:rsid w:val="6BE41227"/>
    <w:rsid w:val="6DDEC5C0"/>
    <w:rsid w:val="6ED31202"/>
    <w:rsid w:val="6EFC0924"/>
    <w:rsid w:val="6FB74722"/>
    <w:rsid w:val="6FEF8B7E"/>
    <w:rsid w:val="70B825D8"/>
    <w:rsid w:val="717FE77F"/>
    <w:rsid w:val="71A6591B"/>
    <w:rsid w:val="737D59BA"/>
    <w:rsid w:val="737F32B1"/>
    <w:rsid w:val="73BD3FCA"/>
    <w:rsid w:val="73CC2623"/>
    <w:rsid w:val="755A1EB0"/>
    <w:rsid w:val="75A5137D"/>
    <w:rsid w:val="776BDA01"/>
    <w:rsid w:val="77C37683"/>
    <w:rsid w:val="79D55FA9"/>
    <w:rsid w:val="79FF515B"/>
    <w:rsid w:val="7DFBFF20"/>
    <w:rsid w:val="7E9E1962"/>
    <w:rsid w:val="7E9F11B4"/>
    <w:rsid w:val="7F37EC1E"/>
    <w:rsid w:val="7F7C0DDA"/>
    <w:rsid w:val="7F7DCD9D"/>
    <w:rsid w:val="7F840255"/>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next w:val="3"/>
    <w:semiHidden/>
    <w:qFormat/>
    <w:uiPriority w:val="0"/>
    <w:pPr>
      <w:widowControl w:val="0"/>
      <w:jc w:val="both"/>
    </w:pPr>
    <w:rPr>
      <w:rFonts w:ascii="仿宋" w:hAnsi="仿宋" w:eastAsia="仿宋" w:cs="仿宋"/>
      <w:kern w:val="2"/>
      <w:sz w:val="31"/>
      <w:szCs w:val="31"/>
      <w:lang w:val="en-US" w:eastAsia="en-US" w:bidi="ar-SA"/>
    </w:rPr>
  </w:style>
  <w:style w:type="paragraph" w:styleId="3">
    <w:name w:val="toc 5"/>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semiHidden/>
    <w:unhideWhenUsed/>
    <w:qFormat/>
    <w:uiPriority w:val="99"/>
    <w:rPr>
      <w:sz w:val="18"/>
      <w:szCs w:val="18"/>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qFormat/>
    <w:uiPriority w:val="99"/>
    <w:rPr>
      <w:sz w:val="18"/>
      <w:szCs w:val="18"/>
    </w:rPr>
  </w:style>
  <w:style w:type="character" w:customStyle="1" w:styleId="13">
    <w:name w:val="页脚 Char"/>
    <w:basedOn w:val="11"/>
    <w:link w:val="7"/>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6"/>
    <w:semiHidden/>
    <w:qFormat/>
    <w:uiPriority w:val="99"/>
    <w:rPr>
      <w:sz w:val="18"/>
      <w:szCs w:val="18"/>
    </w:rPr>
  </w:style>
  <w:style w:type="character" w:customStyle="1" w:styleId="17">
    <w:name w:val="font01"/>
    <w:basedOn w:val="11"/>
    <w:qFormat/>
    <w:uiPriority w:val="0"/>
    <w:rPr>
      <w:rFonts w:hint="eastAsia" w:ascii="宋体" w:hAnsi="宋体" w:eastAsia="宋体" w:cs="宋体"/>
      <w:color w:val="000000"/>
      <w:sz w:val="22"/>
      <w:szCs w:val="22"/>
      <w:u w:val="none"/>
    </w:rPr>
  </w:style>
  <w:style w:type="character" w:customStyle="1" w:styleId="18">
    <w:name w:val="font21"/>
    <w:basedOn w:val="11"/>
    <w:qFormat/>
    <w:uiPriority w:val="0"/>
    <w:rPr>
      <w:rFonts w:hint="eastAsia" w:ascii="宋体" w:hAnsi="宋体" w:eastAsia="宋体" w:cs="宋体"/>
      <w:color w:val="000000"/>
      <w:sz w:val="24"/>
      <w:szCs w:val="24"/>
      <w:u w:val="none"/>
    </w:rPr>
  </w:style>
  <w:style w:type="character" w:customStyle="1" w:styleId="19">
    <w:name w:val="font1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8629</Words>
  <Characters>9283</Characters>
  <Lines>63</Lines>
  <Paragraphs>18</Paragraphs>
  <TotalTime>18</TotalTime>
  <ScaleCrop>false</ScaleCrop>
  <LinksUpToDate>false</LinksUpToDate>
  <CharactersWithSpaces>9297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薇笑</cp:lastModifiedBy>
  <cp:lastPrinted>2024-08-11T02:20:00Z</cp:lastPrinted>
  <dcterms:modified xsi:type="dcterms:W3CDTF">2025-09-25T10:49:07Z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582685D1CAB840E887D41790E6F9D180_13</vt:lpwstr>
  </property>
  <property fmtid="{D5CDD505-2E9C-101B-9397-08002B2CF9AE}" pid="4" name="KSOTemplateDocerSaveRecord">
    <vt:lpwstr>eyJoZGlkIjoiOTI5NTIxMmMxOGUxZGIwNWQyMzRkMTFkOWUzNzFkNTAiLCJ1c2VySWQiOiIzMDc0NTIyNTYifQ==</vt:lpwstr>
  </property>
</Properties>
</file>